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5A1" w:rsidRPr="00920352" w:rsidRDefault="009075A1" w:rsidP="009075A1">
      <w:pPr>
        <w:jc w:val="center"/>
        <w:rPr>
          <w:rFonts w:ascii="Verdana" w:hAnsi="Verdana"/>
          <w:b/>
          <w:bCs/>
          <w:color w:val="auto"/>
          <w:sz w:val="20"/>
          <w:szCs w:val="22"/>
        </w:rPr>
      </w:pPr>
      <w:bookmarkStart w:id="0" w:name="_GoBack"/>
      <w:bookmarkEnd w:id="0"/>
      <w:r w:rsidRPr="00920352">
        <w:rPr>
          <w:rFonts w:ascii="Verdana" w:hAnsi="Verdana"/>
          <w:b/>
          <w:bCs/>
          <w:color w:val="auto"/>
          <w:sz w:val="20"/>
          <w:szCs w:val="22"/>
        </w:rPr>
        <w:t>PROYECTO DE ACUERDO No. ___  DE 2014</w:t>
      </w:r>
    </w:p>
    <w:p w:rsidR="009075A1" w:rsidRPr="00920352" w:rsidRDefault="009075A1" w:rsidP="009075A1">
      <w:pPr>
        <w:tabs>
          <w:tab w:val="left" w:pos="2715"/>
        </w:tabs>
        <w:spacing w:line="360" w:lineRule="auto"/>
        <w:ind w:left="360"/>
        <w:jc w:val="center"/>
        <w:rPr>
          <w:rFonts w:ascii="Verdana" w:hAnsi="Verdana"/>
          <w:b/>
          <w:bCs/>
          <w:color w:val="auto"/>
          <w:sz w:val="20"/>
          <w:szCs w:val="22"/>
        </w:rPr>
      </w:pPr>
    </w:p>
    <w:p w:rsidR="009075A1" w:rsidRPr="00920352" w:rsidRDefault="009075A1" w:rsidP="009075A1">
      <w:pPr>
        <w:tabs>
          <w:tab w:val="left" w:pos="2715"/>
        </w:tabs>
        <w:spacing w:line="360" w:lineRule="auto"/>
        <w:ind w:left="357"/>
        <w:jc w:val="center"/>
        <w:rPr>
          <w:rFonts w:ascii="Verdana" w:hAnsi="Verdana"/>
          <w:b/>
          <w:bCs/>
          <w:i/>
          <w:iCs/>
          <w:color w:val="auto"/>
          <w:sz w:val="20"/>
          <w:szCs w:val="22"/>
        </w:rPr>
      </w:pPr>
      <w:r w:rsidRPr="00920352">
        <w:rPr>
          <w:rFonts w:ascii="Verdana" w:hAnsi="Verdana"/>
          <w:b/>
          <w:bCs/>
          <w:i/>
          <w:iCs/>
          <w:color w:val="auto"/>
          <w:sz w:val="20"/>
          <w:szCs w:val="22"/>
        </w:rPr>
        <w:t>“</w:t>
      </w:r>
      <w:r w:rsidRPr="00920352">
        <w:rPr>
          <w:rFonts w:ascii="Verdana" w:hAnsi="Verdana"/>
          <w:b/>
          <w:bCs/>
          <w:i/>
          <w:iCs/>
          <w:color w:val="auto"/>
          <w:sz w:val="22"/>
        </w:rPr>
        <w:t xml:space="preserve">POR EL  CUAL SE INSTALAN DISPENSADORES DE </w:t>
      </w:r>
      <w:r>
        <w:rPr>
          <w:rFonts w:ascii="Verdana" w:hAnsi="Verdana"/>
          <w:b/>
          <w:bCs/>
          <w:i/>
          <w:iCs/>
          <w:color w:val="auto"/>
          <w:sz w:val="22"/>
        </w:rPr>
        <w:t>CONDONES</w:t>
      </w:r>
      <w:r w:rsidRPr="00920352">
        <w:rPr>
          <w:rFonts w:ascii="Verdana" w:hAnsi="Verdana"/>
          <w:b/>
          <w:bCs/>
          <w:i/>
          <w:iCs/>
          <w:color w:val="auto"/>
          <w:sz w:val="22"/>
        </w:rPr>
        <w:t xml:space="preserve"> EN EL DISTRITO CAPITAL</w:t>
      </w:r>
      <w:r w:rsidRPr="00920352">
        <w:rPr>
          <w:rFonts w:ascii="Verdana" w:hAnsi="Verdana"/>
          <w:b/>
          <w:bCs/>
          <w:i/>
          <w:iCs/>
          <w:color w:val="auto"/>
          <w:sz w:val="20"/>
          <w:szCs w:val="22"/>
        </w:rPr>
        <w:t>”</w:t>
      </w:r>
    </w:p>
    <w:p w:rsidR="009075A1" w:rsidRPr="00920352" w:rsidRDefault="009075A1" w:rsidP="009075A1">
      <w:pPr>
        <w:tabs>
          <w:tab w:val="left" w:pos="2715"/>
        </w:tabs>
        <w:spacing w:line="360" w:lineRule="auto"/>
        <w:ind w:left="357"/>
        <w:jc w:val="center"/>
        <w:rPr>
          <w:rFonts w:ascii="Verdana" w:hAnsi="Verdana"/>
          <w:b/>
          <w:bCs/>
          <w:color w:val="auto"/>
          <w:sz w:val="20"/>
          <w:szCs w:val="22"/>
        </w:rPr>
      </w:pPr>
      <w:r w:rsidRPr="00920352">
        <w:rPr>
          <w:rFonts w:ascii="Verdana" w:hAnsi="Verdana"/>
          <w:b/>
          <w:bCs/>
          <w:color w:val="auto"/>
          <w:sz w:val="20"/>
          <w:szCs w:val="22"/>
        </w:rPr>
        <w:t>El Concejo de Bogotá Distrito Capital</w:t>
      </w:r>
    </w:p>
    <w:p w:rsidR="009075A1" w:rsidRPr="00920352" w:rsidRDefault="009075A1" w:rsidP="009075A1">
      <w:pPr>
        <w:tabs>
          <w:tab w:val="left" w:pos="2715"/>
        </w:tabs>
        <w:spacing w:line="360" w:lineRule="auto"/>
        <w:jc w:val="center"/>
        <w:rPr>
          <w:rFonts w:ascii="Verdana" w:hAnsi="Verdana"/>
          <w:color w:val="auto"/>
          <w:sz w:val="20"/>
          <w:szCs w:val="22"/>
        </w:rPr>
      </w:pPr>
      <w:r w:rsidRPr="00920352">
        <w:rPr>
          <w:rFonts w:ascii="Verdana" w:hAnsi="Verdana"/>
          <w:color w:val="auto"/>
          <w:sz w:val="20"/>
          <w:szCs w:val="22"/>
        </w:rPr>
        <w:t>En ejercicio de sus atribuciones constitucionales y legales y, en especial, las conferidas por el Decreto Ley 1421 de 1993</w:t>
      </w:r>
      <w:r>
        <w:rPr>
          <w:rFonts w:ascii="Verdana" w:hAnsi="Verdana"/>
          <w:color w:val="auto"/>
          <w:sz w:val="20"/>
          <w:szCs w:val="22"/>
        </w:rPr>
        <w:t>, articulo 1.</w:t>
      </w:r>
    </w:p>
    <w:p w:rsidR="009075A1" w:rsidRPr="00920352" w:rsidRDefault="009075A1" w:rsidP="009075A1">
      <w:pPr>
        <w:tabs>
          <w:tab w:val="left" w:pos="2715"/>
        </w:tabs>
        <w:spacing w:line="360" w:lineRule="auto"/>
        <w:ind w:left="357"/>
        <w:jc w:val="center"/>
        <w:rPr>
          <w:rFonts w:ascii="Verdana" w:hAnsi="Verdana"/>
          <w:b/>
          <w:bCs/>
          <w:color w:val="auto"/>
          <w:sz w:val="20"/>
          <w:szCs w:val="22"/>
        </w:rPr>
      </w:pPr>
      <w:r w:rsidRPr="00920352">
        <w:rPr>
          <w:rFonts w:ascii="Verdana" w:hAnsi="Verdana"/>
          <w:b/>
          <w:bCs/>
          <w:color w:val="auto"/>
          <w:sz w:val="20"/>
          <w:szCs w:val="22"/>
        </w:rPr>
        <w:t>ACUERDA:</w:t>
      </w:r>
    </w:p>
    <w:p w:rsidR="009075A1" w:rsidRPr="00920352" w:rsidRDefault="009075A1" w:rsidP="009075A1">
      <w:pPr>
        <w:tabs>
          <w:tab w:val="left" w:pos="2715"/>
        </w:tabs>
        <w:ind w:left="357"/>
        <w:jc w:val="both"/>
        <w:rPr>
          <w:rFonts w:ascii="Verdana" w:hAnsi="Verdana"/>
          <w:color w:val="auto"/>
          <w:sz w:val="20"/>
          <w:szCs w:val="22"/>
        </w:rPr>
      </w:pPr>
    </w:p>
    <w:p w:rsidR="009075A1" w:rsidRDefault="009075A1" w:rsidP="009075A1">
      <w:pPr>
        <w:jc w:val="both"/>
        <w:rPr>
          <w:rFonts w:ascii="Verdana" w:hAnsi="Verdana"/>
          <w:color w:val="auto"/>
          <w:sz w:val="20"/>
          <w:szCs w:val="22"/>
        </w:rPr>
      </w:pPr>
      <w:r w:rsidRPr="00920352">
        <w:rPr>
          <w:rFonts w:ascii="Verdana" w:hAnsi="Verdana"/>
          <w:b/>
          <w:bCs/>
          <w:color w:val="auto"/>
          <w:sz w:val="20"/>
          <w:szCs w:val="22"/>
        </w:rPr>
        <w:t>ARTÍCULO 1</w:t>
      </w:r>
      <w:r w:rsidRPr="00920352">
        <w:rPr>
          <w:rFonts w:ascii="Verdana" w:hAnsi="Verdana"/>
          <w:color w:val="auto"/>
          <w:sz w:val="20"/>
          <w:szCs w:val="22"/>
        </w:rPr>
        <w:t xml:space="preserve">.- Establézcase la instalación de dispensadores de </w:t>
      </w:r>
      <w:r>
        <w:rPr>
          <w:rFonts w:ascii="Verdana" w:hAnsi="Verdana"/>
          <w:color w:val="auto"/>
          <w:sz w:val="20"/>
          <w:szCs w:val="22"/>
        </w:rPr>
        <w:t>condones,</w:t>
      </w:r>
      <w:r w:rsidRPr="00920352">
        <w:rPr>
          <w:rFonts w:ascii="Verdana" w:hAnsi="Verdana"/>
          <w:color w:val="auto"/>
          <w:sz w:val="20"/>
          <w:szCs w:val="22"/>
        </w:rPr>
        <w:t xml:space="preserve"> en </w:t>
      </w:r>
      <w:r w:rsidR="00F22925">
        <w:rPr>
          <w:rFonts w:ascii="Verdana" w:hAnsi="Verdana"/>
          <w:color w:val="auto"/>
          <w:sz w:val="20"/>
          <w:szCs w:val="22"/>
        </w:rPr>
        <w:t>sitios de alta confluencia de público</w:t>
      </w:r>
      <w:r>
        <w:rPr>
          <w:rFonts w:ascii="Verdana" w:hAnsi="Verdana"/>
          <w:color w:val="auto"/>
          <w:sz w:val="20"/>
          <w:szCs w:val="22"/>
        </w:rPr>
        <w:t xml:space="preserve"> como: Universidades, Centros Comerciales, Portales</w:t>
      </w:r>
      <w:r w:rsidRPr="00920352">
        <w:rPr>
          <w:rFonts w:ascii="Verdana" w:hAnsi="Verdana" w:cs="Arial"/>
          <w:sz w:val="22"/>
          <w:szCs w:val="24"/>
          <w:lang w:val="es-ES_tradnl" w:eastAsia="es-CO"/>
        </w:rPr>
        <w:t xml:space="preserve"> de </w:t>
      </w:r>
      <w:r>
        <w:rPr>
          <w:rFonts w:ascii="Verdana" w:hAnsi="Verdana" w:cs="Arial"/>
          <w:sz w:val="22"/>
          <w:szCs w:val="24"/>
          <w:lang w:val="es-ES_tradnl" w:eastAsia="es-CO"/>
        </w:rPr>
        <w:t>T</w:t>
      </w:r>
      <w:r w:rsidRPr="00920352">
        <w:rPr>
          <w:rFonts w:ascii="Verdana" w:hAnsi="Verdana" w:cs="Arial"/>
          <w:sz w:val="22"/>
          <w:szCs w:val="24"/>
          <w:lang w:val="es-ES_tradnl" w:eastAsia="es-CO"/>
        </w:rPr>
        <w:t xml:space="preserve">ransmilenio, </w:t>
      </w:r>
      <w:r>
        <w:rPr>
          <w:rFonts w:ascii="Verdana" w:hAnsi="Verdana" w:cs="Arial"/>
          <w:sz w:val="22"/>
          <w:szCs w:val="24"/>
          <w:lang w:val="es-ES_tradnl" w:eastAsia="es-CO"/>
        </w:rPr>
        <w:t>B</w:t>
      </w:r>
      <w:r w:rsidRPr="00920352">
        <w:rPr>
          <w:rFonts w:ascii="Verdana" w:hAnsi="Verdana" w:cs="Arial"/>
          <w:sz w:val="22"/>
          <w:szCs w:val="24"/>
          <w:lang w:val="es-ES_tradnl" w:eastAsia="es-CO"/>
        </w:rPr>
        <w:t xml:space="preserve">ares, </w:t>
      </w:r>
      <w:r>
        <w:rPr>
          <w:rFonts w:ascii="Verdana" w:hAnsi="Verdana" w:cs="Arial"/>
          <w:sz w:val="22"/>
          <w:szCs w:val="24"/>
          <w:lang w:val="es-ES_tradnl" w:eastAsia="es-CO"/>
        </w:rPr>
        <w:t>D</w:t>
      </w:r>
      <w:r w:rsidRPr="00920352">
        <w:rPr>
          <w:rFonts w:ascii="Verdana" w:hAnsi="Verdana" w:cs="Arial"/>
          <w:sz w:val="22"/>
          <w:szCs w:val="24"/>
          <w:lang w:val="es-ES_tradnl" w:eastAsia="es-CO"/>
        </w:rPr>
        <w:t xml:space="preserve">iscotecas y </w:t>
      </w:r>
      <w:r>
        <w:rPr>
          <w:rFonts w:ascii="Verdana" w:hAnsi="Verdana" w:cs="Arial"/>
          <w:sz w:val="22"/>
          <w:szCs w:val="24"/>
          <w:lang w:val="es-ES_tradnl" w:eastAsia="es-CO"/>
        </w:rPr>
        <w:t>R</w:t>
      </w:r>
      <w:r w:rsidRPr="00920352">
        <w:rPr>
          <w:rFonts w:ascii="Verdana" w:hAnsi="Verdana" w:cs="Arial"/>
          <w:sz w:val="22"/>
          <w:szCs w:val="24"/>
          <w:lang w:val="es-ES_tradnl" w:eastAsia="es-CO"/>
        </w:rPr>
        <w:t>estaurantes</w:t>
      </w:r>
      <w:r>
        <w:rPr>
          <w:rFonts w:ascii="Verdana" w:hAnsi="Verdana" w:cs="Arial"/>
          <w:sz w:val="22"/>
          <w:szCs w:val="24"/>
          <w:lang w:val="es-ES_tradnl" w:eastAsia="es-CO"/>
        </w:rPr>
        <w:t xml:space="preserve"> entre otros</w:t>
      </w:r>
      <w:r w:rsidRPr="00920352">
        <w:rPr>
          <w:rFonts w:ascii="Verdana" w:hAnsi="Verdana"/>
          <w:color w:val="auto"/>
          <w:sz w:val="20"/>
          <w:szCs w:val="22"/>
        </w:rPr>
        <w:t>,</w:t>
      </w:r>
      <w:r>
        <w:rPr>
          <w:rFonts w:ascii="Verdana" w:hAnsi="Verdana"/>
          <w:color w:val="auto"/>
          <w:sz w:val="20"/>
          <w:szCs w:val="22"/>
        </w:rPr>
        <w:t xml:space="preserve"> con el fin de prevenir infecciones de transmisión sexual, embarazos no deseados y disfrute de la sexualidad los cuales estarán dotados con la información necesaria sobre su adecuada utilización.</w:t>
      </w:r>
    </w:p>
    <w:p w:rsidR="009075A1" w:rsidRDefault="009075A1" w:rsidP="009075A1">
      <w:pPr>
        <w:jc w:val="both"/>
        <w:rPr>
          <w:rFonts w:ascii="Verdana" w:hAnsi="Verdana"/>
          <w:color w:val="auto"/>
          <w:sz w:val="20"/>
          <w:szCs w:val="22"/>
        </w:rPr>
      </w:pPr>
    </w:p>
    <w:p w:rsidR="009075A1" w:rsidRDefault="009075A1" w:rsidP="009075A1">
      <w:pPr>
        <w:jc w:val="both"/>
        <w:rPr>
          <w:rFonts w:ascii="Verdana" w:hAnsi="Verdana"/>
          <w:color w:val="auto"/>
          <w:sz w:val="20"/>
          <w:szCs w:val="22"/>
        </w:rPr>
      </w:pPr>
      <w:r w:rsidRPr="00920352">
        <w:rPr>
          <w:rFonts w:ascii="Verdana" w:hAnsi="Verdana"/>
          <w:b/>
          <w:bCs/>
          <w:color w:val="auto"/>
          <w:sz w:val="20"/>
          <w:szCs w:val="22"/>
        </w:rPr>
        <w:t>ARTÍCULO 2</w:t>
      </w:r>
      <w:r w:rsidRPr="00920352">
        <w:rPr>
          <w:rFonts w:ascii="Verdana" w:hAnsi="Verdana"/>
          <w:color w:val="auto"/>
          <w:sz w:val="20"/>
          <w:szCs w:val="22"/>
        </w:rPr>
        <w:t>.- Los</w:t>
      </w:r>
      <w:r w:rsidR="00F22925">
        <w:rPr>
          <w:rFonts w:ascii="Verdana" w:hAnsi="Verdana"/>
          <w:color w:val="auto"/>
          <w:sz w:val="20"/>
          <w:szCs w:val="22"/>
        </w:rPr>
        <w:t xml:space="preserve"> sitios de alta confluencia de público</w:t>
      </w:r>
      <w:r>
        <w:rPr>
          <w:rFonts w:ascii="Verdana" w:hAnsi="Verdana"/>
          <w:color w:val="auto"/>
          <w:sz w:val="20"/>
          <w:szCs w:val="22"/>
        </w:rPr>
        <w:t xml:space="preserve"> mencionados en el artículo anterior, deberán estipular un lugar estratégico para el acceso a los dispensadores e insumos.</w:t>
      </w:r>
    </w:p>
    <w:p w:rsidR="009075A1" w:rsidRPr="00920352" w:rsidRDefault="009075A1" w:rsidP="009075A1">
      <w:pPr>
        <w:jc w:val="both"/>
        <w:rPr>
          <w:rFonts w:ascii="Verdana" w:hAnsi="Verdana"/>
          <w:b/>
          <w:bCs/>
          <w:color w:val="auto"/>
          <w:sz w:val="20"/>
          <w:szCs w:val="22"/>
        </w:rPr>
      </w:pPr>
      <w:r w:rsidRPr="00920352">
        <w:rPr>
          <w:rFonts w:ascii="Verdana" w:hAnsi="Verdana"/>
          <w:b/>
          <w:bCs/>
          <w:color w:val="auto"/>
          <w:sz w:val="20"/>
          <w:szCs w:val="22"/>
        </w:rPr>
        <w:t xml:space="preserve"> </w:t>
      </w:r>
    </w:p>
    <w:p w:rsidR="009075A1" w:rsidRPr="00920352" w:rsidRDefault="009075A1" w:rsidP="009075A1">
      <w:pPr>
        <w:jc w:val="both"/>
        <w:rPr>
          <w:rFonts w:ascii="Verdana" w:hAnsi="Verdana"/>
          <w:color w:val="auto"/>
          <w:sz w:val="20"/>
          <w:szCs w:val="22"/>
        </w:rPr>
      </w:pPr>
      <w:r w:rsidRPr="00920352">
        <w:rPr>
          <w:rFonts w:ascii="Verdana" w:hAnsi="Verdana"/>
          <w:b/>
          <w:bCs/>
          <w:color w:val="auto"/>
          <w:sz w:val="20"/>
          <w:szCs w:val="22"/>
        </w:rPr>
        <w:t>ARTÍCULO 3</w:t>
      </w:r>
      <w:r w:rsidRPr="00920352">
        <w:rPr>
          <w:rFonts w:ascii="Verdana" w:hAnsi="Verdana"/>
          <w:color w:val="auto"/>
          <w:sz w:val="20"/>
          <w:szCs w:val="22"/>
        </w:rPr>
        <w:t xml:space="preserve">.- </w:t>
      </w:r>
      <w:r w:rsidRPr="00EF1BB8">
        <w:rPr>
          <w:rFonts w:ascii="Verdana" w:hAnsi="Verdana"/>
          <w:color w:val="auto"/>
          <w:sz w:val="20"/>
          <w:szCs w:val="22"/>
        </w:rPr>
        <w:t>La Secretaría Distrital de Salud, en coordinación con la Secretaría</w:t>
      </w:r>
      <w:r>
        <w:rPr>
          <w:rFonts w:ascii="Verdana" w:hAnsi="Verdana"/>
          <w:color w:val="auto"/>
          <w:sz w:val="20"/>
          <w:szCs w:val="22"/>
        </w:rPr>
        <w:t xml:space="preserve"> </w:t>
      </w:r>
      <w:r w:rsidRPr="00EF1BB8">
        <w:rPr>
          <w:rFonts w:ascii="Verdana" w:hAnsi="Verdana"/>
          <w:color w:val="auto"/>
          <w:sz w:val="20"/>
          <w:szCs w:val="22"/>
        </w:rPr>
        <w:t>Distrital de integración Social, Secretaría de Educación, Secretaría de la Mujer,</w:t>
      </w:r>
      <w:r>
        <w:rPr>
          <w:rFonts w:ascii="Verdana" w:hAnsi="Verdana"/>
          <w:color w:val="auto"/>
          <w:sz w:val="20"/>
          <w:szCs w:val="22"/>
        </w:rPr>
        <w:t xml:space="preserve"> </w:t>
      </w:r>
      <w:r w:rsidRPr="00EF1BB8">
        <w:rPr>
          <w:rFonts w:ascii="Verdana" w:hAnsi="Verdana"/>
          <w:color w:val="auto"/>
          <w:sz w:val="20"/>
          <w:szCs w:val="22"/>
        </w:rPr>
        <w:t>Secretaría de Movilidad, Secretaría de Planeació</w:t>
      </w:r>
      <w:r>
        <w:rPr>
          <w:rFonts w:ascii="Verdana" w:hAnsi="Verdana"/>
          <w:color w:val="auto"/>
          <w:sz w:val="20"/>
          <w:szCs w:val="22"/>
        </w:rPr>
        <w:t xml:space="preserve">n Distrital, determinarán en la </w:t>
      </w:r>
      <w:r w:rsidRPr="00EF1BB8">
        <w:rPr>
          <w:rFonts w:ascii="Verdana" w:hAnsi="Verdana"/>
          <w:color w:val="auto"/>
          <w:sz w:val="20"/>
          <w:szCs w:val="22"/>
        </w:rPr>
        <w:t>reglamentación del presente Acuerdo, la ubic</w:t>
      </w:r>
      <w:r>
        <w:rPr>
          <w:rFonts w:ascii="Verdana" w:hAnsi="Verdana"/>
          <w:color w:val="auto"/>
          <w:sz w:val="20"/>
          <w:szCs w:val="22"/>
        </w:rPr>
        <w:t xml:space="preserve">ación e instalación, el tipo de </w:t>
      </w:r>
      <w:r w:rsidRPr="00EF1BB8">
        <w:rPr>
          <w:rFonts w:ascii="Verdana" w:hAnsi="Verdana"/>
          <w:color w:val="auto"/>
          <w:sz w:val="20"/>
          <w:szCs w:val="22"/>
        </w:rPr>
        <w:t>insumos, el tipo de campañas de información</w:t>
      </w:r>
      <w:r>
        <w:rPr>
          <w:rFonts w:ascii="Verdana" w:hAnsi="Verdana"/>
          <w:color w:val="auto"/>
          <w:sz w:val="20"/>
          <w:szCs w:val="22"/>
        </w:rPr>
        <w:t xml:space="preserve">, educación y comunicación, así </w:t>
      </w:r>
      <w:r w:rsidRPr="00EF1BB8">
        <w:rPr>
          <w:rFonts w:ascii="Verdana" w:hAnsi="Verdana"/>
          <w:color w:val="auto"/>
          <w:sz w:val="20"/>
          <w:szCs w:val="22"/>
        </w:rPr>
        <w:t xml:space="preserve">como el financiamiento, implementación, monitoreo </w:t>
      </w:r>
      <w:r>
        <w:rPr>
          <w:rFonts w:ascii="Verdana" w:hAnsi="Verdana"/>
          <w:color w:val="auto"/>
          <w:sz w:val="20"/>
          <w:szCs w:val="22"/>
        </w:rPr>
        <w:t xml:space="preserve">y evaluación de las estrategias </w:t>
      </w:r>
      <w:r w:rsidRPr="00EF1BB8">
        <w:rPr>
          <w:rFonts w:ascii="Verdana" w:hAnsi="Verdana"/>
          <w:color w:val="auto"/>
          <w:sz w:val="20"/>
          <w:szCs w:val="22"/>
        </w:rPr>
        <w:t>para el montaje y mantenimiento de los dis</w:t>
      </w:r>
      <w:r>
        <w:rPr>
          <w:rFonts w:ascii="Verdana" w:hAnsi="Verdana"/>
          <w:color w:val="auto"/>
          <w:sz w:val="20"/>
          <w:szCs w:val="22"/>
        </w:rPr>
        <w:t xml:space="preserve">pensadores, el abastecimiento y </w:t>
      </w:r>
      <w:r w:rsidRPr="00EF1BB8">
        <w:rPr>
          <w:rFonts w:ascii="Verdana" w:hAnsi="Verdana"/>
          <w:color w:val="auto"/>
          <w:sz w:val="20"/>
          <w:szCs w:val="22"/>
        </w:rPr>
        <w:t>suministro permanente de preservativos y el repo</w:t>
      </w:r>
      <w:r>
        <w:rPr>
          <w:rFonts w:ascii="Verdana" w:hAnsi="Verdana"/>
          <w:color w:val="auto"/>
          <w:sz w:val="20"/>
          <w:szCs w:val="22"/>
        </w:rPr>
        <w:t xml:space="preserve">rte de la distribución. En todo </w:t>
      </w:r>
      <w:r w:rsidRPr="00EF1BB8">
        <w:rPr>
          <w:rFonts w:ascii="Verdana" w:hAnsi="Verdana"/>
          <w:color w:val="auto"/>
          <w:sz w:val="20"/>
          <w:szCs w:val="22"/>
        </w:rPr>
        <w:t>caso los preservativos a ser distribuidos deben</w:t>
      </w:r>
      <w:r>
        <w:rPr>
          <w:rFonts w:ascii="Verdana" w:hAnsi="Verdana"/>
          <w:color w:val="auto"/>
          <w:sz w:val="20"/>
          <w:szCs w:val="22"/>
        </w:rPr>
        <w:t xml:space="preserve"> cumplir con los requerimientos </w:t>
      </w:r>
      <w:r w:rsidRPr="00EF1BB8">
        <w:rPr>
          <w:rFonts w:ascii="Verdana" w:hAnsi="Verdana"/>
          <w:color w:val="auto"/>
          <w:sz w:val="20"/>
          <w:szCs w:val="22"/>
        </w:rPr>
        <w:t>técnicos establecidos por las normas de INV</w:t>
      </w:r>
      <w:r>
        <w:rPr>
          <w:rFonts w:ascii="Verdana" w:hAnsi="Verdana"/>
          <w:color w:val="auto"/>
          <w:sz w:val="20"/>
          <w:szCs w:val="22"/>
        </w:rPr>
        <w:t>I</w:t>
      </w:r>
      <w:r w:rsidRPr="00EF1BB8">
        <w:rPr>
          <w:rFonts w:ascii="Verdana" w:hAnsi="Verdana"/>
          <w:color w:val="auto"/>
          <w:sz w:val="20"/>
          <w:szCs w:val="22"/>
        </w:rPr>
        <w:t>MA y</w:t>
      </w:r>
      <w:r>
        <w:rPr>
          <w:rFonts w:ascii="Verdana" w:hAnsi="Verdana"/>
          <w:color w:val="auto"/>
          <w:sz w:val="20"/>
          <w:szCs w:val="22"/>
        </w:rPr>
        <w:t xml:space="preserve"> los condones tendrían un costo </w:t>
      </w:r>
      <w:r w:rsidRPr="00EF1BB8">
        <w:rPr>
          <w:rFonts w:ascii="Verdana" w:hAnsi="Verdana"/>
          <w:color w:val="auto"/>
          <w:sz w:val="20"/>
          <w:szCs w:val="22"/>
        </w:rPr>
        <w:t xml:space="preserve">mínimo que genere responsabilidad y compromiso por parte de los usuarios. </w:t>
      </w:r>
      <w:r w:rsidRPr="00EF1BB8">
        <w:rPr>
          <w:rFonts w:ascii="Verdana" w:hAnsi="Verdana"/>
          <w:color w:val="auto"/>
          <w:sz w:val="20"/>
          <w:szCs w:val="22"/>
        </w:rPr>
        <w:cr/>
      </w:r>
    </w:p>
    <w:p w:rsidR="009075A1" w:rsidRDefault="009075A1" w:rsidP="009075A1">
      <w:pPr>
        <w:pStyle w:val="Default"/>
        <w:jc w:val="both"/>
        <w:rPr>
          <w:rFonts w:ascii="Verdana" w:hAnsi="Verdana"/>
          <w:color w:val="auto"/>
          <w:sz w:val="20"/>
          <w:szCs w:val="22"/>
        </w:rPr>
      </w:pPr>
      <w:r w:rsidRPr="00920352">
        <w:rPr>
          <w:rFonts w:ascii="Verdana" w:hAnsi="Verdana"/>
          <w:b/>
          <w:bCs/>
          <w:color w:val="auto"/>
          <w:sz w:val="20"/>
          <w:szCs w:val="22"/>
        </w:rPr>
        <w:t>ARTÍCULO 4</w:t>
      </w:r>
      <w:r w:rsidRPr="00920352">
        <w:rPr>
          <w:rFonts w:ascii="Verdana" w:hAnsi="Verdana"/>
          <w:color w:val="auto"/>
          <w:sz w:val="20"/>
          <w:szCs w:val="22"/>
        </w:rPr>
        <w:t xml:space="preserve">.- </w:t>
      </w:r>
      <w:r w:rsidRPr="00EF1BB8">
        <w:rPr>
          <w:rFonts w:ascii="Verdana" w:hAnsi="Verdana"/>
          <w:color w:val="auto"/>
          <w:sz w:val="20"/>
          <w:szCs w:val="22"/>
        </w:rPr>
        <w:t>Las instituciones competentes pr</w:t>
      </w:r>
      <w:r>
        <w:rPr>
          <w:rFonts w:ascii="Verdana" w:hAnsi="Verdana"/>
          <w:color w:val="auto"/>
          <w:sz w:val="20"/>
          <w:szCs w:val="22"/>
        </w:rPr>
        <w:t xml:space="preserve">esentarán un plan de acción, el </w:t>
      </w:r>
      <w:r w:rsidRPr="00EF1BB8">
        <w:rPr>
          <w:rFonts w:ascii="Verdana" w:hAnsi="Verdana"/>
          <w:color w:val="auto"/>
          <w:sz w:val="20"/>
          <w:szCs w:val="22"/>
        </w:rPr>
        <w:t>cual garantice las acciones que deban desarroll</w:t>
      </w:r>
      <w:r>
        <w:rPr>
          <w:rFonts w:ascii="Verdana" w:hAnsi="Verdana"/>
          <w:color w:val="auto"/>
          <w:sz w:val="20"/>
          <w:szCs w:val="22"/>
        </w:rPr>
        <w:t xml:space="preserve">arse para la implementación del </w:t>
      </w:r>
      <w:r w:rsidRPr="00EF1BB8">
        <w:rPr>
          <w:rFonts w:ascii="Verdana" w:hAnsi="Verdana"/>
          <w:color w:val="auto"/>
          <w:sz w:val="20"/>
          <w:szCs w:val="22"/>
        </w:rPr>
        <w:t xml:space="preserve">presente Acuerdo, en un plazo no mayor de 6 meses. </w:t>
      </w:r>
      <w:r w:rsidRPr="00EF1BB8">
        <w:rPr>
          <w:rFonts w:ascii="Verdana" w:hAnsi="Verdana"/>
          <w:color w:val="auto"/>
          <w:sz w:val="20"/>
          <w:szCs w:val="22"/>
        </w:rPr>
        <w:cr/>
      </w:r>
    </w:p>
    <w:p w:rsidR="009075A1" w:rsidRPr="00920352" w:rsidRDefault="009075A1" w:rsidP="009075A1">
      <w:pPr>
        <w:pStyle w:val="Default"/>
        <w:jc w:val="both"/>
        <w:rPr>
          <w:rFonts w:ascii="Verdana" w:hAnsi="Verdana"/>
          <w:color w:val="auto"/>
          <w:sz w:val="20"/>
          <w:szCs w:val="22"/>
        </w:rPr>
      </w:pPr>
      <w:r w:rsidRPr="00920352">
        <w:rPr>
          <w:rFonts w:ascii="Verdana" w:hAnsi="Verdana"/>
          <w:b/>
          <w:bCs/>
          <w:color w:val="auto"/>
          <w:sz w:val="20"/>
          <w:szCs w:val="22"/>
        </w:rPr>
        <w:t xml:space="preserve">ARTÍCULO </w:t>
      </w:r>
      <w:r>
        <w:rPr>
          <w:rFonts w:ascii="Verdana" w:hAnsi="Verdana"/>
          <w:b/>
          <w:bCs/>
          <w:color w:val="auto"/>
          <w:sz w:val="20"/>
          <w:szCs w:val="22"/>
        </w:rPr>
        <w:t>5</w:t>
      </w:r>
      <w:r w:rsidRPr="00920352">
        <w:rPr>
          <w:rFonts w:ascii="Verdana" w:hAnsi="Verdana"/>
          <w:b/>
          <w:bCs/>
          <w:color w:val="auto"/>
          <w:sz w:val="20"/>
          <w:szCs w:val="22"/>
        </w:rPr>
        <w:t xml:space="preserve">.- </w:t>
      </w:r>
      <w:r w:rsidRPr="00920352">
        <w:rPr>
          <w:rFonts w:ascii="Verdana" w:hAnsi="Verdana"/>
          <w:color w:val="auto"/>
          <w:sz w:val="20"/>
          <w:szCs w:val="22"/>
        </w:rPr>
        <w:t>El presente Acuerdo rige a partir de la fecha de su publicación.</w:t>
      </w:r>
    </w:p>
    <w:p w:rsidR="009075A1" w:rsidRPr="00920352" w:rsidRDefault="009075A1" w:rsidP="009075A1">
      <w:pPr>
        <w:pStyle w:val="Default"/>
        <w:jc w:val="both"/>
        <w:rPr>
          <w:rFonts w:ascii="Verdana" w:hAnsi="Verdana"/>
          <w:color w:val="auto"/>
          <w:sz w:val="20"/>
          <w:szCs w:val="22"/>
        </w:rPr>
      </w:pPr>
    </w:p>
    <w:p w:rsidR="009075A1" w:rsidRPr="00920352" w:rsidRDefault="009075A1" w:rsidP="009075A1">
      <w:pPr>
        <w:tabs>
          <w:tab w:val="left" w:pos="2715"/>
        </w:tabs>
        <w:jc w:val="center"/>
        <w:rPr>
          <w:rFonts w:ascii="Verdana" w:hAnsi="Verdana"/>
          <w:color w:val="auto"/>
          <w:sz w:val="20"/>
          <w:szCs w:val="22"/>
        </w:rPr>
      </w:pPr>
      <w:r w:rsidRPr="00920352">
        <w:rPr>
          <w:rFonts w:ascii="Verdana" w:hAnsi="Verdana"/>
          <w:color w:val="auto"/>
          <w:sz w:val="20"/>
          <w:szCs w:val="22"/>
        </w:rPr>
        <w:t>Dado en Bogotá D.C. a los…. días del mes de…  del año dos mil diez (2014).</w:t>
      </w:r>
    </w:p>
    <w:p w:rsidR="009075A1" w:rsidRPr="00920352" w:rsidRDefault="009075A1" w:rsidP="009075A1">
      <w:pPr>
        <w:tabs>
          <w:tab w:val="left" w:pos="2715"/>
        </w:tabs>
        <w:ind w:left="360"/>
        <w:jc w:val="both"/>
        <w:rPr>
          <w:rFonts w:ascii="Verdana" w:hAnsi="Verdana"/>
          <w:color w:val="auto"/>
          <w:sz w:val="20"/>
          <w:szCs w:val="22"/>
        </w:rPr>
      </w:pPr>
    </w:p>
    <w:p w:rsidR="009075A1" w:rsidRPr="00920352" w:rsidRDefault="009075A1" w:rsidP="009075A1">
      <w:pPr>
        <w:tabs>
          <w:tab w:val="left" w:pos="2715"/>
        </w:tabs>
        <w:ind w:left="360"/>
        <w:jc w:val="both"/>
        <w:rPr>
          <w:rFonts w:ascii="Verdana" w:hAnsi="Verdana"/>
          <w:color w:val="auto"/>
          <w:sz w:val="20"/>
          <w:szCs w:val="22"/>
        </w:rPr>
      </w:pPr>
    </w:p>
    <w:p w:rsidR="009075A1" w:rsidRPr="00920352" w:rsidRDefault="009075A1" w:rsidP="009075A1">
      <w:pPr>
        <w:tabs>
          <w:tab w:val="left" w:pos="2715"/>
        </w:tabs>
        <w:ind w:left="360"/>
        <w:jc w:val="center"/>
        <w:rPr>
          <w:rFonts w:ascii="Verdana" w:hAnsi="Verdana"/>
          <w:b/>
          <w:bCs/>
          <w:color w:val="auto"/>
          <w:sz w:val="20"/>
          <w:szCs w:val="22"/>
        </w:rPr>
      </w:pPr>
      <w:r w:rsidRPr="00920352">
        <w:rPr>
          <w:rFonts w:ascii="Verdana" w:hAnsi="Verdana"/>
          <w:b/>
          <w:bCs/>
          <w:color w:val="auto"/>
          <w:sz w:val="20"/>
          <w:szCs w:val="22"/>
        </w:rPr>
        <w:t>PUBLÍQUESE Y CÚMPLASE</w:t>
      </w:r>
    </w:p>
    <w:p w:rsidR="009075A1" w:rsidRPr="00CA5E03" w:rsidRDefault="009075A1" w:rsidP="009075A1">
      <w:pPr>
        <w:rPr>
          <w:lang w:val="es-CO"/>
        </w:rPr>
      </w:pPr>
      <w:r>
        <w:rPr>
          <w:lang w:val="es-CO"/>
        </w:rPr>
        <w:t>.</w:t>
      </w:r>
    </w:p>
    <w:p w:rsidR="005D47EB" w:rsidRDefault="001F6B7F"/>
    <w:sectPr w:rsidR="005D47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A1"/>
    <w:rsid w:val="00170B61"/>
    <w:rsid w:val="001F6B7F"/>
    <w:rsid w:val="00231300"/>
    <w:rsid w:val="0065043C"/>
    <w:rsid w:val="009075A1"/>
    <w:rsid w:val="00F2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49A9626-7F3D-42D6-B94C-AAECEBE0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A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075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CONCEJO DE BOGOTA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PATRICIA FORERO MORENO</dc:creator>
  <cp:lastModifiedBy>ALEX ANDRES VELA MACHADO</cp:lastModifiedBy>
  <cp:revision>2</cp:revision>
  <cp:lastPrinted>2014-11-24T20:23:00Z</cp:lastPrinted>
  <dcterms:created xsi:type="dcterms:W3CDTF">2014-11-25T13:42:00Z</dcterms:created>
  <dcterms:modified xsi:type="dcterms:W3CDTF">2014-11-25T13:42:00Z</dcterms:modified>
</cp:coreProperties>
</file>