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1D93F" w14:textId="77777777" w:rsidR="00FB34C4" w:rsidRPr="00D369AA" w:rsidRDefault="00FB34C4" w:rsidP="008D31A1">
      <w:pPr>
        <w:rPr>
          <w:rFonts w:cs="Arial"/>
          <w:b/>
          <w:bCs/>
          <w:szCs w:val="24"/>
          <w:lang w:val="es-CO"/>
        </w:rPr>
      </w:pPr>
      <w:bookmarkStart w:id="0" w:name="_GoBack"/>
      <w:bookmarkEnd w:id="0"/>
    </w:p>
    <w:p w14:paraId="58180C78" w14:textId="77777777" w:rsidR="00FB34C4" w:rsidRPr="002A613B" w:rsidRDefault="00FB34C4" w:rsidP="008D31A1">
      <w:pPr>
        <w:pStyle w:val="MediumGrid21"/>
        <w:suppressAutoHyphens/>
        <w:jc w:val="both"/>
        <w:rPr>
          <w:rFonts w:ascii="Arial" w:hAnsi="Arial" w:cs="Arial"/>
          <w:lang w:val="es-CO"/>
        </w:rPr>
      </w:pPr>
      <w:r w:rsidRPr="002A613B">
        <w:rPr>
          <w:rFonts w:ascii="Arial" w:hAnsi="Arial" w:cs="Arial"/>
          <w:lang w:val="es-CO"/>
        </w:rPr>
        <w:t>Doctor</w:t>
      </w:r>
    </w:p>
    <w:p w14:paraId="2DA3357B" w14:textId="234C09F9" w:rsidR="00FB34C4" w:rsidRPr="002A613B" w:rsidRDefault="00D369AA" w:rsidP="008D31A1">
      <w:pPr>
        <w:pStyle w:val="MediumGrid21"/>
        <w:suppressAutoHyphens/>
        <w:jc w:val="both"/>
        <w:rPr>
          <w:rFonts w:ascii="Arial" w:hAnsi="Arial" w:cs="Arial"/>
          <w:color w:val="000000"/>
          <w:lang w:val="es-CO" w:eastAsia="es-CO"/>
        </w:rPr>
      </w:pPr>
      <w:r w:rsidRPr="002A613B">
        <w:rPr>
          <w:rFonts w:ascii="Arial" w:hAnsi="Arial" w:cs="Arial"/>
          <w:b/>
          <w:lang w:val="es-CO"/>
        </w:rPr>
        <w:t>RAÚL</w:t>
      </w:r>
      <w:r w:rsidR="00FB34C4" w:rsidRPr="002A613B">
        <w:rPr>
          <w:rFonts w:ascii="Arial" w:hAnsi="Arial" w:cs="Arial"/>
          <w:b/>
          <w:lang w:val="es-CO"/>
        </w:rPr>
        <w:t xml:space="preserve"> ENRIQUE DANGOND</w:t>
      </w:r>
      <w:r w:rsidR="00FB34C4" w:rsidRPr="002A613B">
        <w:rPr>
          <w:rFonts w:ascii="Arial" w:hAnsi="Arial" w:cs="Arial"/>
          <w:color w:val="000000"/>
          <w:lang w:val="es-CO" w:eastAsia="es-CO"/>
        </w:rPr>
        <w:t xml:space="preserve"> </w:t>
      </w:r>
      <w:r w:rsidR="002A613B" w:rsidRPr="002A613B">
        <w:rPr>
          <w:rFonts w:ascii="Arial" w:hAnsi="Arial" w:cs="Arial"/>
          <w:b/>
          <w:color w:val="000000"/>
          <w:lang w:val="es-CO" w:eastAsia="es-CO"/>
        </w:rPr>
        <w:t>CONTRERAS</w:t>
      </w:r>
    </w:p>
    <w:p w14:paraId="69477A03" w14:textId="77777777" w:rsidR="00FB34C4" w:rsidRPr="002A613B" w:rsidRDefault="00FB34C4" w:rsidP="008D31A1">
      <w:pPr>
        <w:pStyle w:val="MediumGrid21"/>
        <w:suppressAutoHyphens/>
        <w:jc w:val="both"/>
        <w:rPr>
          <w:rFonts w:ascii="Arial" w:hAnsi="Arial" w:cs="Arial"/>
          <w:lang w:val="es-CO"/>
        </w:rPr>
      </w:pPr>
      <w:r w:rsidRPr="002A613B">
        <w:rPr>
          <w:rFonts w:ascii="Arial" w:hAnsi="Arial" w:cs="Arial"/>
          <w:color w:val="000000"/>
          <w:lang w:val="es-CO" w:eastAsia="es-CO"/>
        </w:rPr>
        <w:t>Secretario Comis</w:t>
      </w:r>
      <w:r w:rsidRPr="002A613B">
        <w:rPr>
          <w:rFonts w:ascii="Arial" w:hAnsi="Arial" w:cs="Arial"/>
          <w:lang w:val="es-CO"/>
        </w:rPr>
        <w:t xml:space="preserve">ión Tercera Permanente de Hacienda y Crédito Público </w:t>
      </w:r>
    </w:p>
    <w:p w14:paraId="7620A61E" w14:textId="77777777" w:rsidR="00FB34C4" w:rsidRPr="002A613B" w:rsidRDefault="00FB34C4" w:rsidP="008D31A1">
      <w:pPr>
        <w:pStyle w:val="MediumGrid21"/>
        <w:suppressAutoHyphens/>
        <w:jc w:val="both"/>
        <w:rPr>
          <w:rFonts w:ascii="Arial" w:hAnsi="Arial" w:cs="Arial"/>
          <w:lang w:val="es-CO"/>
        </w:rPr>
      </w:pPr>
      <w:r w:rsidRPr="002A613B">
        <w:rPr>
          <w:rFonts w:ascii="Arial" w:hAnsi="Arial" w:cs="Arial"/>
          <w:lang w:val="es-CO"/>
        </w:rPr>
        <w:t>Concejo de Bogotá D.C.</w:t>
      </w:r>
    </w:p>
    <w:p w14:paraId="5D91D5B7" w14:textId="77777777" w:rsidR="00FB34C4" w:rsidRPr="002A613B" w:rsidRDefault="00FB34C4" w:rsidP="008D31A1">
      <w:pPr>
        <w:pStyle w:val="MediumGrid21"/>
        <w:suppressAutoHyphens/>
        <w:jc w:val="both"/>
        <w:rPr>
          <w:rFonts w:ascii="Arial" w:hAnsi="Arial" w:cs="Arial"/>
          <w:lang w:val="es-CO"/>
        </w:rPr>
      </w:pPr>
      <w:r w:rsidRPr="002A613B">
        <w:rPr>
          <w:rFonts w:ascii="Arial" w:hAnsi="Arial" w:cs="Arial"/>
          <w:lang w:val="es-CO"/>
        </w:rPr>
        <w:t>Ciudad</w:t>
      </w:r>
    </w:p>
    <w:p w14:paraId="3EC0C165" w14:textId="77777777" w:rsidR="00FB34C4" w:rsidRPr="00D369AA" w:rsidRDefault="00FB34C4" w:rsidP="008D31A1">
      <w:pPr>
        <w:rPr>
          <w:rFonts w:cs="Arial"/>
          <w:b/>
          <w:szCs w:val="24"/>
          <w:lang w:val="es-CO"/>
        </w:rPr>
      </w:pPr>
    </w:p>
    <w:p w14:paraId="03C81976" w14:textId="77777777" w:rsidR="00FB34C4" w:rsidRPr="00D369AA" w:rsidRDefault="00FB34C4" w:rsidP="008D31A1">
      <w:pPr>
        <w:rPr>
          <w:rFonts w:cs="Arial"/>
          <w:b/>
          <w:szCs w:val="24"/>
          <w:lang w:val="es-CO"/>
        </w:rPr>
      </w:pPr>
    </w:p>
    <w:p w14:paraId="2E856835" w14:textId="4DDA7070" w:rsidR="00FB34C4" w:rsidRPr="00D369AA" w:rsidRDefault="00FB34C4" w:rsidP="008D31A1">
      <w:pPr>
        <w:pStyle w:val="MediumGrid21"/>
        <w:suppressAutoHyphens/>
        <w:ind w:left="2835" w:hanging="1417"/>
        <w:jc w:val="both"/>
        <w:rPr>
          <w:rFonts w:ascii="Arial" w:hAnsi="Arial" w:cs="Arial"/>
          <w:lang w:val="es-CO"/>
        </w:rPr>
      </w:pPr>
      <w:r w:rsidRPr="00D369AA">
        <w:rPr>
          <w:rFonts w:ascii="Arial" w:hAnsi="Arial" w:cs="Arial"/>
          <w:b/>
          <w:lang w:val="es-CO"/>
        </w:rPr>
        <w:t>Referencia:</w:t>
      </w:r>
      <w:r w:rsidRPr="00D369AA">
        <w:rPr>
          <w:rFonts w:ascii="Arial" w:hAnsi="Arial" w:cs="Arial"/>
          <w:lang w:val="es-CO"/>
        </w:rPr>
        <w:t xml:space="preserve"> Ponencia para primer debate del Proyecto de Acuerdo No.</w:t>
      </w:r>
      <w:r w:rsidR="003E7D32" w:rsidRPr="00D369AA">
        <w:rPr>
          <w:rFonts w:ascii="Arial" w:hAnsi="Arial" w:cs="Arial"/>
          <w:lang w:val="es-CO"/>
        </w:rPr>
        <w:t xml:space="preserve"> </w:t>
      </w:r>
      <w:r w:rsidR="001E2E7B" w:rsidRPr="00D369AA">
        <w:rPr>
          <w:rFonts w:ascii="Arial" w:hAnsi="Arial" w:cs="Arial"/>
          <w:lang w:val="es-CO"/>
        </w:rPr>
        <w:t>472</w:t>
      </w:r>
      <w:r w:rsidR="00F96E3E" w:rsidRPr="00D369AA">
        <w:rPr>
          <w:rFonts w:ascii="Arial" w:hAnsi="Arial" w:cs="Arial"/>
          <w:lang w:val="es-CO"/>
        </w:rPr>
        <w:t xml:space="preserve"> </w:t>
      </w:r>
      <w:r w:rsidRPr="00D369AA">
        <w:rPr>
          <w:rFonts w:ascii="Arial" w:hAnsi="Arial" w:cs="Arial"/>
          <w:lang w:val="es-CO"/>
        </w:rPr>
        <w:t>de 2016.</w:t>
      </w:r>
    </w:p>
    <w:p w14:paraId="4EFB96C4" w14:textId="77777777" w:rsidR="00FB34C4" w:rsidRPr="00D369AA" w:rsidRDefault="00FB34C4" w:rsidP="008D31A1">
      <w:pPr>
        <w:pStyle w:val="MediumGrid21"/>
        <w:tabs>
          <w:tab w:val="left" w:pos="5145"/>
        </w:tabs>
        <w:suppressAutoHyphens/>
        <w:jc w:val="both"/>
        <w:rPr>
          <w:rFonts w:ascii="Arial" w:hAnsi="Arial" w:cs="Arial"/>
          <w:lang w:val="es-CO"/>
        </w:rPr>
      </w:pPr>
      <w:r w:rsidRPr="00D369AA">
        <w:rPr>
          <w:rFonts w:ascii="Arial" w:hAnsi="Arial" w:cs="Arial"/>
          <w:lang w:val="es-CO"/>
        </w:rPr>
        <w:tab/>
      </w:r>
    </w:p>
    <w:p w14:paraId="24D3AB0E" w14:textId="77777777" w:rsidR="00FB34C4" w:rsidRPr="00D369AA" w:rsidRDefault="00FB34C4" w:rsidP="008D31A1">
      <w:pPr>
        <w:rPr>
          <w:b/>
          <w:i/>
          <w:lang w:val="es-CO" w:eastAsia="es-CO"/>
        </w:rPr>
      </w:pPr>
      <w:r w:rsidRPr="00D369AA">
        <w:rPr>
          <w:rFonts w:cs="Arial"/>
          <w:lang w:val="es-CO"/>
        </w:rPr>
        <w:t xml:space="preserve">Atendiendo la designación que mediante sorteo me fue efectuada para rendir ponencia al Proyecto de Acuerdo No. </w:t>
      </w:r>
      <w:r w:rsidR="001E2E7B" w:rsidRPr="00D369AA">
        <w:rPr>
          <w:rFonts w:cs="Arial"/>
          <w:lang w:val="es-CO"/>
        </w:rPr>
        <w:t>472</w:t>
      </w:r>
      <w:r w:rsidRPr="00D369AA">
        <w:rPr>
          <w:rFonts w:cs="Arial"/>
          <w:lang w:val="es-CO"/>
        </w:rPr>
        <w:t xml:space="preserve"> de 2016, </w:t>
      </w:r>
      <w:r w:rsidR="001E2E7B" w:rsidRPr="00D369AA">
        <w:rPr>
          <w:b/>
          <w:i/>
          <w:lang w:val="es-CO" w:eastAsia="es-CO"/>
        </w:rPr>
        <w:t>“</w:t>
      </w:r>
      <w:r w:rsidR="001E2E7B" w:rsidRPr="00D369AA">
        <w:rPr>
          <w:i/>
          <w:lang w:val="es-CO" w:eastAsia="es-CO"/>
        </w:rPr>
        <w:t>Por medio del cu</w:t>
      </w:r>
      <w:r w:rsidR="00542623" w:rsidRPr="00D369AA">
        <w:rPr>
          <w:i/>
          <w:lang w:val="es-CO" w:eastAsia="es-CO"/>
        </w:rPr>
        <w:t>al se autoriza a la E</w:t>
      </w:r>
      <w:r w:rsidR="001E2E7B" w:rsidRPr="00D369AA">
        <w:rPr>
          <w:i/>
          <w:lang w:val="es-CO" w:eastAsia="es-CO"/>
        </w:rPr>
        <w:t xml:space="preserve">mpresa de Energía de Bogotá S.A. E.S.P. para que enajene la participación accionaria que posee en Interconexión Eléctrica S.A. E.S.P. – ISA-, Grupo </w:t>
      </w:r>
      <w:proofErr w:type="spellStart"/>
      <w:r w:rsidR="001E2E7B" w:rsidRPr="00D369AA">
        <w:rPr>
          <w:i/>
          <w:lang w:val="es-CO" w:eastAsia="es-CO"/>
        </w:rPr>
        <w:t>Nutresa</w:t>
      </w:r>
      <w:proofErr w:type="spellEnd"/>
      <w:r w:rsidR="001E2E7B" w:rsidRPr="00D369AA">
        <w:rPr>
          <w:i/>
          <w:lang w:val="es-CO" w:eastAsia="es-CO"/>
        </w:rPr>
        <w:t xml:space="preserve"> S.A., Banco Popular S.A. y a EEB Gas S.A.S. para que enajene la participación accionaria que posee en </w:t>
      </w:r>
      <w:proofErr w:type="spellStart"/>
      <w:r w:rsidR="001E2E7B" w:rsidRPr="00D369AA">
        <w:rPr>
          <w:i/>
          <w:lang w:val="es-CO" w:eastAsia="es-CO"/>
        </w:rPr>
        <w:t>Promigas</w:t>
      </w:r>
      <w:proofErr w:type="spellEnd"/>
      <w:r w:rsidR="001E2E7B" w:rsidRPr="00D369AA">
        <w:rPr>
          <w:i/>
          <w:lang w:val="es-CO" w:eastAsia="es-CO"/>
        </w:rPr>
        <w:t xml:space="preserve"> S.A. E.S.P</w:t>
      </w:r>
      <w:r w:rsidR="001E2E7B" w:rsidRPr="00D369AA">
        <w:rPr>
          <w:b/>
          <w:i/>
          <w:lang w:val="es-CO" w:eastAsia="es-CO"/>
        </w:rPr>
        <w:t>.”</w:t>
      </w:r>
      <w:r w:rsidRPr="00D369AA">
        <w:rPr>
          <w:rFonts w:cs="Arial"/>
          <w:szCs w:val="24"/>
          <w:lang w:val="es-CO"/>
        </w:rPr>
        <w:t xml:space="preserve">, </w:t>
      </w:r>
      <w:r w:rsidR="001A6FB6" w:rsidRPr="00D369AA">
        <w:rPr>
          <w:rFonts w:cs="Arial"/>
          <w:szCs w:val="24"/>
          <w:lang w:val="es-CO"/>
        </w:rPr>
        <w:t xml:space="preserve">me permito rendir </w:t>
      </w:r>
      <w:r w:rsidRPr="00D369AA">
        <w:rPr>
          <w:rFonts w:cs="Arial"/>
          <w:szCs w:val="24"/>
          <w:lang w:val="es-CO"/>
        </w:rPr>
        <w:t>la siguiente ponencia positiva</w:t>
      </w:r>
      <w:r w:rsidR="001E2E7B" w:rsidRPr="00D369AA">
        <w:rPr>
          <w:rFonts w:cs="Arial"/>
          <w:szCs w:val="24"/>
          <w:lang w:val="es-CO"/>
        </w:rPr>
        <w:t xml:space="preserve"> con modificaciones</w:t>
      </w:r>
      <w:r w:rsidRPr="00D369AA">
        <w:rPr>
          <w:rFonts w:cs="Arial"/>
          <w:szCs w:val="24"/>
          <w:lang w:val="es-CO"/>
        </w:rPr>
        <w:t>.</w:t>
      </w:r>
    </w:p>
    <w:p w14:paraId="6A653501" w14:textId="42E6F787" w:rsidR="00FB34C4" w:rsidRPr="00D369AA" w:rsidRDefault="00FB34C4" w:rsidP="008D31A1">
      <w:pPr>
        <w:rPr>
          <w:rFonts w:cs="Arial"/>
          <w:i/>
          <w:szCs w:val="24"/>
          <w:highlight w:val="yellow"/>
          <w:lang w:val="es-CO"/>
        </w:rPr>
      </w:pPr>
    </w:p>
    <w:p w14:paraId="47AF465F" w14:textId="77777777" w:rsidR="00FB34C4" w:rsidRPr="00D369AA" w:rsidRDefault="00FB34C4" w:rsidP="008D31A1">
      <w:pPr>
        <w:rPr>
          <w:rFonts w:cs="Arial"/>
          <w:b/>
          <w:bCs/>
          <w:szCs w:val="24"/>
          <w:lang w:val="es-CO"/>
        </w:rPr>
      </w:pPr>
      <w:r w:rsidRPr="00D369AA">
        <w:rPr>
          <w:rFonts w:cs="Arial"/>
          <w:b/>
          <w:szCs w:val="24"/>
          <w:lang w:val="es-CO"/>
        </w:rPr>
        <w:t>Resumen</w:t>
      </w:r>
    </w:p>
    <w:p w14:paraId="2A2B90A4" w14:textId="77777777" w:rsidR="00FB34C4" w:rsidRPr="00D369AA" w:rsidRDefault="00FB34C4" w:rsidP="008D31A1">
      <w:pPr>
        <w:rPr>
          <w:rFonts w:cs="Arial"/>
          <w:b/>
          <w:bCs/>
          <w:szCs w:val="24"/>
          <w:lang w:val="es-CO"/>
        </w:rPr>
      </w:pPr>
    </w:p>
    <w:p w14:paraId="6458AD28" w14:textId="7AACB8E8" w:rsidR="00C93061" w:rsidRPr="00D369AA" w:rsidRDefault="00FB34C4" w:rsidP="008D31A1">
      <w:pPr>
        <w:rPr>
          <w:rFonts w:cs="Arial"/>
          <w:bCs/>
          <w:szCs w:val="24"/>
          <w:lang w:val="es-CO"/>
        </w:rPr>
      </w:pPr>
      <w:r w:rsidRPr="00D369AA">
        <w:rPr>
          <w:rFonts w:cs="Arial"/>
          <w:bCs/>
          <w:szCs w:val="24"/>
          <w:lang w:val="es-CO"/>
        </w:rPr>
        <w:t xml:space="preserve">El proyecto de acuerdo objeto de la presente ponencia, </w:t>
      </w:r>
      <w:r w:rsidR="00501C7C" w:rsidRPr="00D369AA">
        <w:rPr>
          <w:rFonts w:cs="Arial"/>
          <w:bCs/>
          <w:szCs w:val="24"/>
          <w:lang w:val="es-CO"/>
        </w:rPr>
        <w:t>ha sido presentado ante esta</w:t>
      </w:r>
      <w:r w:rsidR="00542623" w:rsidRPr="00D369AA">
        <w:rPr>
          <w:rFonts w:cs="Arial"/>
          <w:bCs/>
          <w:szCs w:val="24"/>
          <w:lang w:val="es-CO"/>
        </w:rPr>
        <w:t xml:space="preserve"> Corporación</w:t>
      </w:r>
      <w:r w:rsidR="00501C7C" w:rsidRPr="00D369AA">
        <w:rPr>
          <w:rFonts w:cs="Arial"/>
          <w:bCs/>
          <w:szCs w:val="24"/>
          <w:lang w:val="es-CO"/>
        </w:rPr>
        <w:t xml:space="preserve"> con el fin s</w:t>
      </w:r>
      <w:r w:rsidR="003227A0" w:rsidRPr="00D369AA">
        <w:rPr>
          <w:rFonts w:cs="Arial"/>
          <w:bCs/>
          <w:szCs w:val="24"/>
          <w:lang w:val="es-CO"/>
        </w:rPr>
        <w:t xml:space="preserve">olicitar la autorización </w:t>
      </w:r>
      <w:r w:rsidR="00542623" w:rsidRPr="00D369AA">
        <w:rPr>
          <w:rFonts w:cs="Arial"/>
          <w:bCs/>
          <w:szCs w:val="24"/>
          <w:lang w:val="es-CO"/>
        </w:rPr>
        <w:t xml:space="preserve">para que la Empresa de </w:t>
      </w:r>
      <w:r w:rsidR="00542623" w:rsidRPr="00D369AA">
        <w:rPr>
          <w:lang w:val="es-CO" w:eastAsia="es-CO"/>
        </w:rPr>
        <w:t>Energía de</w:t>
      </w:r>
      <w:r w:rsidR="00542623" w:rsidRPr="00D369AA">
        <w:rPr>
          <w:i/>
          <w:lang w:val="es-CO" w:eastAsia="es-CO"/>
        </w:rPr>
        <w:t xml:space="preserve"> </w:t>
      </w:r>
      <w:r w:rsidR="00542623" w:rsidRPr="00D369AA">
        <w:rPr>
          <w:lang w:val="es-CO" w:eastAsia="es-CO"/>
        </w:rPr>
        <w:t>Bogotá S.A. E.S.P.</w:t>
      </w:r>
      <w:r w:rsidR="002A613B">
        <w:rPr>
          <w:lang w:val="es-CO" w:eastAsia="es-CO"/>
        </w:rPr>
        <w:t>,</w:t>
      </w:r>
      <w:r w:rsidR="00542623" w:rsidRPr="00D369AA">
        <w:rPr>
          <w:lang w:val="es-CO" w:eastAsia="es-CO"/>
        </w:rPr>
        <w:t xml:space="preserve"> enajene la participación accionaria que posee en las empresas: Interconexión Eléctrica S.A. E.S.P. – ISA-, Grupo </w:t>
      </w:r>
      <w:proofErr w:type="spellStart"/>
      <w:r w:rsidR="00542623" w:rsidRPr="00D369AA">
        <w:rPr>
          <w:lang w:val="es-CO" w:eastAsia="es-CO"/>
        </w:rPr>
        <w:t>Nutresa</w:t>
      </w:r>
      <w:proofErr w:type="spellEnd"/>
      <w:r w:rsidR="00542623" w:rsidRPr="00D369AA">
        <w:rPr>
          <w:lang w:val="es-CO" w:eastAsia="es-CO"/>
        </w:rPr>
        <w:t xml:space="preserve"> S.A., Banco Popular S.A. y a</w:t>
      </w:r>
      <w:r w:rsidR="00A41FEB" w:rsidRPr="00D369AA">
        <w:rPr>
          <w:lang w:val="es-CO" w:eastAsia="es-CO"/>
        </w:rPr>
        <w:t xml:space="preserve"> </w:t>
      </w:r>
      <w:r w:rsidR="00542623" w:rsidRPr="00D369AA">
        <w:rPr>
          <w:lang w:val="es-CO" w:eastAsia="es-CO"/>
        </w:rPr>
        <w:t>EEB Gas S.A.S.</w:t>
      </w:r>
      <w:r w:rsidR="002A613B">
        <w:rPr>
          <w:lang w:val="es-CO" w:eastAsia="es-CO"/>
        </w:rPr>
        <w:t>,</w:t>
      </w:r>
      <w:r w:rsidR="00542623" w:rsidRPr="00D369AA">
        <w:rPr>
          <w:lang w:val="es-CO" w:eastAsia="es-CO"/>
        </w:rPr>
        <w:t xml:space="preserve"> para que enajene la participación accionaria que posee en </w:t>
      </w:r>
      <w:proofErr w:type="spellStart"/>
      <w:r w:rsidR="00542623" w:rsidRPr="00D369AA">
        <w:rPr>
          <w:lang w:val="es-CO" w:eastAsia="es-CO"/>
        </w:rPr>
        <w:t>Promigas</w:t>
      </w:r>
      <w:proofErr w:type="spellEnd"/>
      <w:r w:rsidR="00542623" w:rsidRPr="00D369AA">
        <w:rPr>
          <w:lang w:val="es-CO" w:eastAsia="es-CO"/>
        </w:rPr>
        <w:t xml:space="preserve"> S.A. E.S.P</w:t>
      </w:r>
      <w:r w:rsidR="001A6FB6" w:rsidRPr="00D369AA">
        <w:rPr>
          <w:b/>
          <w:lang w:val="es-CO" w:eastAsia="es-CO"/>
        </w:rPr>
        <w:t xml:space="preserve">, </w:t>
      </w:r>
      <w:r w:rsidR="001A6FB6" w:rsidRPr="00D369AA">
        <w:rPr>
          <w:lang w:val="es-CO" w:eastAsia="es-CO"/>
        </w:rPr>
        <w:t xml:space="preserve">toda vez que dichos activos no se encuentran alineados con el </w:t>
      </w:r>
      <w:r w:rsidR="00F7212E" w:rsidRPr="00D369AA">
        <w:rPr>
          <w:lang w:val="es-CO" w:eastAsia="es-CO"/>
        </w:rPr>
        <w:t>P</w:t>
      </w:r>
      <w:r w:rsidR="001A6FB6" w:rsidRPr="00D369AA">
        <w:rPr>
          <w:lang w:val="es-CO" w:eastAsia="es-CO"/>
        </w:rPr>
        <w:t xml:space="preserve">lan </w:t>
      </w:r>
      <w:r w:rsidR="00F7212E" w:rsidRPr="00D369AA">
        <w:rPr>
          <w:lang w:val="es-CO" w:eastAsia="es-CO"/>
        </w:rPr>
        <w:t>E</w:t>
      </w:r>
      <w:r w:rsidR="001A6FB6" w:rsidRPr="00D369AA">
        <w:rPr>
          <w:lang w:val="es-CO" w:eastAsia="es-CO"/>
        </w:rPr>
        <w:t>stratégico</w:t>
      </w:r>
      <w:r w:rsidR="00F7212E" w:rsidRPr="00D369AA">
        <w:rPr>
          <w:lang w:val="es-CO" w:eastAsia="es-CO"/>
        </w:rPr>
        <w:t xml:space="preserve"> Corporativo</w:t>
      </w:r>
      <w:r w:rsidR="003E7D32" w:rsidRPr="00D369AA">
        <w:rPr>
          <w:lang w:val="es-CO" w:eastAsia="es-CO"/>
        </w:rPr>
        <w:t xml:space="preserve"> </w:t>
      </w:r>
      <w:r w:rsidR="001A6FB6" w:rsidRPr="00D369AA">
        <w:rPr>
          <w:lang w:val="es-CO" w:eastAsia="es-CO"/>
        </w:rPr>
        <w:t>de la Compañía.</w:t>
      </w:r>
    </w:p>
    <w:p w14:paraId="38F7BF9B" w14:textId="77777777" w:rsidR="00C93061" w:rsidRPr="00D369AA" w:rsidRDefault="00C93061" w:rsidP="008D31A1">
      <w:pPr>
        <w:rPr>
          <w:rFonts w:cs="Arial"/>
          <w:bCs/>
          <w:szCs w:val="24"/>
          <w:lang w:val="es-CO"/>
        </w:rPr>
      </w:pPr>
    </w:p>
    <w:p w14:paraId="137E829D" w14:textId="77777777" w:rsidR="00FB34C4" w:rsidRPr="00D369AA" w:rsidRDefault="00FB34C4" w:rsidP="008D31A1">
      <w:pPr>
        <w:rPr>
          <w:rFonts w:cs="Arial"/>
          <w:b/>
          <w:bCs/>
          <w:szCs w:val="24"/>
          <w:lang w:val="es-CO"/>
        </w:rPr>
      </w:pPr>
    </w:p>
    <w:p w14:paraId="77658AB0" w14:textId="77777777" w:rsidR="00A07C62" w:rsidRPr="00D369AA" w:rsidRDefault="00A07C62" w:rsidP="008D31A1">
      <w:pPr>
        <w:spacing w:after="0"/>
        <w:rPr>
          <w:rFonts w:cs="Arial"/>
          <w:b/>
          <w:bCs/>
          <w:szCs w:val="24"/>
          <w:lang w:val="es-CO"/>
        </w:rPr>
      </w:pPr>
      <w:r w:rsidRPr="00D369AA">
        <w:rPr>
          <w:rFonts w:cs="Arial"/>
          <w:b/>
          <w:bCs/>
          <w:szCs w:val="24"/>
          <w:lang w:val="es-CO"/>
        </w:rPr>
        <w:br w:type="page"/>
      </w:r>
    </w:p>
    <w:p w14:paraId="0D8670FC" w14:textId="68994A93" w:rsidR="00FB34C4" w:rsidRPr="00D369AA" w:rsidRDefault="00FB34C4" w:rsidP="008D31A1">
      <w:pPr>
        <w:rPr>
          <w:rFonts w:cs="Arial"/>
          <w:b/>
          <w:bCs/>
          <w:szCs w:val="24"/>
          <w:lang w:val="es-CO"/>
        </w:rPr>
      </w:pPr>
      <w:r w:rsidRPr="00D369AA">
        <w:rPr>
          <w:rFonts w:cs="Arial"/>
          <w:b/>
          <w:bCs/>
          <w:szCs w:val="24"/>
          <w:lang w:val="es-CO"/>
        </w:rPr>
        <w:lastRenderedPageBreak/>
        <w:t>PONENCIA DEL PROYECTO DE ACUERDO No.</w:t>
      </w:r>
      <w:r w:rsidR="00A67F4A" w:rsidRPr="00D369AA">
        <w:rPr>
          <w:rFonts w:cs="Arial"/>
          <w:b/>
          <w:bCs/>
          <w:szCs w:val="24"/>
          <w:lang w:val="es-CO"/>
        </w:rPr>
        <w:t xml:space="preserve"> 472</w:t>
      </w:r>
      <w:r w:rsidRPr="00D369AA">
        <w:rPr>
          <w:rFonts w:cs="Arial"/>
          <w:b/>
          <w:bCs/>
          <w:szCs w:val="24"/>
          <w:lang w:val="es-CO"/>
        </w:rPr>
        <w:t xml:space="preserve"> DE</w:t>
      </w:r>
      <w:r w:rsidR="003E7D32" w:rsidRPr="00D369AA">
        <w:rPr>
          <w:rFonts w:cs="Arial"/>
          <w:b/>
          <w:bCs/>
          <w:szCs w:val="24"/>
          <w:lang w:val="es-CO"/>
        </w:rPr>
        <w:t xml:space="preserve"> </w:t>
      </w:r>
      <w:r w:rsidRPr="00D369AA">
        <w:rPr>
          <w:rFonts w:cs="Arial"/>
          <w:b/>
          <w:bCs/>
          <w:szCs w:val="24"/>
          <w:lang w:val="es-CO"/>
        </w:rPr>
        <w:t>2016</w:t>
      </w:r>
    </w:p>
    <w:p w14:paraId="6A6A55EB" w14:textId="77777777" w:rsidR="00FB34C4" w:rsidRPr="00D369AA" w:rsidRDefault="00FB34C4" w:rsidP="008D31A1">
      <w:pPr>
        <w:pStyle w:val="Ttulo1"/>
        <w:rPr>
          <w:lang w:val="es-CO"/>
        </w:rPr>
      </w:pPr>
      <w:r w:rsidRPr="00D369AA">
        <w:rPr>
          <w:lang w:val="es-CO"/>
        </w:rPr>
        <w:t>OBJETO DEL PROYECTO DE ACUERDO</w:t>
      </w:r>
    </w:p>
    <w:p w14:paraId="0C6EFBCE" w14:textId="1550D9B4" w:rsidR="00FB34C4" w:rsidRPr="00D369AA" w:rsidRDefault="00150187" w:rsidP="008D31A1">
      <w:pPr>
        <w:rPr>
          <w:bCs/>
          <w:szCs w:val="24"/>
          <w:lang w:val="es-CO"/>
        </w:rPr>
      </w:pPr>
      <w:r w:rsidRPr="00D369AA">
        <w:rPr>
          <w:rFonts w:cs="Arial"/>
          <w:bCs/>
          <w:szCs w:val="24"/>
          <w:lang w:val="es-CO"/>
        </w:rPr>
        <w:t>Conforme</w:t>
      </w:r>
      <w:r w:rsidR="00FB34C4" w:rsidRPr="00D369AA">
        <w:rPr>
          <w:rFonts w:cs="Arial"/>
          <w:bCs/>
          <w:szCs w:val="24"/>
          <w:lang w:val="es-CO"/>
        </w:rPr>
        <w:t xml:space="preserve"> </w:t>
      </w:r>
      <w:r w:rsidR="00500332" w:rsidRPr="00D369AA">
        <w:rPr>
          <w:rFonts w:cs="Arial"/>
          <w:bCs/>
          <w:szCs w:val="24"/>
          <w:lang w:val="es-CO"/>
        </w:rPr>
        <w:t>con</w:t>
      </w:r>
      <w:r w:rsidR="00FB34C4" w:rsidRPr="00D369AA">
        <w:rPr>
          <w:rFonts w:cs="Arial"/>
          <w:bCs/>
          <w:szCs w:val="24"/>
          <w:lang w:val="es-CO"/>
        </w:rPr>
        <w:t xml:space="preserve"> la lectura del proyecto de acuerdo de la referencia, se presentan a continuación los principales argumentos que se consideran fueron propuestos por los autores para sustentar y justificar la necesidad del mismo.</w:t>
      </w:r>
    </w:p>
    <w:p w14:paraId="18BEC2BD" w14:textId="77777777" w:rsidR="00036731" w:rsidRPr="00D369AA" w:rsidRDefault="00036731" w:rsidP="008D31A1">
      <w:pPr>
        <w:rPr>
          <w:rFonts w:cs="Arial"/>
          <w:lang w:val="es-CO"/>
        </w:rPr>
      </w:pPr>
    </w:p>
    <w:p w14:paraId="69418946" w14:textId="77777777" w:rsidR="00F62F99" w:rsidRPr="00D369AA" w:rsidRDefault="00F62F99" w:rsidP="00F62F99">
      <w:pPr>
        <w:pStyle w:val="Prrafodelista"/>
        <w:numPr>
          <w:ilvl w:val="0"/>
          <w:numId w:val="9"/>
        </w:numPr>
        <w:rPr>
          <w:rFonts w:cs="Arial"/>
          <w:b/>
          <w:lang w:val="es-CO"/>
        </w:rPr>
      </w:pPr>
      <w:r w:rsidRPr="00D369AA">
        <w:rPr>
          <w:rFonts w:cs="Arial"/>
          <w:b/>
          <w:lang w:val="es-CO"/>
        </w:rPr>
        <w:t>GRUPO DE ENERGÍA DE BOGOTÁ (GEB)</w:t>
      </w:r>
    </w:p>
    <w:p w14:paraId="123C409D" w14:textId="2B9CD437" w:rsidR="001D0440" w:rsidRPr="00D369AA" w:rsidRDefault="00F62F99" w:rsidP="00F62F99">
      <w:pPr>
        <w:pStyle w:val="Prrafodelista"/>
        <w:ind w:left="720"/>
        <w:rPr>
          <w:i/>
          <w:lang w:val="es-CO"/>
        </w:rPr>
      </w:pPr>
      <w:r w:rsidRPr="00D369AA">
        <w:rPr>
          <w:i/>
          <w:lang w:val="es-CO"/>
        </w:rPr>
        <w:t xml:space="preserve">El Grupo de Energía de Bogotá (GEB) </w:t>
      </w:r>
      <w:proofErr w:type="spellStart"/>
      <w:r w:rsidRPr="00D369AA">
        <w:rPr>
          <w:i/>
          <w:lang w:val="es-CO"/>
        </w:rPr>
        <w:t>multilatina</w:t>
      </w:r>
      <w:proofErr w:type="spellEnd"/>
      <w:r w:rsidRPr="00D369AA">
        <w:rPr>
          <w:i/>
          <w:lang w:val="es-CO"/>
        </w:rPr>
        <w:t xml:space="preserve"> líder en el sector de energía eléctrica y gas natural con presencia en Colombia, Perú, Guatemala y Brasil. </w:t>
      </w:r>
      <w:r w:rsidRPr="00D369AA">
        <w:rPr>
          <w:lang w:val="es-CO"/>
        </w:rPr>
        <w:t>El GEB, a partir de la nueva estrategia aprobada por la Junta Directiva, está enfocado en tres grupos Estratégicos de Negocios:</w:t>
      </w:r>
      <w:r w:rsidRPr="00D369AA">
        <w:rPr>
          <w:i/>
          <w:lang w:val="es-CO"/>
        </w:rPr>
        <w:t xml:space="preserve"> Soluciones Energéticas Urbanas (SEU), Interconexión para el Desarrollo de Mercados (IDM) y Generación de Baja Emisión (GBE)</w:t>
      </w:r>
      <w:r w:rsidR="00DB504B" w:rsidRPr="00D369AA">
        <w:rPr>
          <w:lang w:val="es-CO"/>
        </w:rPr>
        <w:t>, propendiendo por</w:t>
      </w:r>
      <w:r w:rsidR="00DB504B" w:rsidRPr="00D369AA">
        <w:rPr>
          <w:i/>
          <w:lang w:val="es-CO"/>
        </w:rPr>
        <w:t xml:space="preserve"> el crecimiento y desarrollo de compañías líderes en los territorios en los que opera, con un sólido y transparente gobierno corporativo de cara a sus accionistas.</w:t>
      </w:r>
      <w:r w:rsidR="00E100D2" w:rsidRPr="00D369AA">
        <w:rPr>
          <w:rStyle w:val="Refdenotaalpie"/>
          <w:i/>
          <w:lang w:val="es-CO"/>
        </w:rPr>
        <w:footnoteReference w:id="2"/>
      </w:r>
      <w:r w:rsidR="003E7D32" w:rsidRPr="00D369AA">
        <w:rPr>
          <w:i/>
          <w:lang w:val="es-CO"/>
        </w:rPr>
        <w:t xml:space="preserve"> </w:t>
      </w:r>
    </w:p>
    <w:p w14:paraId="6FE2A349" w14:textId="77777777" w:rsidR="001D0440" w:rsidRPr="00D369AA" w:rsidRDefault="001D0440" w:rsidP="001D0440">
      <w:pPr>
        <w:pStyle w:val="Prrafodelista"/>
        <w:ind w:left="720"/>
        <w:rPr>
          <w:rFonts w:cs="Arial"/>
          <w:i/>
          <w:sz w:val="18"/>
          <w:lang w:val="es-CO"/>
        </w:rPr>
      </w:pPr>
    </w:p>
    <w:p w14:paraId="649F2BFE" w14:textId="3602EB98" w:rsidR="003C31ED" w:rsidRPr="00D369AA" w:rsidRDefault="00002A8D" w:rsidP="008D31A1">
      <w:pPr>
        <w:pStyle w:val="Prrafodelista"/>
        <w:numPr>
          <w:ilvl w:val="0"/>
          <w:numId w:val="9"/>
        </w:numPr>
        <w:rPr>
          <w:rFonts w:cs="Arial"/>
          <w:i/>
          <w:sz w:val="18"/>
          <w:lang w:val="es-CO"/>
        </w:rPr>
      </w:pPr>
      <w:r w:rsidRPr="00D369AA">
        <w:rPr>
          <w:rFonts w:cs="Arial"/>
          <w:b/>
          <w:lang w:val="es-CO"/>
        </w:rPr>
        <w:t>ALINEACIÓN</w:t>
      </w:r>
      <w:r w:rsidR="00487C4D" w:rsidRPr="00D369AA">
        <w:rPr>
          <w:rFonts w:cs="Arial"/>
          <w:b/>
          <w:lang w:val="es-CO"/>
        </w:rPr>
        <w:t xml:space="preserve"> CON </w:t>
      </w:r>
      <w:r w:rsidR="003C31ED" w:rsidRPr="00D369AA">
        <w:rPr>
          <w:rFonts w:cs="Arial"/>
          <w:b/>
          <w:lang w:val="es-CO"/>
        </w:rPr>
        <w:t xml:space="preserve">ESTRATEGIA DE LARGO PLAZO DE GEB </w:t>
      </w:r>
    </w:p>
    <w:p w14:paraId="49678E82" w14:textId="77777777" w:rsidR="00036731" w:rsidRPr="00D369AA" w:rsidRDefault="00036731" w:rsidP="008D31A1">
      <w:pPr>
        <w:pStyle w:val="Prrafodelista"/>
        <w:ind w:left="720"/>
        <w:rPr>
          <w:rFonts w:cs="Arial"/>
          <w:i/>
          <w:lang w:val="es-CO"/>
        </w:rPr>
      </w:pPr>
      <w:r w:rsidRPr="00D369AA">
        <w:rPr>
          <w:rFonts w:cs="Arial"/>
          <w:lang w:val="es-CO"/>
        </w:rPr>
        <w:t>GEB ha redefinido su estrategia corporativa</w:t>
      </w:r>
      <w:r w:rsidR="002030B3" w:rsidRPr="00D369AA">
        <w:rPr>
          <w:rFonts w:cs="Arial"/>
          <w:lang w:val="es-CO"/>
        </w:rPr>
        <w:t xml:space="preserve"> y dentro de su nuevo diseño </w:t>
      </w:r>
      <w:r w:rsidR="00BC0B0E" w:rsidRPr="00D369AA">
        <w:rPr>
          <w:rFonts w:cs="Arial"/>
          <w:lang w:val="es-CO"/>
        </w:rPr>
        <w:t xml:space="preserve">de largo plazo </w:t>
      </w:r>
      <w:r w:rsidR="002030B3" w:rsidRPr="00D369AA">
        <w:rPr>
          <w:rFonts w:cs="Arial"/>
          <w:lang w:val="es-CO"/>
        </w:rPr>
        <w:t>ha considerado: “</w:t>
      </w:r>
      <w:r w:rsidRPr="00D369AA">
        <w:rPr>
          <w:rFonts w:cs="Arial"/>
          <w:i/>
          <w:lang w:val="es-CO"/>
        </w:rPr>
        <w:t>Respecto de las otras inversiones de GEB, que se consideran no estratégicas de largo plazo, a pesar de que puedan tener un alto valor de mercado, se encuentra que la participación en estas compañías está lejos de poder permitir una injerencia efectiva respecto a su direccionamiento estratégico, bien sea por la mínima participación accionaria o por el conflicto de interés implícito</w:t>
      </w:r>
      <w:r w:rsidR="005E64EE" w:rsidRPr="00D369AA">
        <w:rPr>
          <w:rStyle w:val="Refdenotaalpie"/>
          <w:rFonts w:cs="Arial"/>
          <w:i/>
          <w:lang w:val="es-CO"/>
        </w:rPr>
        <w:footnoteReference w:id="3"/>
      </w:r>
      <w:r w:rsidR="000E4312" w:rsidRPr="00D369AA">
        <w:rPr>
          <w:rFonts w:cs="Arial"/>
          <w:i/>
          <w:lang w:val="es-CO"/>
        </w:rPr>
        <w:t>”</w:t>
      </w:r>
      <w:r w:rsidRPr="00D369AA">
        <w:rPr>
          <w:rFonts w:cs="Arial"/>
          <w:i/>
          <w:lang w:val="es-CO"/>
        </w:rPr>
        <w:t>.</w:t>
      </w:r>
    </w:p>
    <w:p w14:paraId="3035A0FA" w14:textId="77777777" w:rsidR="00AB34D5" w:rsidRDefault="00AB34D5" w:rsidP="008D31A1">
      <w:pPr>
        <w:pStyle w:val="Prrafodelista"/>
        <w:ind w:left="720"/>
        <w:rPr>
          <w:rFonts w:cs="Arial"/>
          <w:i/>
          <w:sz w:val="18"/>
          <w:lang w:val="es-CO"/>
        </w:rPr>
      </w:pPr>
    </w:p>
    <w:p w14:paraId="393F12B9" w14:textId="77777777" w:rsidR="00E2214F" w:rsidRDefault="00E2214F" w:rsidP="008D31A1">
      <w:pPr>
        <w:pStyle w:val="Prrafodelista"/>
        <w:ind w:left="720"/>
        <w:rPr>
          <w:rFonts w:cs="Arial"/>
          <w:i/>
          <w:sz w:val="18"/>
          <w:lang w:val="es-CO"/>
        </w:rPr>
      </w:pPr>
    </w:p>
    <w:p w14:paraId="43BE169A" w14:textId="77777777" w:rsidR="00E2214F" w:rsidRDefault="00E2214F" w:rsidP="008D31A1">
      <w:pPr>
        <w:pStyle w:val="Prrafodelista"/>
        <w:ind w:left="720"/>
        <w:rPr>
          <w:rFonts w:cs="Arial"/>
          <w:i/>
          <w:sz w:val="18"/>
          <w:lang w:val="es-CO"/>
        </w:rPr>
      </w:pPr>
    </w:p>
    <w:p w14:paraId="6E75F227" w14:textId="77777777" w:rsidR="00E2214F" w:rsidRPr="00D369AA" w:rsidRDefault="00E2214F" w:rsidP="008D31A1">
      <w:pPr>
        <w:pStyle w:val="Prrafodelista"/>
        <w:ind w:left="720"/>
        <w:rPr>
          <w:rFonts w:cs="Arial"/>
          <w:i/>
          <w:sz w:val="18"/>
          <w:lang w:val="es-CO"/>
        </w:rPr>
      </w:pPr>
    </w:p>
    <w:p w14:paraId="74AF1FC3" w14:textId="3C351C41" w:rsidR="00910AD5" w:rsidRPr="00D369AA" w:rsidRDefault="00D369AA" w:rsidP="008D31A1">
      <w:pPr>
        <w:pStyle w:val="Prrafodelista"/>
        <w:numPr>
          <w:ilvl w:val="0"/>
          <w:numId w:val="9"/>
        </w:numPr>
        <w:rPr>
          <w:rFonts w:cs="Arial"/>
          <w:b/>
          <w:lang w:val="es-CO"/>
        </w:rPr>
      </w:pPr>
      <w:r w:rsidRPr="00D369AA">
        <w:rPr>
          <w:rFonts w:cs="Arial"/>
          <w:b/>
          <w:lang w:val="es-CO"/>
        </w:rPr>
        <w:lastRenderedPageBreak/>
        <w:t>RECOMPOSICIÓN</w:t>
      </w:r>
      <w:r w:rsidR="00286BA9" w:rsidRPr="00D369AA">
        <w:rPr>
          <w:rFonts w:cs="Arial"/>
          <w:b/>
          <w:lang w:val="es-CO"/>
        </w:rPr>
        <w:t xml:space="preserve"> DEL PORTAFOLIO ACCIONARIO </w:t>
      </w:r>
    </w:p>
    <w:p w14:paraId="7D627CF0" w14:textId="77777777" w:rsidR="001B761A" w:rsidRPr="00D369AA" w:rsidRDefault="000E4312" w:rsidP="008D31A1">
      <w:pPr>
        <w:ind w:left="709"/>
        <w:rPr>
          <w:i/>
          <w:lang w:val="es-CO"/>
        </w:rPr>
      </w:pPr>
      <w:r w:rsidRPr="00D369AA">
        <w:rPr>
          <w:i/>
          <w:lang w:val="es-CO"/>
        </w:rPr>
        <w:t>“</w:t>
      </w:r>
      <w:r w:rsidR="001B761A" w:rsidRPr="00D369AA">
        <w:rPr>
          <w:i/>
          <w:lang w:val="es-CO"/>
        </w:rPr>
        <w:t>La nueva configuración por grupos estratégicos de negocio de GEB evidencia, desde la estrategia, la importancia de los activos que no se ajustan a la estrategia de la Compañía, la importancia de los planes a desarrollar en cada compañía, y las inversiones que</w:t>
      </w:r>
      <w:r w:rsidR="00500332" w:rsidRPr="00D369AA">
        <w:rPr>
          <w:i/>
          <w:lang w:val="es-CO"/>
        </w:rPr>
        <w:t>,</w:t>
      </w:r>
      <w:r w:rsidR="001B761A" w:rsidRPr="00D369AA">
        <w:rPr>
          <w:i/>
          <w:lang w:val="es-CO"/>
        </w:rPr>
        <w:t xml:space="preserve"> por tener un bajo alineamiento con el tema dominante y la estrategia corporativa del grupo</w:t>
      </w:r>
      <w:r w:rsidR="00500332" w:rsidRPr="00D369AA">
        <w:rPr>
          <w:i/>
          <w:lang w:val="es-CO"/>
        </w:rPr>
        <w:t>,</w:t>
      </w:r>
      <w:r w:rsidR="001B761A" w:rsidRPr="00D369AA">
        <w:rPr>
          <w:i/>
          <w:lang w:val="es-CO"/>
        </w:rPr>
        <w:t xml:space="preserve"> sería recomendable repensar la participación en ellas. </w:t>
      </w:r>
    </w:p>
    <w:p w14:paraId="46600231" w14:textId="77777777" w:rsidR="003526CC" w:rsidRPr="00D369AA" w:rsidRDefault="003526CC" w:rsidP="008D31A1">
      <w:pPr>
        <w:ind w:left="709"/>
        <w:rPr>
          <w:lang w:val="es-CO"/>
        </w:rPr>
      </w:pPr>
      <w:r w:rsidRPr="00D369AA">
        <w:rPr>
          <w:i/>
          <w:lang w:val="es-CO"/>
        </w:rPr>
        <w:t xml:space="preserve">En la medida en que el plan estratégico persigue la concentración en tres Grupos Estratégicos de Negocio en donde EEB es líder, </w:t>
      </w:r>
      <w:r w:rsidRPr="00D369AA">
        <w:rPr>
          <w:b/>
          <w:i/>
          <w:u w:val="single"/>
          <w:lang w:val="es-CO"/>
        </w:rPr>
        <w:t>se ha evaluado la posibilidad de efectuar un proceso de desinversión en aquellos activos no controlados y que no se encuentran alineados con los tres pilares anteriormente mencionados, los cuales</w:t>
      </w:r>
      <w:r w:rsidRPr="00D369AA">
        <w:rPr>
          <w:i/>
          <w:lang w:val="es-CO"/>
        </w:rPr>
        <w:t xml:space="preserve">, si bien resultan atractivos para los inversionistas del mercado público de valores, </w:t>
      </w:r>
      <w:r w:rsidRPr="00D369AA">
        <w:rPr>
          <w:b/>
          <w:i/>
          <w:u w:val="single"/>
          <w:lang w:val="es-CO"/>
        </w:rPr>
        <w:t>no se constituyen como una inversión estratégica para el Grupo</w:t>
      </w:r>
      <w:r w:rsidR="001B761A" w:rsidRPr="00D369AA">
        <w:rPr>
          <w:rStyle w:val="Refdenotaalpie"/>
          <w:i/>
          <w:lang w:val="es-CO"/>
        </w:rPr>
        <w:footnoteReference w:id="4"/>
      </w:r>
      <w:r w:rsidR="000E4312" w:rsidRPr="00D369AA">
        <w:rPr>
          <w:i/>
          <w:lang w:val="es-CO"/>
        </w:rPr>
        <w:t>”</w:t>
      </w:r>
      <w:r w:rsidRPr="00D369AA">
        <w:rPr>
          <w:i/>
          <w:lang w:val="es-CO"/>
        </w:rPr>
        <w:t>.</w:t>
      </w:r>
      <w:r w:rsidR="002E5B81" w:rsidRPr="00D369AA">
        <w:rPr>
          <w:i/>
          <w:lang w:val="es-CO"/>
        </w:rPr>
        <w:t xml:space="preserve"> </w:t>
      </w:r>
      <w:r w:rsidR="002E5B81" w:rsidRPr="00D369AA">
        <w:rPr>
          <w:lang w:val="es-CO"/>
        </w:rPr>
        <w:t>(Subrayas y negrillas fuera de texto).</w:t>
      </w:r>
    </w:p>
    <w:p w14:paraId="1EA13D98" w14:textId="77777777" w:rsidR="00FB34C4" w:rsidRPr="00D369AA" w:rsidRDefault="00FB34C4" w:rsidP="008D31A1">
      <w:pPr>
        <w:pStyle w:val="Ttulo1"/>
        <w:rPr>
          <w:lang w:val="es-CO"/>
        </w:rPr>
      </w:pPr>
      <w:r w:rsidRPr="00D369AA">
        <w:rPr>
          <w:lang w:val="es-CO"/>
        </w:rPr>
        <w:t xml:space="preserve">FUNDAMENTO JURÍDICO </w:t>
      </w:r>
    </w:p>
    <w:p w14:paraId="2AC4C484" w14:textId="16783EE2" w:rsidR="00450CAE" w:rsidRPr="00D369AA" w:rsidRDefault="00450CAE" w:rsidP="008D31A1">
      <w:pPr>
        <w:rPr>
          <w:rFonts w:cs="Arial"/>
          <w:bCs/>
          <w:color w:val="000000" w:themeColor="text1"/>
          <w:szCs w:val="24"/>
          <w:lang w:val="es-CO"/>
        </w:rPr>
      </w:pPr>
      <w:r w:rsidRPr="00D369AA">
        <w:rPr>
          <w:rFonts w:cs="Arial"/>
          <w:bCs/>
          <w:color w:val="000000" w:themeColor="text1"/>
          <w:szCs w:val="24"/>
          <w:lang w:val="es-CO"/>
        </w:rPr>
        <w:t xml:space="preserve">A continuación, se hace referencia a algunas de las normas más relevantes dentro del objeto del Proyecto de Acuerdo </w:t>
      </w:r>
      <w:r w:rsidR="00C32D87" w:rsidRPr="00D369AA">
        <w:rPr>
          <w:rFonts w:cs="Arial"/>
          <w:bCs/>
          <w:color w:val="000000" w:themeColor="text1"/>
          <w:szCs w:val="24"/>
          <w:lang w:val="es-CO"/>
        </w:rPr>
        <w:t>472</w:t>
      </w:r>
      <w:r w:rsidRPr="00D369AA">
        <w:rPr>
          <w:rFonts w:cs="Arial"/>
          <w:bCs/>
          <w:color w:val="000000" w:themeColor="text1"/>
          <w:szCs w:val="24"/>
          <w:lang w:val="es-CO"/>
        </w:rPr>
        <w:t xml:space="preserve"> de 2016, las cuales se encuentran acorde con lo establecido en </w:t>
      </w:r>
      <w:r w:rsidR="00B31D35" w:rsidRPr="00D369AA">
        <w:rPr>
          <w:rFonts w:cs="Arial"/>
          <w:bCs/>
          <w:color w:val="000000" w:themeColor="text1"/>
          <w:szCs w:val="24"/>
          <w:lang w:val="es-CO"/>
        </w:rPr>
        <w:t xml:space="preserve">la </w:t>
      </w:r>
      <w:r w:rsidR="00F7212E" w:rsidRPr="00D369AA">
        <w:rPr>
          <w:rFonts w:cs="Arial"/>
          <w:bCs/>
          <w:color w:val="000000" w:themeColor="text1"/>
          <w:szCs w:val="24"/>
          <w:lang w:val="es-CO"/>
        </w:rPr>
        <w:t>Constitución</w:t>
      </w:r>
      <w:r w:rsidR="00B31D35" w:rsidRPr="00D369AA">
        <w:rPr>
          <w:rFonts w:cs="Arial"/>
          <w:bCs/>
          <w:color w:val="000000" w:themeColor="text1"/>
          <w:szCs w:val="24"/>
          <w:lang w:val="es-CO"/>
        </w:rPr>
        <w:t xml:space="preserve"> </w:t>
      </w:r>
      <w:r w:rsidR="00F7212E" w:rsidRPr="00D369AA">
        <w:rPr>
          <w:rFonts w:cs="Arial"/>
          <w:bCs/>
          <w:color w:val="000000" w:themeColor="text1"/>
          <w:szCs w:val="24"/>
          <w:lang w:val="es-CO"/>
        </w:rPr>
        <w:t>Política</w:t>
      </w:r>
      <w:r w:rsidR="00B31D35" w:rsidRPr="00D369AA">
        <w:rPr>
          <w:rFonts w:cs="Arial"/>
          <w:bCs/>
          <w:color w:val="000000" w:themeColor="text1"/>
          <w:szCs w:val="24"/>
          <w:lang w:val="es-CO"/>
        </w:rPr>
        <w:t xml:space="preserve">, </w:t>
      </w:r>
      <w:r w:rsidRPr="00D369AA">
        <w:rPr>
          <w:rFonts w:cs="Arial"/>
          <w:bCs/>
          <w:color w:val="000000" w:themeColor="text1"/>
          <w:szCs w:val="24"/>
          <w:lang w:val="es-CO"/>
        </w:rPr>
        <w:t>el Estatuto Orgánico de Bogotá (Decreto Ley 1421 de 1993), artículo 12, numerales 1 y 25, articulo 13, inciso 1</w:t>
      </w:r>
      <w:r w:rsidR="00B31D35" w:rsidRPr="00D369AA">
        <w:rPr>
          <w:rFonts w:cs="Arial"/>
          <w:bCs/>
          <w:color w:val="000000" w:themeColor="text1"/>
          <w:szCs w:val="24"/>
          <w:lang w:val="es-CO"/>
        </w:rPr>
        <w:t xml:space="preserve"> y demás normas aplicables</w:t>
      </w:r>
      <w:r w:rsidRPr="00D369AA">
        <w:rPr>
          <w:rFonts w:cs="Arial"/>
          <w:bCs/>
          <w:color w:val="000000" w:themeColor="text1"/>
          <w:szCs w:val="24"/>
          <w:lang w:val="es-CO"/>
        </w:rPr>
        <w:t>.</w:t>
      </w:r>
    </w:p>
    <w:p w14:paraId="59B3BCB1" w14:textId="77777777" w:rsidR="00450CAE" w:rsidRPr="00D369AA" w:rsidRDefault="00450CAE" w:rsidP="008D31A1">
      <w:pPr>
        <w:rPr>
          <w:rFonts w:cs="Arial"/>
          <w:bCs/>
          <w:color w:val="000000" w:themeColor="text1"/>
          <w:szCs w:val="24"/>
          <w:lang w:val="es-CO"/>
        </w:rPr>
      </w:pPr>
    </w:p>
    <w:p w14:paraId="5F5AA9BE" w14:textId="77777777" w:rsidR="00450CAE" w:rsidRPr="00D369AA" w:rsidRDefault="00450CAE" w:rsidP="008D31A1">
      <w:pPr>
        <w:rPr>
          <w:rFonts w:cs="Arial"/>
          <w:b/>
          <w:bCs/>
          <w:color w:val="000000" w:themeColor="text1"/>
          <w:szCs w:val="24"/>
          <w:u w:val="single"/>
          <w:lang w:val="es-CO"/>
        </w:rPr>
      </w:pPr>
      <w:r w:rsidRPr="00D369AA">
        <w:rPr>
          <w:rFonts w:cs="Arial"/>
          <w:b/>
          <w:bCs/>
          <w:color w:val="000000" w:themeColor="text1"/>
          <w:szCs w:val="24"/>
          <w:u w:val="single"/>
          <w:lang w:val="es-CO"/>
        </w:rPr>
        <w:t>Constitución Política</w:t>
      </w:r>
      <w:r w:rsidR="00A10310" w:rsidRPr="00D369AA">
        <w:rPr>
          <w:rFonts w:cs="Arial"/>
          <w:b/>
          <w:bCs/>
          <w:color w:val="000000" w:themeColor="text1"/>
          <w:szCs w:val="24"/>
          <w:u w:val="single"/>
          <w:lang w:val="es-CO"/>
        </w:rPr>
        <w:t>,</w:t>
      </w:r>
      <w:r w:rsidRPr="00D369AA">
        <w:rPr>
          <w:rFonts w:cs="Arial"/>
          <w:b/>
          <w:bCs/>
          <w:color w:val="000000" w:themeColor="text1"/>
          <w:szCs w:val="24"/>
          <w:u w:val="single"/>
          <w:lang w:val="es-CO"/>
        </w:rPr>
        <w:t xml:space="preserve"> artículo 60:</w:t>
      </w:r>
    </w:p>
    <w:p w14:paraId="342EB6E4" w14:textId="77777777" w:rsidR="00450CAE" w:rsidRPr="00D369AA" w:rsidRDefault="00450CAE" w:rsidP="008D31A1">
      <w:pPr>
        <w:widowControl w:val="0"/>
        <w:autoSpaceDE w:val="0"/>
        <w:autoSpaceDN w:val="0"/>
        <w:adjustRightInd w:val="0"/>
        <w:ind w:left="426" w:right="475"/>
        <w:rPr>
          <w:rFonts w:cs="Arial"/>
          <w:i/>
          <w:color w:val="000000" w:themeColor="text1"/>
          <w:szCs w:val="24"/>
          <w:lang w:val="es-CO"/>
        </w:rPr>
      </w:pPr>
      <w:r w:rsidRPr="00D369AA">
        <w:rPr>
          <w:rFonts w:cs="Arial"/>
          <w:b/>
          <w:bCs/>
          <w:i/>
          <w:color w:val="000000" w:themeColor="text1"/>
          <w:szCs w:val="24"/>
          <w:lang w:val="es-CO"/>
        </w:rPr>
        <w:t>“</w:t>
      </w:r>
      <w:r w:rsidRPr="00D369AA">
        <w:rPr>
          <w:rFonts w:cs="Arial"/>
          <w:i/>
          <w:color w:val="000000" w:themeColor="text1"/>
          <w:szCs w:val="24"/>
          <w:lang w:val="es-CO"/>
        </w:rPr>
        <w:t>El Estado promoverá, de acuerdo con la ley, el acceso a la propiedad.</w:t>
      </w:r>
    </w:p>
    <w:p w14:paraId="7F2B0CA2" w14:textId="77777777" w:rsidR="00450CAE" w:rsidRPr="00D369AA" w:rsidRDefault="00450CAE" w:rsidP="008D31A1">
      <w:pPr>
        <w:ind w:left="426" w:right="475"/>
        <w:rPr>
          <w:rFonts w:cs="Arial"/>
          <w:i/>
          <w:color w:val="000000" w:themeColor="text1"/>
          <w:szCs w:val="24"/>
          <w:lang w:val="es-CO"/>
        </w:rPr>
      </w:pPr>
      <w:r w:rsidRPr="00D369AA">
        <w:rPr>
          <w:rFonts w:cs="Arial"/>
          <w:i/>
          <w:color w:val="000000" w:themeColor="text1"/>
          <w:szCs w:val="24"/>
          <w:lang w:val="es-CO"/>
        </w:rPr>
        <w:t>Cuando el Estado enajene su participación en una empresa, tomará las medidas conducentes a democratizar la titularidad de sus acciones, y ofrecerá a sus trabajadores, a las organizaciones solidarias y de trabajadores, condiciones especiales para acceder a dicha propiedad accionaria. La ley reglamentará la materia”.</w:t>
      </w:r>
    </w:p>
    <w:p w14:paraId="5B31051B" w14:textId="77777777" w:rsidR="005D7BD5" w:rsidRDefault="005D7BD5" w:rsidP="00002A8D">
      <w:pPr>
        <w:keepNext/>
        <w:widowControl w:val="0"/>
        <w:tabs>
          <w:tab w:val="left" w:pos="9356"/>
        </w:tabs>
        <w:autoSpaceDE w:val="0"/>
        <w:autoSpaceDN w:val="0"/>
        <w:adjustRightInd w:val="0"/>
        <w:ind w:right="-91"/>
        <w:rPr>
          <w:rFonts w:cs="Arial"/>
          <w:b/>
          <w:bCs/>
          <w:color w:val="000000" w:themeColor="text1"/>
          <w:szCs w:val="24"/>
          <w:u w:val="single"/>
          <w:lang w:val="es-CO"/>
        </w:rPr>
      </w:pPr>
    </w:p>
    <w:p w14:paraId="1810BB08" w14:textId="77777777" w:rsidR="005D7BD5" w:rsidRPr="00D369AA" w:rsidRDefault="005D7BD5" w:rsidP="00002A8D">
      <w:pPr>
        <w:keepNext/>
        <w:widowControl w:val="0"/>
        <w:tabs>
          <w:tab w:val="left" w:pos="9356"/>
        </w:tabs>
        <w:autoSpaceDE w:val="0"/>
        <w:autoSpaceDN w:val="0"/>
        <w:adjustRightInd w:val="0"/>
        <w:ind w:right="-91"/>
        <w:rPr>
          <w:rFonts w:cs="Arial"/>
          <w:b/>
          <w:bCs/>
          <w:color w:val="000000" w:themeColor="text1"/>
          <w:szCs w:val="24"/>
          <w:u w:val="single"/>
          <w:lang w:val="es-CO"/>
        </w:rPr>
      </w:pPr>
    </w:p>
    <w:p w14:paraId="17026849" w14:textId="6C6F1B04" w:rsidR="00450CAE" w:rsidRPr="00D369AA" w:rsidRDefault="00450CAE" w:rsidP="00002A8D">
      <w:pPr>
        <w:keepNext/>
        <w:widowControl w:val="0"/>
        <w:tabs>
          <w:tab w:val="left" w:pos="9356"/>
        </w:tabs>
        <w:autoSpaceDE w:val="0"/>
        <w:autoSpaceDN w:val="0"/>
        <w:adjustRightInd w:val="0"/>
        <w:ind w:right="-91"/>
        <w:rPr>
          <w:rFonts w:cs="Arial"/>
          <w:b/>
          <w:bCs/>
          <w:color w:val="000000" w:themeColor="text1"/>
          <w:szCs w:val="24"/>
          <w:u w:val="single"/>
          <w:lang w:val="es-CO"/>
        </w:rPr>
      </w:pPr>
      <w:r w:rsidRPr="00D369AA">
        <w:rPr>
          <w:rFonts w:cs="Arial"/>
          <w:b/>
          <w:bCs/>
          <w:color w:val="000000" w:themeColor="text1"/>
          <w:szCs w:val="24"/>
          <w:u w:val="single"/>
          <w:lang w:val="es-CO"/>
        </w:rPr>
        <w:t xml:space="preserve">Ley 142 de 1994, </w:t>
      </w:r>
      <w:r w:rsidRPr="00D369AA">
        <w:rPr>
          <w:rFonts w:cs="Arial"/>
          <w:b/>
          <w:bCs/>
          <w:i/>
          <w:iCs/>
          <w:color w:val="000000" w:themeColor="text1"/>
          <w:szCs w:val="24"/>
          <w:u w:val="single"/>
          <w:lang w:val="es-CO"/>
        </w:rPr>
        <w:t>por la cual se establece el régimen de los servicios públicos domiciliarios y se dictan otras disposiciones.</w:t>
      </w:r>
    </w:p>
    <w:p w14:paraId="52676553" w14:textId="77777777" w:rsidR="00450CAE" w:rsidRPr="00D369AA" w:rsidRDefault="00450CAE" w:rsidP="008D31A1">
      <w:pPr>
        <w:ind w:left="426" w:right="475"/>
        <w:rPr>
          <w:rFonts w:cs="Arial"/>
          <w:i/>
          <w:color w:val="000000" w:themeColor="text1"/>
          <w:szCs w:val="24"/>
          <w:lang w:val="es-CO"/>
        </w:rPr>
      </w:pPr>
      <w:r w:rsidRPr="00D369AA">
        <w:rPr>
          <w:rFonts w:cs="Arial"/>
          <w:i/>
          <w:color w:val="000000" w:themeColor="text1"/>
          <w:szCs w:val="24"/>
          <w:lang w:val="es-CO"/>
        </w:rPr>
        <w:t xml:space="preserve">“ARTÍCULO 5o. COMPETENCIA DE LOS MUNICIPIOS EN CUANTO A LA PRESTACIÓN DE LOS SERVICIOS PÚBLICOS. Es competencia de los municipios en relación con los servicios públicos, que ejercerán en los términos de la ley, y de los reglamentos que con sujeción a ella expidan los concejos: </w:t>
      </w:r>
    </w:p>
    <w:p w14:paraId="63A712D1" w14:textId="77777777" w:rsidR="00450CAE" w:rsidRPr="00D369AA" w:rsidRDefault="00450CAE" w:rsidP="008D31A1">
      <w:pPr>
        <w:ind w:left="426" w:right="475"/>
        <w:rPr>
          <w:rFonts w:cs="Arial"/>
          <w:i/>
          <w:color w:val="000000" w:themeColor="text1"/>
          <w:szCs w:val="24"/>
          <w:lang w:val="es-CO"/>
        </w:rPr>
      </w:pPr>
      <w:r w:rsidRPr="00D369AA">
        <w:rPr>
          <w:rFonts w:cs="Arial"/>
          <w:i/>
          <w:color w:val="000000" w:themeColor="text1"/>
          <w:szCs w:val="24"/>
          <w:lang w:val="es-CO"/>
        </w:rPr>
        <w:t xml:space="preserve">“5.1. Asegurar que se presten a sus habitantes, de manera eficiente, los servicios domiciliarios de </w:t>
      </w:r>
      <w:r w:rsidR="00AA77AD" w:rsidRPr="00D369AA">
        <w:rPr>
          <w:rFonts w:cs="Arial"/>
          <w:i/>
          <w:color w:val="000000" w:themeColor="text1"/>
          <w:szCs w:val="24"/>
          <w:lang w:val="es-CO"/>
        </w:rPr>
        <w:t xml:space="preserve">(…) energía eléctrica (…) </w:t>
      </w:r>
      <w:r w:rsidRPr="00D369AA">
        <w:rPr>
          <w:rFonts w:cs="Arial"/>
          <w:i/>
          <w:color w:val="000000" w:themeColor="text1"/>
          <w:szCs w:val="24"/>
          <w:lang w:val="es-CO"/>
        </w:rPr>
        <w:t>por empresas de servicios públicos de carácter oficial, privado o mixto, o directamente por la administración central del respectivo municipio en los casos previstos en el artículo siguiente”.</w:t>
      </w:r>
    </w:p>
    <w:p w14:paraId="1B89CAD2" w14:textId="77777777" w:rsidR="00450CAE" w:rsidRPr="00D369AA" w:rsidRDefault="00450CAE" w:rsidP="008D31A1">
      <w:pPr>
        <w:widowControl w:val="0"/>
        <w:autoSpaceDE w:val="0"/>
        <w:autoSpaceDN w:val="0"/>
        <w:adjustRightInd w:val="0"/>
        <w:rPr>
          <w:rFonts w:cs="Arial"/>
          <w:b/>
          <w:bCs/>
          <w:color w:val="000000" w:themeColor="text1"/>
          <w:szCs w:val="24"/>
          <w:u w:val="single"/>
          <w:lang w:val="es-CO"/>
        </w:rPr>
      </w:pPr>
      <w:r w:rsidRPr="00D369AA">
        <w:rPr>
          <w:rFonts w:cs="Arial"/>
          <w:b/>
          <w:bCs/>
          <w:color w:val="000000" w:themeColor="text1"/>
          <w:szCs w:val="24"/>
          <w:u w:val="single"/>
          <w:lang w:val="es-CO"/>
        </w:rPr>
        <w:t>Ley 226 de 1995, Por la cual se desarrolla el artículo 60 de la Constitución Política en cuanto a la enajenación de la propiedad accionaria estatal, se toman medidas para su democratización y se dictan otras disposiciones:</w:t>
      </w:r>
    </w:p>
    <w:p w14:paraId="1036AD8A" w14:textId="77777777" w:rsidR="00450CAE" w:rsidRPr="00D369AA" w:rsidRDefault="00450CAE" w:rsidP="008D31A1">
      <w:pPr>
        <w:widowControl w:val="0"/>
        <w:autoSpaceDE w:val="0"/>
        <w:autoSpaceDN w:val="0"/>
        <w:adjustRightInd w:val="0"/>
        <w:ind w:left="426" w:right="475"/>
        <w:rPr>
          <w:rFonts w:cs="Arial"/>
          <w:i/>
          <w:color w:val="000000" w:themeColor="text1"/>
          <w:szCs w:val="24"/>
          <w:lang w:val="es-CO"/>
        </w:rPr>
      </w:pPr>
      <w:r w:rsidRPr="00D369AA">
        <w:rPr>
          <w:rFonts w:cs="Arial"/>
          <w:bCs/>
          <w:i/>
          <w:color w:val="000000" w:themeColor="text1"/>
          <w:szCs w:val="24"/>
          <w:lang w:val="es-CO"/>
        </w:rPr>
        <w:t>“ARTÍCULO 4o. PROTECCIÓN DEL PATRIMONIO PÚBLICO.</w:t>
      </w:r>
      <w:r w:rsidRPr="00D369AA">
        <w:rPr>
          <w:rFonts w:cs="Arial"/>
          <w:i/>
          <w:color w:val="000000" w:themeColor="text1"/>
          <w:szCs w:val="24"/>
          <w:lang w:val="es-CO"/>
        </w:rPr>
        <w:t xml:space="preserve"> La enajenación de la participación accionaria estatal se hará en condiciones que salvaguarden el patrimonio público. El recurso del balance en que se constituye el producto de esta enajenación, </w:t>
      </w:r>
      <w:r w:rsidRPr="00D369AA">
        <w:rPr>
          <w:rFonts w:cs="Arial"/>
          <w:b/>
          <w:i/>
          <w:color w:val="000000" w:themeColor="text1"/>
          <w:szCs w:val="24"/>
          <w:u w:val="single"/>
          <w:lang w:val="es-CO"/>
        </w:rPr>
        <w:t>se incorporará en el presupuesto al cual pertenece el titular respectivo para cumplir con los planes de desarrollo</w:t>
      </w:r>
      <w:r w:rsidRPr="00D369AA">
        <w:rPr>
          <w:rFonts w:cs="Arial"/>
          <w:i/>
          <w:color w:val="000000" w:themeColor="text1"/>
          <w:szCs w:val="24"/>
          <w:lang w:val="es-CO"/>
        </w:rPr>
        <w:t xml:space="preserve">, salvo en el caso de que haga parte de los fondos parafiscales, en cuyo evento se destinará al objeto mismo de la parafiscalidad. </w:t>
      </w:r>
      <w:r w:rsidRPr="00D369AA">
        <w:rPr>
          <w:rFonts w:cs="Arial"/>
          <w:color w:val="000000" w:themeColor="text1"/>
          <w:szCs w:val="24"/>
          <w:lang w:val="es-CO"/>
        </w:rPr>
        <w:t>(Subraya y negrilla fuera de texto).</w:t>
      </w:r>
    </w:p>
    <w:p w14:paraId="1CAC330B" w14:textId="77777777" w:rsidR="00450CAE" w:rsidRPr="00D369AA" w:rsidRDefault="00450CAE" w:rsidP="008D31A1">
      <w:pPr>
        <w:widowControl w:val="0"/>
        <w:autoSpaceDE w:val="0"/>
        <w:autoSpaceDN w:val="0"/>
        <w:adjustRightInd w:val="0"/>
        <w:ind w:left="426" w:right="475"/>
        <w:rPr>
          <w:rFonts w:cs="Arial"/>
          <w:color w:val="000000" w:themeColor="text1"/>
          <w:szCs w:val="24"/>
          <w:lang w:val="es-CO"/>
        </w:rPr>
      </w:pPr>
      <w:r w:rsidRPr="00D369AA">
        <w:rPr>
          <w:rFonts w:cs="Arial"/>
          <w:bCs/>
          <w:i/>
          <w:color w:val="000000" w:themeColor="text1"/>
          <w:szCs w:val="24"/>
          <w:lang w:val="es-CO"/>
        </w:rPr>
        <w:t xml:space="preserve">“ARTÍCULO 14. </w:t>
      </w:r>
      <w:r w:rsidRPr="00D369AA">
        <w:rPr>
          <w:rFonts w:cs="Arial"/>
          <w:i/>
          <w:color w:val="000000" w:themeColor="text1"/>
          <w:szCs w:val="24"/>
          <w:lang w:val="es-CO"/>
        </w:rPr>
        <w:t xml:space="preserve">El programa de enajenación que para cada caso expida el Gobierno dispondrá las medidas correspondientes para evitar las conductas que atenten los principios generales de esta ley. Estas medidas podrán incluir la limitación de la negociabilidad de las acciones, a los destinatarios de condiciones especiales, hasta por 2 años a partir de la fecha de la enajenación: en caso de producirse la enajenación de dichas acciones antes de dicho plazo se impondrán multas graduales de acuerdo con el tiempo transcurrido entre la adquisición de las acciones y el momento de enajenación, dichas sanciones se plasmarán en el programa de enajenación. </w:t>
      </w:r>
    </w:p>
    <w:p w14:paraId="152EF169" w14:textId="77777777" w:rsidR="00B31D35" w:rsidRPr="00D369AA" w:rsidRDefault="00B31D35" w:rsidP="00675666">
      <w:pPr>
        <w:ind w:left="426" w:right="476"/>
        <w:rPr>
          <w:rFonts w:eastAsia="Arial" w:cs="Arial"/>
          <w:i/>
          <w:szCs w:val="24"/>
          <w:lang w:val="es-CO"/>
        </w:rPr>
      </w:pPr>
      <w:r w:rsidRPr="00D369AA">
        <w:rPr>
          <w:rFonts w:eastAsia="Arial" w:cs="Arial"/>
          <w:i/>
          <w:spacing w:val="-1"/>
          <w:szCs w:val="24"/>
          <w:lang w:val="es-CO"/>
        </w:rPr>
        <w:t>“</w:t>
      </w:r>
      <w:r w:rsidRPr="00D369AA">
        <w:rPr>
          <w:rFonts w:eastAsia="Arial" w:cs="Arial"/>
          <w:i/>
          <w:szCs w:val="24"/>
          <w:lang w:val="es-CO"/>
        </w:rPr>
        <w:t>Sin</w:t>
      </w:r>
      <w:r w:rsidRPr="00D369AA">
        <w:rPr>
          <w:rFonts w:eastAsia="Arial" w:cs="Arial"/>
          <w:i/>
          <w:spacing w:val="-2"/>
          <w:szCs w:val="24"/>
          <w:lang w:val="es-CO"/>
        </w:rPr>
        <w:t xml:space="preserve"> </w:t>
      </w:r>
      <w:r w:rsidRPr="00D369AA">
        <w:rPr>
          <w:rFonts w:eastAsia="Arial" w:cs="Arial"/>
          <w:i/>
          <w:szCs w:val="24"/>
          <w:lang w:val="es-CO"/>
        </w:rPr>
        <w:t>per</w:t>
      </w:r>
      <w:r w:rsidRPr="00D369AA">
        <w:rPr>
          <w:rFonts w:eastAsia="Arial" w:cs="Arial"/>
          <w:i/>
          <w:spacing w:val="-2"/>
          <w:szCs w:val="24"/>
          <w:lang w:val="es-CO"/>
        </w:rPr>
        <w:t>j</w:t>
      </w:r>
      <w:r w:rsidRPr="00D369AA">
        <w:rPr>
          <w:rFonts w:eastAsia="Arial" w:cs="Arial"/>
          <w:i/>
          <w:szCs w:val="24"/>
          <w:lang w:val="es-CO"/>
        </w:rPr>
        <w:t>uic</w:t>
      </w:r>
      <w:r w:rsidRPr="00D369AA">
        <w:rPr>
          <w:rFonts w:eastAsia="Arial" w:cs="Arial"/>
          <w:i/>
          <w:spacing w:val="-1"/>
          <w:szCs w:val="24"/>
          <w:lang w:val="es-CO"/>
        </w:rPr>
        <w:t>i</w:t>
      </w:r>
      <w:r w:rsidRPr="00D369AA">
        <w:rPr>
          <w:rFonts w:eastAsia="Arial" w:cs="Arial"/>
          <w:i/>
          <w:szCs w:val="24"/>
          <w:lang w:val="es-CO"/>
        </w:rPr>
        <w:t>o</w:t>
      </w:r>
      <w:r w:rsidRPr="00D369AA">
        <w:rPr>
          <w:rFonts w:eastAsia="Arial" w:cs="Arial"/>
          <w:i/>
          <w:spacing w:val="-4"/>
          <w:szCs w:val="24"/>
          <w:lang w:val="es-CO"/>
        </w:rPr>
        <w:t xml:space="preserve"> </w:t>
      </w:r>
      <w:r w:rsidRPr="00D369AA">
        <w:rPr>
          <w:rFonts w:eastAsia="Arial" w:cs="Arial"/>
          <w:i/>
          <w:szCs w:val="24"/>
          <w:lang w:val="es-CO"/>
        </w:rPr>
        <w:t>de</w:t>
      </w:r>
      <w:r w:rsidRPr="00D369AA">
        <w:rPr>
          <w:rFonts w:eastAsia="Arial" w:cs="Arial"/>
          <w:i/>
          <w:spacing w:val="-4"/>
          <w:szCs w:val="24"/>
          <w:lang w:val="es-CO"/>
        </w:rPr>
        <w:t xml:space="preserve"> </w:t>
      </w:r>
      <w:r w:rsidRPr="00D369AA">
        <w:rPr>
          <w:rFonts w:eastAsia="Arial" w:cs="Arial"/>
          <w:i/>
          <w:szCs w:val="24"/>
          <w:lang w:val="es-CO"/>
        </w:rPr>
        <w:t>las</w:t>
      </w:r>
      <w:r w:rsidRPr="00D369AA">
        <w:rPr>
          <w:rFonts w:eastAsia="Arial" w:cs="Arial"/>
          <w:i/>
          <w:spacing w:val="-4"/>
          <w:szCs w:val="24"/>
          <w:lang w:val="es-CO"/>
        </w:rPr>
        <w:t xml:space="preserve"> </w:t>
      </w:r>
      <w:r w:rsidRPr="00D369AA">
        <w:rPr>
          <w:rFonts w:eastAsia="Arial" w:cs="Arial"/>
          <w:i/>
          <w:szCs w:val="24"/>
          <w:lang w:val="es-CO"/>
        </w:rPr>
        <w:t>di</w:t>
      </w:r>
      <w:r w:rsidRPr="00D369AA">
        <w:rPr>
          <w:rFonts w:eastAsia="Arial" w:cs="Arial"/>
          <w:i/>
          <w:spacing w:val="-3"/>
          <w:szCs w:val="24"/>
          <w:lang w:val="es-CO"/>
        </w:rPr>
        <w:t>s</w:t>
      </w:r>
      <w:r w:rsidRPr="00D369AA">
        <w:rPr>
          <w:rFonts w:eastAsia="Arial" w:cs="Arial"/>
          <w:i/>
          <w:szCs w:val="24"/>
          <w:lang w:val="es-CO"/>
        </w:rPr>
        <w:t>posic</w:t>
      </w:r>
      <w:r w:rsidRPr="00D369AA">
        <w:rPr>
          <w:rFonts w:eastAsia="Arial" w:cs="Arial"/>
          <w:i/>
          <w:spacing w:val="-1"/>
          <w:szCs w:val="24"/>
          <w:lang w:val="es-CO"/>
        </w:rPr>
        <w:t>i</w:t>
      </w:r>
      <w:r w:rsidRPr="00D369AA">
        <w:rPr>
          <w:rFonts w:eastAsia="Arial" w:cs="Arial"/>
          <w:i/>
          <w:szCs w:val="24"/>
          <w:lang w:val="es-CO"/>
        </w:rPr>
        <w:t>ones</w:t>
      </w:r>
      <w:r w:rsidRPr="00D369AA">
        <w:rPr>
          <w:rFonts w:eastAsia="Arial" w:cs="Arial"/>
          <w:i/>
          <w:spacing w:val="-5"/>
          <w:szCs w:val="24"/>
          <w:lang w:val="es-CO"/>
        </w:rPr>
        <w:t xml:space="preserve"> </w:t>
      </w:r>
      <w:r w:rsidRPr="00D369AA">
        <w:rPr>
          <w:rFonts w:eastAsia="Arial" w:cs="Arial"/>
          <w:i/>
          <w:spacing w:val="-2"/>
          <w:szCs w:val="24"/>
          <w:lang w:val="es-CO"/>
        </w:rPr>
        <w:t>p</w:t>
      </w:r>
      <w:r w:rsidRPr="00D369AA">
        <w:rPr>
          <w:rFonts w:eastAsia="Arial" w:cs="Arial"/>
          <w:i/>
          <w:szCs w:val="24"/>
          <w:lang w:val="es-CO"/>
        </w:rPr>
        <w:t>ena</w:t>
      </w:r>
      <w:r w:rsidRPr="00D369AA">
        <w:rPr>
          <w:rFonts w:eastAsia="Arial" w:cs="Arial"/>
          <w:i/>
          <w:spacing w:val="-3"/>
          <w:szCs w:val="24"/>
          <w:lang w:val="es-CO"/>
        </w:rPr>
        <w:t>l</w:t>
      </w:r>
      <w:r w:rsidRPr="00D369AA">
        <w:rPr>
          <w:rFonts w:eastAsia="Arial" w:cs="Arial"/>
          <w:i/>
          <w:szCs w:val="24"/>
          <w:lang w:val="es-CO"/>
        </w:rPr>
        <w:t>es</w:t>
      </w:r>
      <w:r w:rsidRPr="00D369AA">
        <w:rPr>
          <w:rFonts w:eastAsia="Arial" w:cs="Arial"/>
          <w:i/>
          <w:spacing w:val="-2"/>
          <w:szCs w:val="24"/>
          <w:lang w:val="es-CO"/>
        </w:rPr>
        <w:t xml:space="preserve"> qu</w:t>
      </w:r>
      <w:r w:rsidRPr="00D369AA">
        <w:rPr>
          <w:rFonts w:eastAsia="Arial" w:cs="Arial"/>
          <w:i/>
          <w:szCs w:val="24"/>
          <w:lang w:val="es-CO"/>
        </w:rPr>
        <w:t>e</w:t>
      </w:r>
      <w:r w:rsidRPr="00D369AA">
        <w:rPr>
          <w:rFonts w:eastAsia="Arial" w:cs="Arial"/>
          <w:i/>
          <w:spacing w:val="-2"/>
          <w:szCs w:val="24"/>
          <w:lang w:val="es-CO"/>
        </w:rPr>
        <w:t xml:space="preserve"> </w:t>
      </w:r>
      <w:r w:rsidRPr="00D369AA">
        <w:rPr>
          <w:rFonts w:eastAsia="Arial" w:cs="Arial"/>
          <w:i/>
          <w:szCs w:val="24"/>
          <w:lang w:val="es-CO"/>
        </w:rPr>
        <w:t>le</w:t>
      </w:r>
      <w:r w:rsidRPr="00D369AA">
        <w:rPr>
          <w:rFonts w:eastAsia="Arial" w:cs="Arial"/>
          <w:i/>
          <w:spacing w:val="-2"/>
          <w:szCs w:val="24"/>
          <w:lang w:val="es-CO"/>
        </w:rPr>
        <w:t xml:space="preserve"> </w:t>
      </w:r>
      <w:r w:rsidRPr="00D369AA">
        <w:rPr>
          <w:rFonts w:eastAsia="Arial" w:cs="Arial"/>
          <w:i/>
          <w:spacing w:val="-3"/>
          <w:szCs w:val="24"/>
          <w:lang w:val="es-CO"/>
        </w:rPr>
        <w:t>s</w:t>
      </w:r>
      <w:r w:rsidRPr="00D369AA">
        <w:rPr>
          <w:rFonts w:eastAsia="Arial" w:cs="Arial"/>
          <w:i/>
          <w:szCs w:val="24"/>
          <w:lang w:val="es-CO"/>
        </w:rPr>
        <w:t>e</w:t>
      </w:r>
      <w:r w:rsidRPr="00D369AA">
        <w:rPr>
          <w:rFonts w:eastAsia="Arial" w:cs="Arial"/>
          <w:i/>
          <w:spacing w:val="-2"/>
          <w:szCs w:val="24"/>
          <w:lang w:val="es-CO"/>
        </w:rPr>
        <w:t>a</w:t>
      </w:r>
      <w:r w:rsidRPr="00D369AA">
        <w:rPr>
          <w:rFonts w:eastAsia="Arial" w:cs="Arial"/>
          <w:i/>
          <w:szCs w:val="24"/>
          <w:lang w:val="es-CO"/>
        </w:rPr>
        <w:t>n</w:t>
      </w:r>
      <w:r w:rsidRPr="00D369AA">
        <w:rPr>
          <w:rFonts w:eastAsia="Arial" w:cs="Arial"/>
          <w:i/>
          <w:spacing w:val="-2"/>
          <w:szCs w:val="24"/>
          <w:lang w:val="es-CO"/>
        </w:rPr>
        <w:t xml:space="preserve"> a</w:t>
      </w:r>
      <w:r w:rsidRPr="00D369AA">
        <w:rPr>
          <w:rFonts w:eastAsia="Arial" w:cs="Arial"/>
          <w:i/>
          <w:szCs w:val="24"/>
          <w:lang w:val="es-CO"/>
        </w:rPr>
        <w:t>pl</w:t>
      </w:r>
      <w:r w:rsidRPr="00D369AA">
        <w:rPr>
          <w:rFonts w:eastAsia="Arial" w:cs="Arial"/>
          <w:i/>
          <w:spacing w:val="-1"/>
          <w:szCs w:val="24"/>
          <w:lang w:val="es-CO"/>
        </w:rPr>
        <w:t>i</w:t>
      </w:r>
      <w:r w:rsidRPr="00D369AA">
        <w:rPr>
          <w:rFonts w:eastAsia="Arial" w:cs="Arial"/>
          <w:i/>
          <w:szCs w:val="24"/>
          <w:lang w:val="es-CO"/>
        </w:rPr>
        <w:t>cable</w:t>
      </w:r>
      <w:r w:rsidRPr="00D369AA">
        <w:rPr>
          <w:rFonts w:eastAsia="Arial" w:cs="Arial"/>
          <w:i/>
          <w:spacing w:val="-2"/>
          <w:szCs w:val="24"/>
          <w:lang w:val="es-CO"/>
        </w:rPr>
        <w:t>s</w:t>
      </w:r>
      <w:r w:rsidRPr="00D369AA">
        <w:rPr>
          <w:rFonts w:eastAsia="Arial" w:cs="Arial"/>
          <w:i/>
          <w:szCs w:val="24"/>
          <w:lang w:val="es-CO"/>
        </w:rPr>
        <w:t>,</w:t>
      </w:r>
      <w:r w:rsidRPr="00D369AA">
        <w:rPr>
          <w:rFonts w:eastAsia="Arial" w:cs="Arial"/>
          <w:i/>
          <w:spacing w:val="-2"/>
          <w:szCs w:val="24"/>
          <w:lang w:val="es-CO"/>
        </w:rPr>
        <w:t xml:space="preserve"> </w:t>
      </w:r>
      <w:r w:rsidRPr="00D369AA">
        <w:rPr>
          <w:rFonts w:eastAsia="Arial" w:cs="Arial"/>
          <w:i/>
          <w:szCs w:val="24"/>
          <w:lang w:val="es-CO"/>
        </w:rPr>
        <w:t>si</w:t>
      </w:r>
      <w:r w:rsidRPr="00D369AA">
        <w:rPr>
          <w:rFonts w:eastAsia="Arial" w:cs="Arial"/>
          <w:i/>
          <w:spacing w:val="-5"/>
          <w:szCs w:val="24"/>
          <w:lang w:val="es-CO"/>
        </w:rPr>
        <w:t xml:space="preserve"> </w:t>
      </w:r>
      <w:r w:rsidRPr="00D369AA">
        <w:rPr>
          <w:rFonts w:eastAsia="Arial" w:cs="Arial"/>
          <w:i/>
          <w:szCs w:val="24"/>
          <w:lang w:val="es-CO"/>
        </w:rPr>
        <w:t>en</w:t>
      </w:r>
      <w:r w:rsidRPr="00D369AA">
        <w:rPr>
          <w:rFonts w:eastAsia="Arial" w:cs="Arial"/>
          <w:i/>
          <w:spacing w:val="-4"/>
          <w:szCs w:val="24"/>
          <w:lang w:val="es-CO"/>
        </w:rPr>
        <w:t xml:space="preserve"> </w:t>
      </w:r>
      <w:r w:rsidRPr="00D369AA">
        <w:rPr>
          <w:rFonts w:eastAsia="Arial" w:cs="Arial"/>
          <w:i/>
          <w:szCs w:val="24"/>
          <w:lang w:val="es-CO"/>
        </w:rPr>
        <w:t>cua</w:t>
      </w:r>
      <w:r w:rsidRPr="00D369AA">
        <w:rPr>
          <w:rFonts w:eastAsia="Arial" w:cs="Arial"/>
          <w:i/>
          <w:spacing w:val="-3"/>
          <w:szCs w:val="24"/>
          <w:lang w:val="es-CO"/>
        </w:rPr>
        <w:t>l</w:t>
      </w:r>
      <w:r w:rsidRPr="00D369AA">
        <w:rPr>
          <w:rFonts w:eastAsia="Arial" w:cs="Arial"/>
          <w:i/>
          <w:spacing w:val="8"/>
          <w:szCs w:val="24"/>
          <w:lang w:val="es-CO"/>
        </w:rPr>
        <w:t>q</w:t>
      </w:r>
      <w:r w:rsidRPr="00D369AA">
        <w:rPr>
          <w:rFonts w:eastAsia="Arial" w:cs="Arial"/>
          <w:i/>
          <w:szCs w:val="24"/>
          <w:lang w:val="es-CO"/>
        </w:rPr>
        <w:t>uier</w:t>
      </w:r>
      <w:r w:rsidRPr="00D369AA">
        <w:rPr>
          <w:rFonts w:eastAsia="Arial" w:cs="Arial"/>
          <w:i/>
          <w:spacing w:val="-3"/>
          <w:szCs w:val="24"/>
          <w:lang w:val="es-CO"/>
        </w:rPr>
        <w:t xml:space="preserve"> </w:t>
      </w:r>
      <w:r w:rsidRPr="00D369AA">
        <w:rPr>
          <w:rFonts w:eastAsia="Arial" w:cs="Arial"/>
          <w:i/>
          <w:spacing w:val="-4"/>
          <w:szCs w:val="24"/>
          <w:lang w:val="es-CO"/>
        </w:rPr>
        <w:t>m</w:t>
      </w:r>
      <w:r w:rsidRPr="00D369AA">
        <w:rPr>
          <w:rFonts w:eastAsia="Arial" w:cs="Arial"/>
          <w:i/>
          <w:szCs w:val="24"/>
          <w:lang w:val="es-CO"/>
        </w:rPr>
        <w:t>o</w:t>
      </w:r>
      <w:r w:rsidRPr="00D369AA">
        <w:rPr>
          <w:rFonts w:eastAsia="Arial" w:cs="Arial"/>
          <w:i/>
          <w:spacing w:val="-4"/>
          <w:szCs w:val="24"/>
          <w:lang w:val="es-CO"/>
        </w:rPr>
        <w:t>m</w:t>
      </w:r>
      <w:r w:rsidRPr="00D369AA">
        <w:rPr>
          <w:rFonts w:eastAsia="Arial" w:cs="Arial"/>
          <w:i/>
          <w:szCs w:val="24"/>
          <w:lang w:val="es-CO"/>
        </w:rPr>
        <w:t>ento</w:t>
      </w:r>
      <w:r w:rsidRPr="00D369AA">
        <w:rPr>
          <w:rFonts w:eastAsia="Arial" w:cs="Arial"/>
          <w:i/>
          <w:spacing w:val="-4"/>
          <w:szCs w:val="24"/>
          <w:lang w:val="es-CO"/>
        </w:rPr>
        <w:t xml:space="preserve"> </w:t>
      </w:r>
      <w:r w:rsidRPr="00D369AA">
        <w:rPr>
          <w:rFonts w:eastAsia="Arial" w:cs="Arial"/>
          <w:i/>
          <w:szCs w:val="24"/>
          <w:lang w:val="es-CO"/>
        </w:rPr>
        <w:t>se</w:t>
      </w:r>
      <w:r w:rsidRPr="00D369AA">
        <w:rPr>
          <w:rFonts w:eastAsia="Arial" w:cs="Arial"/>
          <w:i/>
          <w:spacing w:val="-6"/>
          <w:szCs w:val="24"/>
          <w:lang w:val="es-CO"/>
        </w:rPr>
        <w:t xml:space="preserve"> </w:t>
      </w:r>
      <w:r w:rsidRPr="00D369AA">
        <w:rPr>
          <w:rFonts w:eastAsia="Arial" w:cs="Arial"/>
          <w:i/>
          <w:szCs w:val="24"/>
          <w:lang w:val="es-CO"/>
        </w:rPr>
        <w:t>de</w:t>
      </w:r>
      <w:r w:rsidRPr="00D369AA">
        <w:rPr>
          <w:rFonts w:eastAsia="Arial" w:cs="Arial"/>
          <w:i/>
          <w:spacing w:val="-2"/>
          <w:szCs w:val="24"/>
          <w:lang w:val="es-CO"/>
        </w:rPr>
        <w:t>t</w:t>
      </w:r>
      <w:r w:rsidRPr="00D369AA">
        <w:rPr>
          <w:rFonts w:eastAsia="Arial" w:cs="Arial"/>
          <w:i/>
          <w:szCs w:val="24"/>
          <w:lang w:val="es-CO"/>
        </w:rPr>
        <w:t>er</w:t>
      </w:r>
      <w:r w:rsidRPr="00D369AA">
        <w:rPr>
          <w:rFonts w:eastAsia="Arial" w:cs="Arial"/>
          <w:i/>
          <w:spacing w:val="-4"/>
          <w:szCs w:val="24"/>
          <w:lang w:val="es-CO"/>
        </w:rPr>
        <w:t>m</w:t>
      </w:r>
      <w:r w:rsidRPr="00D369AA">
        <w:rPr>
          <w:rFonts w:eastAsia="Arial" w:cs="Arial"/>
          <w:i/>
          <w:szCs w:val="24"/>
          <w:lang w:val="es-CO"/>
        </w:rPr>
        <w:t>ina</w:t>
      </w:r>
      <w:r w:rsidRPr="00D369AA">
        <w:rPr>
          <w:rFonts w:eastAsia="Arial" w:cs="Arial"/>
          <w:i/>
          <w:spacing w:val="-4"/>
          <w:szCs w:val="24"/>
          <w:lang w:val="es-CO"/>
        </w:rPr>
        <w:t xml:space="preserve"> </w:t>
      </w:r>
      <w:r w:rsidRPr="00D369AA">
        <w:rPr>
          <w:rFonts w:eastAsia="Arial" w:cs="Arial"/>
          <w:i/>
          <w:szCs w:val="24"/>
          <w:lang w:val="es-CO"/>
        </w:rPr>
        <w:t>q</w:t>
      </w:r>
      <w:r w:rsidRPr="00D369AA">
        <w:rPr>
          <w:rFonts w:eastAsia="Arial" w:cs="Arial"/>
          <w:i/>
          <w:spacing w:val="-2"/>
          <w:szCs w:val="24"/>
          <w:lang w:val="es-CO"/>
        </w:rPr>
        <w:t>u</w:t>
      </w:r>
      <w:r w:rsidRPr="00D369AA">
        <w:rPr>
          <w:rFonts w:eastAsia="Arial" w:cs="Arial"/>
          <w:i/>
          <w:szCs w:val="24"/>
          <w:lang w:val="es-CO"/>
        </w:rPr>
        <w:t>e</w:t>
      </w:r>
      <w:r w:rsidRPr="00D369AA">
        <w:rPr>
          <w:rFonts w:eastAsia="Arial" w:cs="Arial"/>
          <w:i/>
          <w:spacing w:val="-4"/>
          <w:szCs w:val="24"/>
          <w:lang w:val="es-CO"/>
        </w:rPr>
        <w:t xml:space="preserve"> </w:t>
      </w:r>
      <w:r w:rsidRPr="00D369AA">
        <w:rPr>
          <w:rFonts w:eastAsia="Arial" w:cs="Arial"/>
          <w:i/>
          <w:szCs w:val="24"/>
          <w:lang w:val="es-CO"/>
        </w:rPr>
        <w:t>la</w:t>
      </w:r>
      <w:r w:rsidRPr="00D369AA">
        <w:rPr>
          <w:rFonts w:eastAsia="Arial" w:cs="Arial"/>
          <w:i/>
          <w:spacing w:val="-7"/>
          <w:szCs w:val="24"/>
          <w:lang w:val="es-CO"/>
        </w:rPr>
        <w:t xml:space="preserve"> </w:t>
      </w:r>
      <w:r w:rsidRPr="00D369AA">
        <w:rPr>
          <w:rFonts w:eastAsia="Arial" w:cs="Arial"/>
          <w:i/>
          <w:szCs w:val="24"/>
          <w:lang w:val="es-CO"/>
        </w:rPr>
        <w:t>a</w:t>
      </w:r>
      <w:r w:rsidRPr="00D369AA">
        <w:rPr>
          <w:rFonts w:eastAsia="Arial" w:cs="Arial"/>
          <w:i/>
          <w:spacing w:val="-2"/>
          <w:szCs w:val="24"/>
          <w:lang w:val="es-CO"/>
        </w:rPr>
        <w:t>d</w:t>
      </w:r>
      <w:r w:rsidRPr="00D369AA">
        <w:rPr>
          <w:rFonts w:eastAsia="Arial" w:cs="Arial"/>
          <w:i/>
          <w:szCs w:val="24"/>
          <w:lang w:val="es-CO"/>
        </w:rPr>
        <w:t>quis</w:t>
      </w:r>
      <w:r w:rsidRPr="00D369AA">
        <w:rPr>
          <w:rFonts w:eastAsia="Arial" w:cs="Arial"/>
          <w:i/>
          <w:spacing w:val="-1"/>
          <w:szCs w:val="24"/>
          <w:lang w:val="es-CO"/>
        </w:rPr>
        <w:t>i</w:t>
      </w:r>
      <w:r w:rsidRPr="00D369AA">
        <w:rPr>
          <w:rFonts w:eastAsia="Arial" w:cs="Arial"/>
          <w:i/>
          <w:szCs w:val="24"/>
          <w:lang w:val="es-CO"/>
        </w:rPr>
        <w:t>ción</w:t>
      </w:r>
      <w:r w:rsidRPr="00D369AA">
        <w:rPr>
          <w:rFonts w:eastAsia="Arial" w:cs="Arial"/>
          <w:i/>
          <w:spacing w:val="-6"/>
          <w:szCs w:val="24"/>
          <w:lang w:val="es-CO"/>
        </w:rPr>
        <w:t xml:space="preserve"> </w:t>
      </w:r>
      <w:r w:rsidRPr="00D369AA">
        <w:rPr>
          <w:rFonts w:eastAsia="Arial" w:cs="Arial"/>
          <w:i/>
          <w:szCs w:val="24"/>
          <w:lang w:val="es-CO"/>
        </w:rPr>
        <w:t>se</w:t>
      </w:r>
      <w:r w:rsidRPr="00D369AA">
        <w:rPr>
          <w:rFonts w:eastAsia="Arial" w:cs="Arial"/>
          <w:i/>
          <w:spacing w:val="-4"/>
          <w:szCs w:val="24"/>
          <w:lang w:val="es-CO"/>
        </w:rPr>
        <w:t xml:space="preserve"> r</w:t>
      </w:r>
      <w:r w:rsidRPr="00D369AA">
        <w:rPr>
          <w:rFonts w:eastAsia="Arial" w:cs="Arial"/>
          <w:i/>
          <w:szCs w:val="24"/>
          <w:lang w:val="es-CO"/>
        </w:rPr>
        <w:t>ea</w:t>
      </w:r>
      <w:r w:rsidRPr="00D369AA">
        <w:rPr>
          <w:rFonts w:eastAsia="Arial" w:cs="Arial"/>
          <w:i/>
          <w:spacing w:val="-3"/>
          <w:szCs w:val="24"/>
          <w:lang w:val="es-CO"/>
        </w:rPr>
        <w:t>l</w:t>
      </w:r>
      <w:r w:rsidRPr="00D369AA">
        <w:rPr>
          <w:rFonts w:eastAsia="Arial" w:cs="Arial"/>
          <w:i/>
          <w:spacing w:val="1"/>
          <w:szCs w:val="24"/>
          <w:lang w:val="es-CO"/>
        </w:rPr>
        <w:t>i</w:t>
      </w:r>
      <w:r w:rsidRPr="00D369AA">
        <w:rPr>
          <w:rFonts w:eastAsia="Arial" w:cs="Arial"/>
          <w:i/>
          <w:spacing w:val="-5"/>
          <w:szCs w:val="24"/>
          <w:lang w:val="es-CO"/>
        </w:rPr>
        <w:t>z</w:t>
      </w:r>
      <w:r w:rsidRPr="00D369AA">
        <w:rPr>
          <w:rFonts w:eastAsia="Arial" w:cs="Arial"/>
          <w:i/>
          <w:szCs w:val="24"/>
          <w:lang w:val="es-CO"/>
        </w:rPr>
        <w:t>ó</w:t>
      </w:r>
      <w:r w:rsidRPr="00D369AA">
        <w:rPr>
          <w:rFonts w:eastAsia="Arial" w:cs="Arial"/>
          <w:i/>
          <w:spacing w:val="-4"/>
          <w:szCs w:val="24"/>
          <w:lang w:val="es-CO"/>
        </w:rPr>
        <w:t xml:space="preserve"> </w:t>
      </w:r>
      <w:r w:rsidRPr="00D369AA">
        <w:rPr>
          <w:rFonts w:eastAsia="Arial" w:cs="Arial"/>
          <w:i/>
          <w:szCs w:val="24"/>
          <w:lang w:val="es-CO"/>
        </w:rPr>
        <w:t>en</w:t>
      </w:r>
      <w:r w:rsidRPr="00D369AA">
        <w:rPr>
          <w:rFonts w:eastAsia="Arial" w:cs="Arial"/>
          <w:i/>
          <w:spacing w:val="-4"/>
          <w:szCs w:val="24"/>
          <w:lang w:val="es-CO"/>
        </w:rPr>
        <w:t xml:space="preserve"> </w:t>
      </w:r>
      <w:r w:rsidRPr="00D369AA">
        <w:rPr>
          <w:rFonts w:eastAsia="Arial" w:cs="Arial"/>
          <w:i/>
          <w:szCs w:val="24"/>
          <w:lang w:val="es-CO"/>
        </w:rPr>
        <w:lastRenderedPageBreak/>
        <w:t>c</w:t>
      </w:r>
      <w:r w:rsidRPr="00D369AA">
        <w:rPr>
          <w:rFonts w:eastAsia="Arial" w:cs="Arial"/>
          <w:i/>
          <w:spacing w:val="-2"/>
          <w:szCs w:val="24"/>
          <w:lang w:val="es-CO"/>
        </w:rPr>
        <w:t>o</w:t>
      </w:r>
      <w:r w:rsidRPr="00D369AA">
        <w:rPr>
          <w:rFonts w:eastAsia="Arial" w:cs="Arial"/>
          <w:i/>
          <w:szCs w:val="24"/>
          <w:lang w:val="es-CO"/>
        </w:rPr>
        <w:t>ntrav</w:t>
      </w:r>
      <w:r w:rsidRPr="00D369AA">
        <w:rPr>
          <w:rFonts w:eastAsia="Arial" w:cs="Arial"/>
          <w:i/>
          <w:spacing w:val="-2"/>
          <w:szCs w:val="24"/>
          <w:lang w:val="es-CO"/>
        </w:rPr>
        <w:t>e</w:t>
      </w:r>
      <w:r w:rsidRPr="00D369AA">
        <w:rPr>
          <w:rFonts w:eastAsia="Arial" w:cs="Arial"/>
          <w:i/>
          <w:szCs w:val="24"/>
          <w:lang w:val="es-CO"/>
        </w:rPr>
        <w:t>nción</w:t>
      </w:r>
      <w:r w:rsidRPr="00D369AA">
        <w:rPr>
          <w:rFonts w:eastAsia="Arial" w:cs="Arial"/>
          <w:i/>
          <w:spacing w:val="-6"/>
          <w:szCs w:val="24"/>
          <w:lang w:val="es-CO"/>
        </w:rPr>
        <w:t xml:space="preserve"> </w:t>
      </w:r>
      <w:r w:rsidRPr="00D369AA">
        <w:rPr>
          <w:rFonts w:eastAsia="Arial" w:cs="Arial"/>
          <w:i/>
          <w:szCs w:val="24"/>
          <w:lang w:val="es-CO"/>
        </w:rPr>
        <w:t>a</w:t>
      </w:r>
      <w:r w:rsidRPr="00D369AA">
        <w:rPr>
          <w:rFonts w:eastAsia="Arial" w:cs="Arial"/>
          <w:i/>
          <w:spacing w:val="-9"/>
          <w:szCs w:val="24"/>
          <w:lang w:val="es-CO"/>
        </w:rPr>
        <w:t xml:space="preserve"> </w:t>
      </w:r>
      <w:r w:rsidRPr="00D369AA">
        <w:rPr>
          <w:rFonts w:eastAsia="Arial" w:cs="Arial"/>
          <w:i/>
          <w:szCs w:val="24"/>
          <w:lang w:val="es-CO"/>
        </w:rPr>
        <w:t>est</w:t>
      </w:r>
      <w:r w:rsidRPr="00D369AA">
        <w:rPr>
          <w:rFonts w:eastAsia="Arial" w:cs="Arial"/>
          <w:i/>
          <w:spacing w:val="1"/>
          <w:szCs w:val="24"/>
          <w:lang w:val="es-CO"/>
        </w:rPr>
        <w:t>a</w:t>
      </w:r>
      <w:r w:rsidRPr="00D369AA">
        <w:rPr>
          <w:rFonts w:eastAsia="Arial" w:cs="Arial"/>
          <w:i/>
          <w:szCs w:val="24"/>
          <w:lang w:val="es-CO"/>
        </w:rPr>
        <w:t>s</w:t>
      </w:r>
      <w:r w:rsidRPr="00D369AA">
        <w:rPr>
          <w:rFonts w:eastAsia="Arial" w:cs="Arial"/>
          <w:i/>
          <w:spacing w:val="-7"/>
          <w:szCs w:val="24"/>
          <w:lang w:val="es-CO"/>
        </w:rPr>
        <w:t xml:space="preserve"> </w:t>
      </w:r>
      <w:r w:rsidRPr="00D369AA">
        <w:rPr>
          <w:rFonts w:eastAsia="Arial" w:cs="Arial"/>
          <w:i/>
          <w:szCs w:val="24"/>
          <w:lang w:val="es-CO"/>
        </w:rPr>
        <w:t>disp</w:t>
      </w:r>
      <w:r w:rsidRPr="00D369AA">
        <w:rPr>
          <w:rFonts w:eastAsia="Arial" w:cs="Arial"/>
          <w:i/>
          <w:spacing w:val="1"/>
          <w:szCs w:val="24"/>
          <w:lang w:val="es-CO"/>
        </w:rPr>
        <w:t>o</w:t>
      </w:r>
      <w:r w:rsidRPr="00D369AA">
        <w:rPr>
          <w:rFonts w:eastAsia="Arial" w:cs="Arial"/>
          <w:i/>
          <w:szCs w:val="24"/>
          <w:lang w:val="es-CO"/>
        </w:rPr>
        <w:t>sic</w:t>
      </w:r>
      <w:r w:rsidRPr="00D369AA">
        <w:rPr>
          <w:rFonts w:eastAsia="Arial" w:cs="Arial"/>
          <w:i/>
          <w:spacing w:val="-1"/>
          <w:szCs w:val="24"/>
          <w:lang w:val="es-CO"/>
        </w:rPr>
        <w:t>i</w:t>
      </w:r>
      <w:r w:rsidRPr="00D369AA">
        <w:rPr>
          <w:rFonts w:eastAsia="Arial" w:cs="Arial"/>
          <w:i/>
          <w:szCs w:val="24"/>
          <w:lang w:val="es-CO"/>
        </w:rPr>
        <w:t>ones</w:t>
      </w:r>
      <w:r w:rsidRPr="00D369AA">
        <w:rPr>
          <w:rFonts w:eastAsia="Arial" w:cs="Arial"/>
          <w:i/>
          <w:spacing w:val="17"/>
          <w:szCs w:val="24"/>
          <w:lang w:val="es-CO"/>
        </w:rPr>
        <w:t xml:space="preserve"> </w:t>
      </w:r>
      <w:r w:rsidRPr="00D369AA">
        <w:rPr>
          <w:rFonts w:eastAsia="Arial" w:cs="Arial"/>
          <w:i/>
          <w:szCs w:val="24"/>
          <w:lang w:val="es-CO"/>
        </w:rPr>
        <w:t>o</w:t>
      </w:r>
      <w:r w:rsidRPr="00D369AA">
        <w:rPr>
          <w:rFonts w:eastAsia="Arial" w:cs="Arial"/>
          <w:i/>
          <w:spacing w:val="20"/>
          <w:szCs w:val="24"/>
          <w:lang w:val="es-CO"/>
        </w:rPr>
        <w:t xml:space="preserve"> </w:t>
      </w:r>
      <w:r w:rsidRPr="00D369AA">
        <w:rPr>
          <w:rFonts w:eastAsia="Arial" w:cs="Arial"/>
          <w:i/>
          <w:szCs w:val="24"/>
          <w:lang w:val="es-CO"/>
        </w:rPr>
        <w:t>a</w:t>
      </w:r>
      <w:r w:rsidRPr="00D369AA">
        <w:rPr>
          <w:rFonts w:eastAsia="Arial" w:cs="Arial"/>
          <w:i/>
          <w:spacing w:val="18"/>
          <w:szCs w:val="24"/>
          <w:lang w:val="es-CO"/>
        </w:rPr>
        <w:t xml:space="preserve"> </w:t>
      </w:r>
      <w:r w:rsidRPr="00D369AA">
        <w:rPr>
          <w:rFonts w:eastAsia="Arial" w:cs="Arial"/>
          <w:i/>
          <w:szCs w:val="24"/>
          <w:lang w:val="es-CO"/>
        </w:rPr>
        <w:t>las</w:t>
      </w:r>
      <w:r w:rsidRPr="00D369AA">
        <w:rPr>
          <w:rFonts w:eastAsia="Arial" w:cs="Arial"/>
          <w:i/>
          <w:spacing w:val="17"/>
          <w:szCs w:val="24"/>
          <w:lang w:val="es-CO"/>
        </w:rPr>
        <w:t xml:space="preserve"> </w:t>
      </w:r>
      <w:r w:rsidRPr="00D369AA">
        <w:rPr>
          <w:rFonts w:eastAsia="Arial" w:cs="Arial"/>
          <w:i/>
          <w:szCs w:val="24"/>
          <w:lang w:val="es-CO"/>
        </w:rPr>
        <w:t>que</w:t>
      </w:r>
      <w:r w:rsidRPr="00D369AA">
        <w:rPr>
          <w:rFonts w:eastAsia="Arial" w:cs="Arial"/>
          <w:i/>
          <w:spacing w:val="18"/>
          <w:szCs w:val="24"/>
          <w:lang w:val="es-CO"/>
        </w:rPr>
        <w:t xml:space="preserve"> </w:t>
      </w:r>
      <w:r w:rsidRPr="00D369AA">
        <w:rPr>
          <w:rFonts w:eastAsia="Arial" w:cs="Arial"/>
          <w:i/>
          <w:szCs w:val="24"/>
          <w:lang w:val="es-CO"/>
        </w:rPr>
        <w:t>la</w:t>
      </w:r>
      <w:r w:rsidRPr="00D369AA">
        <w:rPr>
          <w:rFonts w:eastAsia="Arial" w:cs="Arial"/>
          <w:i/>
          <w:spacing w:val="19"/>
          <w:szCs w:val="24"/>
          <w:lang w:val="es-CO"/>
        </w:rPr>
        <w:t xml:space="preserve"> </w:t>
      </w:r>
      <w:r w:rsidRPr="00D369AA">
        <w:rPr>
          <w:rFonts w:eastAsia="Arial" w:cs="Arial"/>
          <w:i/>
          <w:spacing w:val="-4"/>
          <w:szCs w:val="24"/>
          <w:lang w:val="es-CO"/>
        </w:rPr>
        <w:t>r</w:t>
      </w:r>
      <w:r w:rsidRPr="00D369AA">
        <w:rPr>
          <w:rFonts w:eastAsia="Arial" w:cs="Arial"/>
          <w:i/>
          <w:szCs w:val="24"/>
          <w:lang w:val="es-CO"/>
        </w:rPr>
        <w:t>e</w:t>
      </w:r>
      <w:r w:rsidRPr="00D369AA">
        <w:rPr>
          <w:rFonts w:eastAsia="Arial" w:cs="Arial"/>
          <w:i/>
          <w:spacing w:val="-2"/>
          <w:szCs w:val="24"/>
          <w:lang w:val="es-CO"/>
        </w:rPr>
        <w:t>g</w:t>
      </w:r>
      <w:r w:rsidRPr="00D369AA">
        <w:rPr>
          <w:rFonts w:eastAsia="Arial" w:cs="Arial"/>
          <w:i/>
          <w:szCs w:val="24"/>
          <w:lang w:val="es-CO"/>
        </w:rPr>
        <w:t>la</w:t>
      </w:r>
      <w:r w:rsidRPr="00D369AA">
        <w:rPr>
          <w:rFonts w:eastAsia="Arial" w:cs="Arial"/>
          <w:i/>
          <w:spacing w:val="-3"/>
          <w:szCs w:val="24"/>
          <w:lang w:val="es-CO"/>
        </w:rPr>
        <w:t>m</w:t>
      </w:r>
      <w:r w:rsidRPr="00D369AA">
        <w:rPr>
          <w:rFonts w:eastAsia="Arial" w:cs="Arial"/>
          <w:i/>
          <w:szCs w:val="24"/>
          <w:lang w:val="es-CO"/>
        </w:rPr>
        <w:t>ent</w:t>
      </w:r>
      <w:r w:rsidRPr="00D369AA">
        <w:rPr>
          <w:rFonts w:eastAsia="Arial" w:cs="Arial"/>
          <w:i/>
          <w:spacing w:val="1"/>
          <w:szCs w:val="24"/>
          <w:lang w:val="es-CO"/>
        </w:rPr>
        <w:t>e</w:t>
      </w:r>
      <w:r w:rsidRPr="00D369AA">
        <w:rPr>
          <w:rFonts w:eastAsia="Arial" w:cs="Arial"/>
          <w:i/>
          <w:szCs w:val="24"/>
          <w:lang w:val="es-CO"/>
        </w:rPr>
        <w:t>n</w:t>
      </w:r>
      <w:r w:rsidRPr="00D369AA">
        <w:rPr>
          <w:rFonts w:eastAsia="Arial" w:cs="Arial"/>
          <w:i/>
          <w:spacing w:val="20"/>
          <w:szCs w:val="24"/>
          <w:lang w:val="es-CO"/>
        </w:rPr>
        <w:t xml:space="preserve"> </w:t>
      </w:r>
      <w:r w:rsidRPr="00D369AA">
        <w:rPr>
          <w:rFonts w:eastAsia="Arial" w:cs="Arial"/>
          <w:i/>
          <w:spacing w:val="-2"/>
          <w:szCs w:val="24"/>
          <w:lang w:val="es-CO"/>
        </w:rPr>
        <w:t>p</w:t>
      </w:r>
      <w:r w:rsidRPr="00D369AA">
        <w:rPr>
          <w:rFonts w:eastAsia="Arial" w:cs="Arial"/>
          <w:i/>
          <w:szCs w:val="24"/>
          <w:lang w:val="es-CO"/>
        </w:rPr>
        <w:t>ara</w:t>
      </w:r>
      <w:r w:rsidRPr="00D369AA">
        <w:rPr>
          <w:rFonts w:eastAsia="Arial" w:cs="Arial"/>
          <w:i/>
          <w:spacing w:val="19"/>
          <w:szCs w:val="24"/>
          <w:lang w:val="es-CO"/>
        </w:rPr>
        <w:t xml:space="preserve"> </w:t>
      </w:r>
      <w:r w:rsidRPr="00D369AA">
        <w:rPr>
          <w:rFonts w:eastAsia="Arial" w:cs="Arial"/>
          <w:i/>
          <w:spacing w:val="-3"/>
          <w:szCs w:val="24"/>
          <w:lang w:val="es-CO"/>
        </w:rPr>
        <w:t>c</w:t>
      </w:r>
      <w:r w:rsidRPr="00D369AA">
        <w:rPr>
          <w:rFonts w:eastAsia="Arial" w:cs="Arial"/>
          <w:i/>
          <w:szCs w:val="24"/>
          <w:lang w:val="es-CO"/>
        </w:rPr>
        <w:t>ada</w:t>
      </w:r>
      <w:r w:rsidRPr="00D369AA">
        <w:rPr>
          <w:rFonts w:eastAsia="Arial" w:cs="Arial"/>
          <w:i/>
          <w:spacing w:val="18"/>
          <w:szCs w:val="24"/>
          <w:lang w:val="es-CO"/>
        </w:rPr>
        <w:t xml:space="preserve"> </w:t>
      </w:r>
      <w:r w:rsidRPr="00D369AA">
        <w:rPr>
          <w:rFonts w:eastAsia="Arial" w:cs="Arial"/>
          <w:i/>
          <w:spacing w:val="-3"/>
          <w:szCs w:val="24"/>
          <w:lang w:val="es-CO"/>
        </w:rPr>
        <w:t>c</w:t>
      </w:r>
      <w:r w:rsidRPr="00D369AA">
        <w:rPr>
          <w:rFonts w:eastAsia="Arial" w:cs="Arial"/>
          <w:i/>
          <w:szCs w:val="24"/>
          <w:lang w:val="es-CO"/>
        </w:rPr>
        <w:t>aso</w:t>
      </w:r>
      <w:r w:rsidRPr="00D369AA">
        <w:rPr>
          <w:rFonts w:eastAsia="Arial" w:cs="Arial"/>
          <w:i/>
          <w:spacing w:val="17"/>
          <w:szCs w:val="24"/>
          <w:lang w:val="es-CO"/>
        </w:rPr>
        <w:t xml:space="preserve"> </w:t>
      </w:r>
      <w:r w:rsidRPr="00D369AA">
        <w:rPr>
          <w:rFonts w:eastAsia="Arial" w:cs="Arial"/>
          <w:i/>
          <w:szCs w:val="24"/>
          <w:lang w:val="es-CO"/>
        </w:rPr>
        <w:t>en</w:t>
      </w:r>
      <w:r w:rsidRPr="00D369AA">
        <w:rPr>
          <w:rFonts w:eastAsia="Arial" w:cs="Arial"/>
          <w:i/>
          <w:spacing w:val="17"/>
          <w:szCs w:val="24"/>
          <w:lang w:val="es-CO"/>
        </w:rPr>
        <w:t xml:space="preserve"> </w:t>
      </w:r>
      <w:r w:rsidRPr="00D369AA">
        <w:rPr>
          <w:rFonts w:eastAsia="Arial" w:cs="Arial"/>
          <w:i/>
          <w:szCs w:val="24"/>
          <w:lang w:val="es-CO"/>
        </w:rPr>
        <w:t>part</w:t>
      </w:r>
      <w:r w:rsidRPr="00D369AA">
        <w:rPr>
          <w:rFonts w:eastAsia="Arial" w:cs="Arial"/>
          <w:i/>
          <w:spacing w:val="-1"/>
          <w:szCs w:val="24"/>
          <w:lang w:val="es-CO"/>
        </w:rPr>
        <w:t>i</w:t>
      </w:r>
      <w:r w:rsidRPr="00D369AA">
        <w:rPr>
          <w:rFonts w:eastAsia="Arial" w:cs="Arial"/>
          <w:i/>
          <w:szCs w:val="24"/>
          <w:lang w:val="es-CO"/>
        </w:rPr>
        <w:t>cular</w:t>
      </w:r>
      <w:r w:rsidRPr="00D369AA">
        <w:rPr>
          <w:rFonts w:eastAsia="Arial" w:cs="Arial"/>
          <w:i/>
          <w:spacing w:val="19"/>
          <w:szCs w:val="24"/>
          <w:lang w:val="es-CO"/>
        </w:rPr>
        <w:t xml:space="preserve"> </w:t>
      </w:r>
      <w:r w:rsidRPr="00D369AA">
        <w:rPr>
          <w:rFonts w:eastAsia="Arial" w:cs="Arial"/>
          <w:i/>
          <w:spacing w:val="-3"/>
          <w:szCs w:val="24"/>
          <w:lang w:val="es-CO"/>
        </w:rPr>
        <w:t>s</w:t>
      </w:r>
      <w:r w:rsidRPr="00D369AA">
        <w:rPr>
          <w:rFonts w:eastAsia="Arial" w:cs="Arial"/>
          <w:i/>
          <w:szCs w:val="24"/>
          <w:lang w:val="es-CO"/>
        </w:rPr>
        <w:t>ob</w:t>
      </w:r>
      <w:r w:rsidRPr="00D369AA">
        <w:rPr>
          <w:rFonts w:eastAsia="Arial" w:cs="Arial"/>
          <w:i/>
          <w:spacing w:val="-4"/>
          <w:szCs w:val="24"/>
          <w:lang w:val="es-CO"/>
        </w:rPr>
        <w:t>r</w:t>
      </w:r>
      <w:r w:rsidRPr="00D369AA">
        <w:rPr>
          <w:rFonts w:eastAsia="Arial" w:cs="Arial"/>
          <w:i/>
          <w:szCs w:val="24"/>
          <w:lang w:val="es-CO"/>
        </w:rPr>
        <w:t>e</w:t>
      </w:r>
      <w:r w:rsidRPr="00D369AA">
        <w:rPr>
          <w:rFonts w:eastAsia="Arial" w:cs="Arial"/>
          <w:i/>
          <w:spacing w:val="20"/>
          <w:szCs w:val="24"/>
          <w:lang w:val="es-CO"/>
        </w:rPr>
        <w:t xml:space="preserve"> </w:t>
      </w:r>
      <w:r w:rsidRPr="00D369AA">
        <w:rPr>
          <w:rFonts w:eastAsia="Arial" w:cs="Arial"/>
          <w:i/>
          <w:szCs w:val="24"/>
          <w:lang w:val="es-CO"/>
        </w:rPr>
        <w:t>el</w:t>
      </w:r>
      <w:r w:rsidRPr="00D369AA">
        <w:rPr>
          <w:rFonts w:eastAsia="Arial" w:cs="Arial"/>
          <w:i/>
          <w:spacing w:val="16"/>
          <w:szCs w:val="24"/>
          <w:lang w:val="es-CO"/>
        </w:rPr>
        <w:t xml:space="preserve"> </w:t>
      </w:r>
      <w:r w:rsidRPr="00D369AA">
        <w:rPr>
          <w:rFonts w:eastAsia="Arial" w:cs="Arial"/>
          <w:i/>
          <w:szCs w:val="24"/>
          <w:lang w:val="es-CO"/>
        </w:rPr>
        <w:t>b</w:t>
      </w:r>
      <w:r w:rsidRPr="00D369AA">
        <w:rPr>
          <w:rFonts w:eastAsia="Arial" w:cs="Arial"/>
          <w:i/>
          <w:spacing w:val="-2"/>
          <w:szCs w:val="24"/>
          <w:lang w:val="es-CO"/>
        </w:rPr>
        <w:t>e</w:t>
      </w:r>
      <w:r w:rsidRPr="00D369AA">
        <w:rPr>
          <w:rFonts w:eastAsia="Arial" w:cs="Arial"/>
          <w:i/>
          <w:szCs w:val="24"/>
          <w:lang w:val="es-CO"/>
        </w:rPr>
        <w:t>neficiar</w:t>
      </w:r>
      <w:r w:rsidRPr="00D369AA">
        <w:rPr>
          <w:rFonts w:eastAsia="Arial" w:cs="Arial"/>
          <w:i/>
          <w:spacing w:val="-1"/>
          <w:szCs w:val="24"/>
          <w:lang w:val="es-CO"/>
        </w:rPr>
        <w:t>i</w:t>
      </w:r>
      <w:r w:rsidRPr="00D369AA">
        <w:rPr>
          <w:rFonts w:eastAsia="Arial" w:cs="Arial"/>
          <w:i/>
          <w:szCs w:val="24"/>
          <w:lang w:val="es-CO"/>
        </w:rPr>
        <w:t>o</w:t>
      </w:r>
      <w:r w:rsidRPr="00D369AA">
        <w:rPr>
          <w:rFonts w:eastAsia="Arial" w:cs="Arial"/>
          <w:i/>
          <w:spacing w:val="17"/>
          <w:szCs w:val="24"/>
          <w:lang w:val="es-CO"/>
        </w:rPr>
        <w:t xml:space="preserve"> </w:t>
      </w:r>
      <w:r w:rsidRPr="00D369AA">
        <w:rPr>
          <w:rFonts w:eastAsia="Arial" w:cs="Arial"/>
          <w:i/>
          <w:szCs w:val="24"/>
          <w:lang w:val="es-CO"/>
        </w:rPr>
        <w:t>o ad</w:t>
      </w:r>
      <w:r w:rsidRPr="00D369AA">
        <w:rPr>
          <w:rFonts w:eastAsia="Arial" w:cs="Arial"/>
          <w:i/>
          <w:spacing w:val="-2"/>
          <w:szCs w:val="24"/>
          <w:lang w:val="es-CO"/>
        </w:rPr>
        <w:t>q</w:t>
      </w:r>
      <w:r w:rsidRPr="00D369AA">
        <w:rPr>
          <w:rFonts w:eastAsia="Arial" w:cs="Arial"/>
          <w:i/>
          <w:szCs w:val="24"/>
          <w:lang w:val="es-CO"/>
        </w:rPr>
        <w:t>ui</w:t>
      </w:r>
      <w:r w:rsidRPr="00D369AA">
        <w:rPr>
          <w:rFonts w:eastAsia="Arial" w:cs="Arial"/>
          <w:i/>
          <w:spacing w:val="-2"/>
          <w:szCs w:val="24"/>
          <w:lang w:val="es-CO"/>
        </w:rPr>
        <w:t>r</w:t>
      </w:r>
      <w:r w:rsidRPr="00D369AA">
        <w:rPr>
          <w:rFonts w:eastAsia="Arial" w:cs="Arial"/>
          <w:i/>
          <w:szCs w:val="24"/>
          <w:lang w:val="es-CO"/>
        </w:rPr>
        <w:t>ente</w:t>
      </w:r>
      <w:r w:rsidRPr="00D369AA">
        <w:rPr>
          <w:rFonts w:eastAsia="Arial" w:cs="Arial"/>
          <w:i/>
          <w:spacing w:val="-1"/>
          <w:szCs w:val="24"/>
          <w:lang w:val="es-CO"/>
        </w:rPr>
        <w:t xml:space="preserve"> </w:t>
      </w:r>
      <w:r w:rsidRPr="00D369AA">
        <w:rPr>
          <w:rFonts w:eastAsia="Arial" w:cs="Arial"/>
          <w:i/>
          <w:szCs w:val="24"/>
          <w:lang w:val="es-CO"/>
        </w:rPr>
        <w:t>real,</w:t>
      </w:r>
      <w:r w:rsidRPr="00D369AA">
        <w:rPr>
          <w:rFonts w:eastAsia="Arial" w:cs="Arial"/>
          <w:i/>
          <w:spacing w:val="-2"/>
          <w:szCs w:val="24"/>
          <w:lang w:val="es-CO"/>
        </w:rPr>
        <w:t xml:space="preserve"> </w:t>
      </w:r>
      <w:r w:rsidRPr="00D369AA">
        <w:rPr>
          <w:rFonts w:eastAsia="Arial" w:cs="Arial"/>
          <w:i/>
          <w:szCs w:val="24"/>
          <w:lang w:val="es-CO"/>
        </w:rPr>
        <w:t>el n</w:t>
      </w:r>
      <w:r w:rsidRPr="00D369AA">
        <w:rPr>
          <w:rFonts w:eastAsia="Arial" w:cs="Arial"/>
          <w:i/>
          <w:spacing w:val="-2"/>
          <w:szCs w:val="24"/>
          <w:lang w:val="es-CO"/>
        </w:rPr>
        <w:t>eg</w:t>
      </w:r>
      <w:r w:rsidRPr="00D369AA">
        <w:rPr>
          <w:rFonts w:eastAsia="Arial" w:cs="Arial"/>
          <w:i/>
          <w:szCs w:val="24"/>
          <w:lang w:val="es-CO"/>
        </w:rPr>
        <w:t xml:space="preserve">ocio será </w:t>
      </w:r>
      <w:r w:rsidRPr="00D369AA">
        <w:rPr>
          <w:rFonts w:eastAsia="Arial" w:cs="Arial"/>
          <w:i/>
          <w:spacing w:val="-3"/>
          <w:szCs w:val="24"/>
          <w:lang w:val="es-CO"/>
        </w:rPr>
        <w:t>i</w:t>
      </w:r>
      <w:r w:rsidRPr="00D369AA">
        <w:rPr>
          <w:rFonts w:eastAsia="Arial" w:cs="Arial"/>
          <w:i/>
          <w:szCs w:val="24"/>
          <w:lang w:val="es-CO"/>
        </w:rPr>
        <w:t>nefic</w:t>
      </w:r>
      <w:r w:rsidRPr="00D369AA">
        <w:rPr>
          <w:rFonts w:eastAsia="Arial" w:cs="Arial"/>
          <w:i/>
          <w:spacing w:val="3"/>
          <w:szCs w:val="24"/>
          <w:lang w:val="es-CO"/>
        </w:rPr>
        <w:t>a</w:t>
      </w:r>
      <w:r w:rsidRPr="00D369AA">
        <w:rPr>
          <w:rFonts w:eastAsia="Arial" w:cs="Arial"/>
          <w:i/>
          <w:spacing w:val="-8"/>
          <w:szCs w:val="24"/>
          <w:lang w:val="es-CO"/>
        </w:rPr>
        <w:t>z</w:t>
      </w:r>
      <w:r w:rsidRPr="00D369AA">
        <w:rPr>
          <w:rFonts w:eastAsia="Arial" w:cs="Arial"/>
          <w:i/>
          <w:szCs w:val="24"/>
          <w:lang w:val="es-CO"/>
        </w:rPr>
        <w:t>.</w:t>
      </w:r>
    </w:p>
    <w:p w14:paraId="44EFF667" w14:textId="77777777" w:rsidR="00B31D35" w:rsidRPr="00D369AA" w:rsidRDefault="00B31D35" w:rsidP="00675666">
      <w:pPr>
        <w:ind w:left="426" w:right="335"/>
        <w:rPr>
          <w:rFonts w:eastAsia="Arial" w:cs="Arial"/>
          <w:szCs w:val="24"/>
          <w:lang w:val="es-CO"/>
        </w:rPr>
      </w:pPr>
      <w:r w:rsidRPr="00D369AA">
        <w:rPr>
          <w:rFonts w:eastAsia="Arial" w:cs="Arial"/>
          <w:i/>
          <w:szCs w:val="24"/>
          <w:u w:val="single" w:color="151515"/>
          <w:lang w:val="es-CO"/>
        </w:rPr>
        <w:t>Sin</w:t>
      </w:r>
      <w:r w:rsidRPr="00D369AA">
        <w:rPr>
          <w:rFonts w:eastAsia="Arial" w:cs="Arial"/>
          <w:i/>
          <w:spacing w:val="1"/>
          <w:szCs w:val="24"/>
          <w:u w:val="single" w:color="151515"/>
          <w:lang w:val="es-CO"/>
        </w:rPr>
        <w:t xml:space="preserve"> </w:t>
      </w:r>
      <w:r w:rsidRPr="00D369AA">
        <w:rPr>
          <w:rFonts w:eastAsia="Arial" w:cs="Arial"/>
          <w:i/>
          <w:szCs w:val="24"/>
          <w:u w:val="single" w:color="151515"/>
          <w:lang w:val="es-CO"/>
        </w:rPr>
        <w:t>per</w:t>
      </w:r>
      <w:r w:rsidRPr="00D369AA">
        <w:rPr>
          <w:rFonts w:eastAsia="Arial" w:cs="Arial"/>
          <w:i/>
          <w:spacing w:val="-2"/>
          <w:szCs w:val="24"/>
          <w:u w:val="single" w:color="151515"/>
          <w:lang w:val="es-CO"/>
        </w:rPr>
        <w:t>j</w:t>
      </w:r>
      <w:r w:rsidRPr="00D369AA">
        <w:rPr>
          <w:rFonts w:eastAsia="Arial" w:cs="Arial"/>
          <w:i/>
          <w:szCs w:val="24"/>
          <w:u w:val="single" w:color="151515"/>
          <w:lang w:val="es-CO"/>
        </w:rPr>
        <w:t>uic</w:t>
      </w:r>
      <w:r w:rsidRPr="00D369AA">
        <w:rPr>
          <w:rFonts w:eastAsia="Arial" w:cs="Arial"/>
          <w:i/>
          <w:spacing w:val="-1"/>
          <w:szCs w:val="24"/>
          <w:u w:val="single" w:color="151515"/>
          <w:lang w:val="es-CO"/>
        </w:rPr>
        <w:t>i</w:t>
      </w:r>
      <w:r w:rsidRPr="00D369AA">
        <w:rPr>
          <w:rFonts w:eastAsia="Arial" w:cs="Arial"/>
          <w:i/>
          <w:szCs w:val="24"/>
          <w:u w:val="single" w:color="151515"/>
          <w:lang w:val="es-CO"/>
        </w:rPr>
        <w:t>o</w:t>
      </w:r>
      <w:r w:rsidRPr="00D369AA">
        <w:rPr>
          <w:rFonts w:eastAsia="Arial" w:cs="Arial"/>
          <w:i/>
          <w:spacing w:val="1"/>
          <w:szCs w:val="24"/>
          <w:u w:val="single" w:color="151515"/>
          <w:lang w:val="es-CO"/>
        </w:rPr>
        <w:t xml:space="preserve"> </w:t>
      </w:r>
      <w:r w:rsidRPr="00D369AA">
        <w:rPr>
          <w:rFonts w:eastAsia="Arial" w:cs="Arial"/>
          <w:i/>
          <w:spacing w:val="-2"/>
          <w:szCs w:val="24"/>
          <w:u w:val="single" w:color="151515"/>
          <w:lang w:val="es-CO"/>
        </w:rPr>
        <w:t>d</w:t>
      </w:r>
      <w:r w:rsidRPr="00D369AA">
        <w:rPr>
          <w:rFonts w:eastAsia="Arial" w:cs="Arial"/>
          <w:i/>
          <w:szCs w:val="24"/>
          <w:u w:val="single" w:color="151515"/>
          <w:lang w:val="es-CO"/>
        </w:rPr>
        <w:t>e</w:t>
      </w:r>
      <w:r w:rsidRPr="00D369AA">
        <w:rPr>
          <w:rFonts w:eastAsia="Arial" w:cs="Arial"/>
          <w:i/>
          <w:spacing w:val="1"/>
          <w:szCs w:val="24"/>
          <w:u w:val="single" w:color="151515"/>
          <w:lang w:val="es-CO"/>
        </w:rPr>
        <w:t xml:space="preserve"> </w:t>
      </w:r>
      <w:r w:rsidRPr="00D369AA">
        <w:rPr>
          <w:rFonts w:eastAsia="Arial" w:cs="Arial"/>
          <w:i/>
          <w:szCs w:val="24"/>
          <w:u w:val="single" w:color="151515"/>
          <w:lang w:val="es-CO"/>
        </w:rPr>
        <w:t>las</w:t>
      </w:r>
      <w:r w:rsidRPr="00D369AA">
        <w:rPr>
          <w:rFonts w:eastAsia="Arial" w:cs="Arial"/>
          <w:i/>
          <w:spacing w:val="1"/>
          <w:szCs w:val="24"/>
          <w:u w:val="single" w:color="151515"/>
          <w:lang w:val="es-CO"/>
        </w:rPr>
        <w:t xml:space="preserve"> </w:t>
      </w:r>
      <w:r w:rsidRPr="00D369AA">
        <w:rPr>
          <w:rFonts w:eastAsia="Arial" w:cs="Arial"/>
          <w:i/>
          <w:szCs w:val="24"/>
          <w:u w:val="single" w:color="151515"/>
          <w:lang w:val="es-CO"/>
        </w:rPr>
        <w:t>l</w:t>
      </w:r>
      <w:r w:rsidRPr="00D369AA">
        <w:rPr>
          <w:rFonts w:eastAsia="Arial" w:cs="Arial"/>
          <w:i/>
          <w:spacing w:val="1"/>
          <w:szCs w:val="24"/>
          <w:u w:val="single" w:color="151515"/>
          <w:lang w:val="es-CO"/>
        </w:rPr>
        <w:t>i</w:t>
      </w:r>
      <w:r w:rsidRPr="00D369AA">
        <w:rPr>
          <w:rFonts w:eastAsia="Arial" w:cs="Arial"/>
          <w:i/>
          <w:spacing w:val="-4"/>
          <w:szCs w:val="24"/>
          <w:u w:val="single" w:color="151515"/>
          <w:lang w:val="es-CO"/>
        </w:rPr>
        <w:t>m</w:t>
      </w:r>
      <w:r w:rsidRPr="00D369AA">
        <w:rPr>
          <w:rFonts w:eastAsia="Arial" w:cs="Arial"/>
          <w:i/>
          <w:szCs w:val="24"/>
          <w:u w:val="single" w:color="151515"/>
          <w:lang w:val="es-CO"/>
        </w:rPr>
        <w:t>itacio</w:t>
      </w:r>
      <w:r w:rsidRPr="00D369AA">
        <w:rPr>
          <w:rFonts w:eastAsia="Arial" w:cs="Arial"/>
          <w:i/>
          <w:spacing w:val="1"/>
          <w:szCs w:val="24"/>
          <w:u w:val="single" w:color="151515"/>
          <w:lang w:val="es-CO"/>
        </w:rPr>
        <w:t>n</w:t>
      </w:r>
      <w:r w:rsidRPr="00D369AA">
        <w:rPr>
          <w:rFonts w:eastAsia="Arial" w:cs="Arial"/>
          <w:i/>
          <w:szCs w:val="24"/>
          <w:u w:val="single" w:color="151515"/>
          <w:lang w:val="es-CO"/>
        </w:rPr>
        <w:t>es q</w:t>
      </w:r>
      <w:r w:rsidRPr="00D369AA">
        <w:rPr>
          <w:rFonts w:eastAsia="Arial" w:cs="Arial"/>
          <w:i/>
          <w:spacing w:val="-2"/>
          <w:szCs w:val="24"/>
          <w:u w:val="single" w:color="151515"/>
          <w:lang w:val="es-CO"/>
        </w:rPr>
        <w:t>u</w:t>
      </w:r>
      <w:r w:rsidRPr="00D369AA">
        <w:rPr>
          <w:rFonts w:eastAsia="Arial" w:cs="Arial"/>
          <w:i/>
          <w:szCs w:val="24"/>
          <w:u w:val="single" w:color="151515"/>
          <w:lang w:val="es-CO"/>
        </w:rPr>
        <w:t>e</w:t>
      </w:r>
      <w:r w:rsidRPr="00D369AA">
        <w:rPr>
          <w:rFonts w:eastAsia="Arial" w:cs="Arial"/>
          <w:i/>
          <w:spacing w:val="6"/>
          <w:szCs w:val="24"/>
          <w:u w:val="single" w:color="151515"/>
          <w:lang w:val="es-CO"/>
        </w:rPr>
        <w:t xml:space="preserve"> </w:t>
      </w:r>
      <w:r w:rsidRPr="00D369AA">
        <w:rPr>
          <w:rFonts w:eastAsia="Arial" w:cs="Arial"/>
          <w:i/>
          <w:szCs w:val="24"/>
          <w:u w:val="single" w:color="151515"/>
          <w:lang w:val="es-CO"/>
        </w:rPr>
        <w:t>se</w:t>
      </w:r>
      <w:r w:rsidRPr="00D369AA">
        <w:rPr>
          <w:rFonts w:eastAsia="Arial" w:cs="Arial"/>
          <w:i/>
          <w:spacing w:val="1"/>
          <w:szCs w:val="24"/>
          <w:u w:val="single" w:color="151515"/>
          <w:lang w:val="es-CO"/>
        </w:rPr>
        <w:t xml:space="preserve"> </w:t>
      </w:r>
      <w:r w:rsidRPr="00D369AA">
        <w:rPr>
          <w:rFonts w:eastAsia="Arial" w:cs="Arial"/>
          <w:i/>
          <w:spacing w:val="-2"/>
          <w:szCs w:val="24"/>
          <w:u w:val="single" w:color="151515"/>
          <w:lang w:val="es-CO"/>
        </w:rPr>
        <w:t>p</w:t>
      </w:r>
      <w:r w:rsidRPr="00D369AA">
        <w:rPr>
          <w:rFonts w:eastAsia="Arial" w:cs="Arial"/>
          <w:i/>
          <w:szCs w:val="24"/>
          <w:u w:val="single" w:color="151515"/>
          <w:lang w:val="es-CO"/>
        </w:rPr>
        <w:t>ue</w:t>
      </w:r>
      <w:r w:rsidRPr="00D369AA">
        <w:rPr>
          <w:rFonts w:eastAsia="Arial" w:cs="Arial"/>
          <w:i/>
          <w:spacing w:val="-2"/>
          <w:szCs w:val="24"/>
          <w:u w:val="single" w:color="151515"/>
          <w:lang w:val="es-CO"/>
        </w:rPr>
        <w:t>d</w:t>
      </w:r>
      <w:r w:rsidRPr="00D369AA">
        <w:rPr>
          <w:rFonts w:eastAsia="Arial" w:cs="Arial"/>
          <w:i/>
          <w:szCs w:val="24"/>
          <w:u w:val="single" w:color="151515"/>
          <w:lang w:val="es-CO"/>
        </w:rPr>
        <w:t>an</w:t>
      </w:r>
      <w:r w:rsidRPr="00D369AA">
        <w:rPr>
          <w:rFonts w:eastAsia="Arial" w:cs="Arial"/>
          <w:i/>
          <w:spacing w:val="1"/>
          <w:szCs w:val="24"/>
          <w:u w:val="single" w:color="151515"/>
          <w:lang w:val="es-CO"/>
        </w:rPr>
        <w:t xml:space="preserve"> </w:t>
      </w:r>
      <w:r w:rsidRPr="00D369AA">
        <w:rPr>
          <w:rFonts w:eastAsia="Arial" w:cs="Arial"/>
          <w:i/>
          <w:szCs w:val="24"/>
          <w:u w:val="single" w:color="151515"/>
          <w:lang w:val="es-CO"/>
        </w:rPr>
        <w:t>i</w:t>
      </w:r>
      <w:r w:rsidRPr="00D369AA">
        <w:rPr>
          <w:rFonts w:eastAsia="Arial" w:cs="Arial"/>
          <w:i/>
          <w:spacing w:val="-4"/>
          <w:szCs w:val="24"/>
          <w:u w:val="single" w:color="151515"/>
          <w:lang w:val="es-CO"/>
        </w:rPr>
        <w:t>m</w:t>
      </w:r>
      <w:r w:rsidRPr="00D369AA">
        <w:rPr>
          <w:rFonts w:eastAsia="Arial" w:cs="Arial"/>
          <w:i/>
          <w:szCs w:val="24"/>
          <w:u w:val="single" w:color="151515"/>
          <w:lang w:val="es-CO"/>
        </w:rPr>
        <w:t>poner a</w:t>
      </w:r>
      <w:r w:rsidRPr="00D369AA">
        <w:rPr>
          <w:rFonts w:eastAsia="Arial" w:cs="Arial"/>
          <w:i/>
          <w:spacing w:val="1"/>
          <w:szCs w:val="24"/>
          <w:u w:val="single" w:color="151515"/>
          <w:lang w:val="es-CO"/>
        </w:rPr>
        <w:t xml:space="preserve"> </w:t>
      </w:r>
      <w:r w:rsidRPr="00D369AA">
        <w:rPr>
          <w:rFonts w:eastAsia="Arial" w:cs="Arial"/>
          <w:i/>
          <w:szCs w:val="24"/>
          <w:u w:val="single" w:color="151515"/>
          <w:lang w:val="es-CO"/>
        </w:rPr>
        <w:t>los</w:t>
      </w:r>
      <w:r w:rsidRPr="00D369AA">
        <w:rPr>
          <w:rFonts w:eastAsia="Arial" w:cs="Arial"/>
          <w:i/>
          <w:spacing w:val="64"/>
          <w:szCs w:val="24"/>
          <w:u w:val="single" w:color="151515"/>
          <w:lang w:val="es-CO"/>
        </w:rPr>
        <w:t xml:space="preserve"> </w:t>
      </w:r>
      <w:r w:rsidRPr="00D369AA">
        <w:rPr>
          <w:rFonts w:eastAsia="Arial" w:cs="Arial"/>
          <w:i/>
          <w:szCs w:val="24"/>
          <w:u w:val="single" w:color="151515"/>
          <w:lang w:val="es-CO"/>
        </w:rPr>
        <w:t>destin</w:t>
      </w:r>
      <w:r w:rsidRPr="00D369AA">
        <w:rPr>
          <w:rFonts w:eastAsia="Arial" w:cs="Arial"/>
          <w:i/>
          <w:spacing w:val="-2"/>
          <w:szCs w:val="24"/>
          <w:u w:val="single" w:color="151515"/>
          <w:lang w:val="es-CO"/>
        </w:rPr>
        <w:t>a</w:t>
      </w:r>
      <w:r w:rsidRPr="00D369AA">
        <w:rPr>
          <w:rFonts w:eastAsia="Arial" w:cs="Arial"/>
          <w:i/>
          <w:szCs w:val="24"/>
          <w:u w:val="single" w:color="151515"/>
          <w:lang w:val="es-CO"/>
        </w:rPr>
        <w:t>t</w:t>
      </w:r>
      <w:r w:rsidRPr="00D369AA">
        <w:rPr>
          <w:rFonts w:eastAsia="Arial" w:cs="Arial"/>
          <w:i/>
          <w:spacing w:val="1"/>
          <w:szCs w:val="24"/>
          <w:u w:val="single" w:color="151515"/>
          <w:lang w:val="es-CO"/>
        </w:rPr>
        <w:t>a</w:t>
      </w:r>
      <w:r w:rsidRPr="00D369AA">
        <w:rPr>
          <w:rFonts w:eastAsia="Arial" w:cs="Arial"/>
          <w:i/>
          <w:szCs w:val="24"/>
          <w:u w:val="single" w:color="151515"/>
          <w:lang w:val="es-CO"/>
        </w:rPr>
        <w:t>r</w:t>
      </w:r>
      <w:r w:rsidRPr="00D369AA">
        <w:rPr>
          <w:rFonts w:eastAsia="Arial" w:cs="Arial"/>
          <w:i/>
          <w:spacing w:val="-2"/>
          <w:szCs w:val="24"/>
          <w:u w:val="single" w:color="151515"/>
          <w:lang w:val="es-CO"/>
        </w:rPr>
        <w:t>i</w:t>
      </w:r>
      <w:r w:rsidRPr="00D369AA">
        <w:rPr>
          <w:rFonts w:eastAsia="Arial" w:cs="Arial"/>
          <w:i/>
          <w:szCs w:val="24"/>
          <w:u w:val="single" w:color="151515"/>
          <w:lang w:val="es-CO"/>
        </w:rPr>
        <w:t>os</w:t>
      </w:r>
      <w:r w:rsidRPr="00D369AA">
        <w:rPr>
          <w:rFonts w:eastAsia="Arial" w:cs="Arial"/>
          <w:i/>
          <w:spacing w:val="65"/>
          <w:szCs w:val="24"/>
          <w:u w:val="single" w:color="151515"/>
          <w:lang w:val="es-CO"/>
        </w:rPr>
        <w:t xml:space="preserve"> </w:t>
      </w:r>
      <w:r w:rsidRPr="00D369AA">
        <w:rPr>
          <w:rFonts w:eastAsia="Arial" w:cs="Arial"/>
          <w:i/>
          <w:spacing w:val="-2"/>
          <w:szCs w:val="24"/>
          <w:u w:val="single" w:color="151515"/>
          <w:lang w:val="es-CO"/>
        </w:rPr>
        <w:t>d</w:t>
      </w:r>
      <w:r w:rsidRPr="00D369AA">
        <w:rPr>
          <w:rFonts w:eastAsia="Arial" w:cs="Arial"/>
          <w:i/>
          <w:szCs w:val="24"/>
          <w:u w:val="single" w:color="151515"/>
          <w:lang w:val="es-CO"/>
        </w:rPr>
        <w:t>e</w:t>
      </w:r>
      <w:r w:rsidRPr="00D369AA">
        <w:rPr>
          <w:rFonts w:eastAsia="Arial" w:cs="Arial"/>
          <w:i/>
          <w:szCs w:val="24"/>
          <w:lang w:val="es-CO"/>
        </w:rPr>
        <w:t xml:space="preserve"> </w:t>
      </w:r>
      <w:r w:rsidRPr="00D369AA">
        <w:rPr>
          <w:rFonts w:eastAsia="Arial" w:cs="Arial"/>
          <w:i/>
          <w:szCs w:val="24"/>
          <w:u w:val="single" w:color="151515"/>
          <w:lang w:val="es-CO"/>
        </w:rPr>
        <w:t>condic</w:t>
      </w:r>
      <w:r w:rsidRPr="00D369AA">
        <w:rPr>
          <w:rFonts w:eastAsia="Arial" w:cs="Arial"/>
          <w:i/>
          <w:spacing w:val="-1"/>
          <w:szCs w:val="24"/>
          <w:u w:val="single" w:color="151515"/>
          <w:lang w:val="es-CO"/>
        </w:rPr>
        <w:t>i</w:t>
      </w:r>
      <w:r w:rsidRPr="00D369AA">
        <w:rPr>
          <w:rFonts w:eastAsia="Arial" w:cs="Arial"/>
          <w:i/>
          <w:szCs w:val="24"/>
          <w:u w:val="single" w:color="151515"/>
          <w:lang w:val="es-CO"/>
        </w:rPr>
        <w:t>o</w:t>
      </w:r>
      <w:r w:rsidRPr="00D369AA">
        <w:rPr>
          <w:rFonts w:eastAsia="Arial" w:cs="Arial"/>
          <w:i/>
          <w:spacing w:val="-2"/>
          <w:szCs w:val="24"/>
          <w:u w:val="single" w:color="151515"/>
          <w:lang w:val="es-CO"/>
        </w:rPr>
        <w:t>n</w:t>
      </w:r>
      <w:r w:rsidRPr="00D369AA">
        <w:rPr>
          <w:rFonts w:eastAsia="Arial" w:cs="Arial"/>
          <w:i/>
          <w:szCs w:val="24"/>
          <w:u w:val="single" w:color="151515"/>
          <w:lang w:val="es-CO"/>
        </w:rPr>
        <w:t>es</w:t>
      </w:r>
      <w:r w:rsidRPr="00D369AA">
        <w:rPr>
          <w:rFonts w:eastAsia="Arial" w:cs="Arial"/>
          <w:i/>
          <w:spacing w:val="14"/>
          <w:szCs w:val="24"/>
          <w:u w:val="single" w:color="151515"/>
          <w:lang w:val="es-CO"/>
        </w:rPr>
        <w:t xml:space="preserve"> </w:t>
      </w:r>
      <w:r w:rsidRPr="00D369AA">
        <w:rPr>
          <w:rFonts w:eastAsia="Arial" w:cs="Arial"/>
          <w:i/>
          <w:szCs w:val="24"/>
          <w:u w:val="single" w:color="151515"/>
          <w:lang w:val="es-CO"/>
        </w:rPr>
        <w:t>e</w:t>
      </w:r>
      <w:r w:rsidRPr="00D369AA">
        <w:rPr>
          <w:rFonts w:eastAsia="Arial" w:cs="Arial"/>
          <w:i/>
          <w:spacing w:val="-3"/>
          <w:szCs w:val="24"/>
          <w:u w:val="single" w:color="151515"/>
          <w:lang w:val="es-CO"/>
        </w:rPr>
        <w:t>s</w:t>
      </w:r>
      <w:r w:rsidRPr="00D369AA">
        <w:rPr>
          <w:rFonts w:eastAsia="Arial" w:cs="Arial"/>
          <w:i/>
          <w:szCs w:val="24"/>
          <w:u w:val="single" w:color="151515"/>
          <w:lang w:val="es-CO"/>
        </w:rPr>
        <w:t>pecial</w:t>
      </w:r>
      <w:r w:rsidRPr="00D369AA">
        <w:rPr>
          <w:rFonts w:eastAsia="Arial" w:cs="Arial"/>
          <w:i/>
          <w:spacing w:val="-2"/>
          <w:szCs w:val="24"/>
          <w:u w:val="single" w:color="151515"/>
          <w:lang w:val="es-CO"/>
        </w:rPr>
        <w:t>e</w:t>
      </w:r>
      <w:r w:rsidRPr="00D369AA">
        <w:rPr>
          <w:rFonts w:eastAsia="Arial" w:cs="Arial"/>
          <w:i/>
          <w:spacing w:val="2"/>
          <w:szCs w:val="24"/>
          <w:u w:val="single" w:color="151515"/>
          <w:lang w:val="es-CO"/>
        </w:rPr>
        <w:t>s</w:t>
      </w:r>
      <w:r w:rsidRPr="00D369AA">
        <w:rPr>
          <w:rFonts w:eastAsia="Arial" w:cs="Arial"/>
          <w:i/>
          <w:szCs w:val="24"/>
          <w:lang w:val="es-CO"/>
        </w:rPr>
        <w:t>,</w:t>
      </w:r>
      <w:r w:rsidRPr="00D369AA">
        <w:rPr>
          <w:rFonts w:eastAsia="Arial" w:cs="Arial"/>
          <w:i/>
          <w:spacing w:val="15"/>
          <w:szCs w:val="24"/>
          <w:lang w:val="es-CO"/>
        </w:rPr>
        <w:t xml:space="preserve"> </w:t>
      </w:r>
      <w:r w:rsidRPr="00D369AA">
        <w:rPr>
          <w:rFonts w:eastAsia="Arial" w:cs="Arial"/>
          <w:i/>
          <w:szCs w:val="24"/>
          <w:lang w:val="es-CO"/>
        </w:rPr>
        <w:t>los</w:t>
      </w:r>
      <w:r w:rsidRPr="00D369AA">
        <w:rPr>
          <w:rFonts w:eastAsia="Arial" w:cs="Arial"/>
          <w:i/>
          <w:spacing w:val="15"/>
          <w:szCs w:val="24"/>
          <w:lang w:val="es-CO"/>
        </w:rPr>
        <w:t xml:space="preserve"> </w:t>
      </w:r>
      <w:r w:rsidRPr="00D369AA">
        <w:rPr>
          <w:rFonts w:eastAsia="Arial" w:cs="Arial"/>
          <w:i/>
          <w:szCs w:val="24"/>
          <w:lang w:val="es-CO"/>
        </w:rPr>
        <w:t>car</w:t>
      </w:r>
      <w:r w:rsidRPr="00D369AA">
        <w:rPr>
          <w:rFonts w:eastAsia="Arial" w:cs="Arial"/>
          <w:i/>
          <w:spacing w:val="-3"/>
          <w:szCs w:val="24"/>
          <w:lang w:val="es-CO"/>
        </w:rPr>
        <w:t>g</w:t>
      </w:r>
      <w:r w:rsidRPr="00D369AA">
        <w:rPr>
          <w:rFonts w:eastAsia="Arial" w:cs="Arial"/>
          <w:i/>
          <w:szCs w:val="24"/>
          <w:lang w:val="es-CO"/>
        </w:rPr>
        <w:t>os</w:t>
      </w:r>
      <w:r w:rsidRPr="00D369AA">
        <w:rPr>
          <w:rFonts w:eastAsia="Arial" w:cs="Arial"/>
          <w:i/>
          <w:spacing w:val="14"/>
          <w:szCs w:val="24"/>
          <w:lang w:val="es-CO"/>
        </w:rPr>
        <w:t xml:space="preserve"> </w:t>
      </w:r>
      <w:r w:rsidRPr="00D369AA">
        <w:rPr>
          <w:rFonts w:eastAsia="Arial" w:cs="Arial"/>
          <w:i/>
          <w:spacing w:val="-2"/>
          <w:szCs w:val="24"/>
          <w:lang w:val="es-CO"/>
        </w:rPr>
        <w:t>d</w:t>
      </w:r>
      <w:r w:rsidRPr="00D369AA">
        <w:rPr>
          <w:rFonts w:eastAsia="Arial" w:cs="Arial"/>
          <w:i/>
          <w:szCs w:val="24"/>
          <w:lang w:val="es-CO"/>
        </w:rPr>
        <w:t>el</w:t>
      </w:r>
      <w:r w:rsidRPr="00D369AA">
        <w:rPr>
          <w:rFonts w:eastAsia="Arial" w:cs="Arial"/>
          <w:i/>
          <w:spacing w:val="14"/>
          <w:szCs w:val="24"/>
          <w:lang w:val="es-CO"/>
        </w:rPr>
        <w:t xml:space="preserve"> </w:t>
      </w:r>
      <w:r w:rsidRPr="00D369AA">
        <w:rPr>
          <w:rFonts w:eastAsia="Arial" w:cs="Arial"/>
          <w:i/>
          <w:szCs w:val="24"/>
          <w:lang w:val="es-CO"/>
        </w:rPr>
        <w:t>nivel</w:t>
      </w:r>
      <w:r w:rsidRPr="00D369AA">
        <w:rPr>
          <w:rFonts w:eastAsia="Arial" w:cs="Arial"/>
          <w:i/>
          <w:spacing w:val="12"/>
          <w:szCs w:val="24"/>
          <w:lang w:val="es-CO"/>
        </w:rPr>
        <w:t xml:space="preserve"> </w:t>
      </w:r>
      <w:r w:rsidRPr="00D369AA">
        <w:rPr>
          <w:rFonts w:eastAsia="Arial" w:cs="Arial"/>
          <w:i/>
          <w:szCs w:val="24"/>
          <w:lang w:val="es-CO"/>
        </w:rPr>
        <w:t>di</w:t>
      </w:r>
      <w:r w:rsidRPr="00D369AA">
        <w:rPr>
          <w:rFonts w:eastAsia="Arial" w:cs="Arial"/>
          <w:i/>
          <w:spacing w:val="-2"/>
          <w:szCs w:val="24"/>
          <w:lang w:val="es-CO"/>
        </w:rPr>
        <w:t>r</w:t>
      </w:r>
      <w:r w:rsidRPr="00D369AA">
        <w:rPr>
          <w:rFonts w:eastAsia="Arial" w:cs="Arial"/>
          <w:i/>
          <w:szCs w:val="24"/>
          <w:lang w:val="es-CO"/>
        </w:rPr>
        <w:t>ectivo</w:t>
      </w:r>
      <w:r w:rsidRPr="00D369AA">
        <w:rPr>
          <w:rFonts w:eastAsia="Arial" w:cs="Arial"/>
          <w:i/>
          <w:spacing w:val="15"/>
          <w:szCs w:val="24"/>
          <w:lang w:val="es-CO"/>
        </w:rPr>
        <w:t xml:space="preserve"> </w:t>
      </w:r>
      <w:r w:rsidRPr="00D369AA">
        <w:rPr>
          <w:rFonts w:eastAsia="Arial" w:cs="Arial"/>
          <w:i/>
          <w:spacing w:val="-2"/>
          <w:szCs w:val="24"/>
          <w:lang w:val="es-CO"/>
        </w:rPr>
        <w:t>d</w:t>
      </w:r>
      <w:r w:rsidRPr="00D369AA">
        <w:rPr>
          <w:rFonts w:eastAsia="Arial" w:cs="Arial"/>
          <w:i/>
          <w:szCs w:val="24"/>
          <w:lang w:val="es-CO"/>
        </w:rPr>
        <w:t>e</w:t>
      </w:r>
      <w:r w:rsidRPr="00D369AA">
        <w:rPr>
          <w:rFonts w:eastAsia="Arial" w:cs="Arial"/>
          <w:i/>
          <w:spacing w:val="15"/>
          <w:szCs w:val="24"/>
          <w:lang w:val="es-CO"/>
        </w:rPr>
        <w:t xml:space="preserve"> </w:t>
      </w:r>
      <w:r w:rsidRPr="00D369AA">
        <w:rPr>
          <w:rFonts w:eastAsia="Arial" w:cs="Arial"/>
          <w:i/>
          <w:szCs w:val="24"/>
          <w:lang w:val="es-CO"/>
        </w:rPr>
        <w:t>la</w:t>
      </w:r>
      <w:r w:rsidRPr="00D369AA">
        <w:rPr>
          <w:rFonts w:eastAsia="Arial" w:cs="Arial"/>
          <w:i/>
          <w:spacing w:val="12"/>
          <w:szCs w:val="24"/>
          <w:lang w:val="es-CO"/>
        </w:rPr>
        <w:t xml:space="preserve"> </w:t>
      </w:r>
      <w:r w:rsidRPr="00D369AA">
        <w:rPr>
          <w:rFonts w:eastAsia="Arial" w:cs="Arial"/>
          <w:i/>
          <w:szCs w:val="24"/>
          <w:lang w:val="es-CO"/>
        </w:rPr>
        <w:t>enti</w:t>
      </w:r>
      <w:r w:rsidRPr="00D369AA">
        <w:rPr>
          <w:rFonts w:eastAsia="Arial" w:cs="Arial"/>
          <w:i/>
          <w:spacing w:val="-2"/>
          <w:szCs w:val="24"/>
          <w:lang w:val="es-CO"/>
        </w:rPr>
        <w:t>d</w:t>
      </w:r>
      <w:r w:rsidRPr="00D369AA">
        <w:rPr>
          <w:rFonts w:eastAsia="Arial" w:cs="Arial"/>
          <w:i/>
          <w:szCs w:val="24"/>
          <w:lang w:val="es-CO"/>
        </w:rPr>
        <w:t>ad</w:t>
      </w:r>
      <w:r w:rsidRPr="00D369AA">
        <w:rPr>
          <w:rFonts w:eastAsia="Arial" w:cs="Arial"/>
          <w:i/>
          <w:spacing w:val="13"/>
          <w:szCs w:val="24"/>
          <w:lang w:val="es-CO"/>
        </w:rPr>
        <w:t xml:space="preserve"> </w:t>
      </w:r>
      <w:r w:rsidRPr="00D369AA">
        <w:rPr>
          <w:rFonts w:eastAsia="Arial" w:cs="Arial"/>
          <w:i/>
          <w:szCs w:val="24"/>
          <w:lang w:val="es-CO"/>
        </w:rPr>
        <w:t>en</w:t>
      </w:r>
      <w:r w:rsidRPr="00D369AA">
        <w:rPr>
          <w:rFonts w:eastAsia="Arial" w:cs="Arial"/>
          <w:i/>
          <w:spacing w:val="12"/>
          <w:szCs w:val="24"/>
          <w:lang w:val="es-CO"/>
        </w:rPr>
        <w:t xml:space="preserve"> </w:t>
      </w:r>
      <w:r w:rsidRPr="00D369AA">
        <w:rPr>
          <w:rFonts w:eastAsia="Arial" w:cs="Arial"/>
          <w:i/>
          <w:szCs w:val="24"/>
          <w:lang w:val="es-CO"/>
        </w:rPr>
        <w:t>el</w:t>
      </w:r>
      <w:r w:rsidRPr="00D369AA">
        <w:rPr>
          <w:rFonts w:eastAsia="Arial" w:cs="Arial"/>
          <w:i/>
          <w:spacing w:val="14"/>
          <w:szCs w:val="24"/>
          <w:lang w:val="es-CO"/>
        </w:rPr>
        <w:t xml:space="preserve"> </w:t>
      </w:r>
      <w:r w:rsidRPr="00D369AA">
        <w:rPr>
          <w:rFonts w:eastAsia="Arial" w:cs="Arial"/>
          <w:i/>
          <w:szCs w:val="24"/>
          <w:lang w:val="es-CO"/>
        </w:rPr>
        <w:t>proce</w:t>
      </w:r>
      <w:r w:rsidRPr="00D369AA">
        <w:rPr>
          <w:rFonts w:eastAsia="Arial" w:cs="Arial"/>
          <w:i/>
          <w:spacing w:val="-3"/>
          <w:szCs w:val="24"/>
          <w:lang w:val="es-CO"/>
        </w:rPr>
        <w:t>s</w:t>
      </w:r>
      <w:r w:rsidRPr="00D369AA">
        <w:rPr>
          <w:rFonts w:eastAsia="Arial" w:cs="Arial"/>
          <w:i/>
          <w:szCs w:val="24"/>
          <w:lang w:val="es-CO"/>
        </w:rPr>
        <w:t>o</w:t>
      </w:r>
      <w:r w:rsidRPr="00D369AA">
        <w:rPr>
          <w:rFonts w:eastAsia="Arial" w:cs="Arial"/>
          <w:i/>
          <w:spacing w:val="12"/>
          <w:szCs w:val="24"/>
          <w:lang w:val="es-CO"/>
        </w:rPr>
        <w:t xml:space="preserve"> </w:t>
      </w:r>
      <w:r w:rsidRPr="00D369AA">
        <w:rPr>
          <w:rFonts w:eastAsia="Arial" w:cs="Arial"/>
          <w:i/>
          <w:spacing w:val="-2"/>
          <w:szCs w:val="24"/>
          <w:lang w:val="es-CO"/>
        </w:rPr>
        <w:t>d</w:t>
      </w:r>
      <w:r w:rsidRPr="00D369AA">
        <w:rPr>
          <w:rFonts w:eastAsia="Arial" w:cs="Arial"/>
          <w:i/>
          <w:szCs w:val="24"/>
          <w:lang w:val="es-CO"/>
        </w:rPr>
        <w:t>e pr</w:t>
      </w:r>
      <w:r w:rsidRPr="00D369AA">
        <w:rPr>
          <w:rFonts w:eastAsia="Arial" w:cs="Arial"/>
          <w:i/>
          <w:spacing w:val="-2"/>
          <w:szCs w:val="24"/>
          <w:lang w:val="es-CO"/>
        </w:rPr>
        <w:t>i</w:t>
      </w:r>
      <w:r w:rsidRPr="00D369AA">
        <w:rPr>
          <w:rFonts w:eastAsia="Arial" w:cs="Arial"/>
          <w:i/>
          <w:szCs w:val="24"/>
          <w:lang w:val="es-CO"/>
        </w:rPr>
        <w:t>vat</w:t>
      </w:r>
      <w:r w:rsidRPr="00D369AA">
        <w:rPr>
          <w:rFonts w:eastAsia="Arial" w:cs="Arial"/>
          <w:i/>
          <w:spacing w:val="2"/>
          <w:szCs w:val="24"/>
          <w:lang w:val="es-CO"/>
        </w:rPr>
        <w:t>i</w:t>
      </w:r>
      <w:r w:rsidRPr="00D369AA">
        <w:rPr>
          <w:rFonts w:eastAsia="Arial" w:cs="Arial"/>
          <w:i/>
          <w:spacing w:val="-8"/>
          <w:szCs w:val="24"/>
          <w:lang w:val="es-CO"/>
        </w:rPr>
        <w:t>z</w:t>
      </w:r>
      <w:r w:rsidRPr="00D369AA">
        <w:rPr>
          <w:rFonts w:eastAsia="Arial" w:cs="Arial"/>
          <w:i/>
          <w:szCs w:val="24"/>
          <w:lang w:val="es-CO"/>
        </w:rPr>
        <w:t>a</w:t>
      </w:r>
      <w:r w:rsidRPr="00D369AA">
        <w:rPr>
          <w:rFonts w:eastAsia="Arial" w:cs="Arial"/>
          <w:i/>
          <w:spacing w:val="2"/>
          <w:szCs w:val="24"/>
          <w:lang w:val="es-CO"/>
        </w:rPr>
        <w:t>c</w:t>
      </w:r>
      <w:r w:rsidRPr="00D369AA">
        <w:rPr>
          <w:rFonts w:eastAsia="Arial" w:cs="Arial"/>
          <w:i/>
          <w:szCs w:val="24"/>
          <w:lang w:val="es-CO"/>
        </w:rPr>
        <w:t>ió</w:t>
      </w:r>
      <w:r w:rsidRPr="00D369AA">
        <w:rPr>
          <w:rFonts w:eastAsia="Arial" w:cs="Arial"/>
          <w:i/>
          <w:spacing w:val="1"/>
          <w:szCs w:val="24"/>
          <w:lang w:val="es-CO"/>
        </w:rPr>
        <w:t>n</w:t>
      </w:r>
      <w:r w:rsidRPr="00D369AA">
        <w:rPr>
          <w:rFonts w:eastAsia="Arial" w:cs="Arial"/>
          <w:i/>
          <w:szCs w:val="24"/>
          <w:lang w:val="es-CO"/>
        </w:rPr>
        <w:t>,</w:t>
      </w:r>
      <w:r w:rsidRPr="00D369AA">
        <w:rPr>
          <w:rFonts w:eastAsia="Arial" w:cs="Arial"/>
          <w:i/>
          <w:spacing w:val="57"/>
          <w:szCs w:val="24"/>
          <w:lang w:val="es-CO"/>
        </w:rPr>
        <w:t xml:space="preserve"> </w:t>
      </w:r>
      <w:r w:rsidRPr="00D369AA">
        <w:rPr>
          <w:rFonts w:eastAsia="Arial" w:cs="Arial"/>
          <w:i/>
          <w:szCs w:val="24"/>
          <w:lang w:val="es-CO"/>
        </w:rPr>
        <w:t>sólo</w:t>
      </w:r>
      <w:r w:rsidRPr="00D369AA">
        <w:rPr>
          <w:rFonts w:eastAsia="Arial" w:cs="Arial"/>
          <w:i/>
          <w:spacing w:val="56"/>
          <w:szCs w:val="24"/>
          <w:lang w:val="es-CO"/>
        </w:rPr>
        <w:t xml:space="preserve"> </w:t>
      </w:r>
      <w:r w:rsidRPr="00D369AA">
        <w:rPr>
          <w:rFonts w:eastAsia="Arial" w:cs="Arial"/>
          <w:i/>
          <w:spacing w:val="-2"/>
          <w:szCs w:val="24"/>
          <w:lang w:val="es-CO"/>
        </w:rPr>
        <w:t>po</w:t>
      </w:r>
      <w:r w:rsidRPr="00D369AA">
        <w:rPr>
          <w:rFonts w:eastAsia="Arial" w:cs="Arial"/>
          <w:i/>
          <w:szCs w:val="24"/>
          <w:lang w:val="es-CO"/>
        </w:rPr>
        <w:t>drán</w:t>
      </w:r>
      <w:r w:rsidRPr="00D369AA">
        <w:rPr>
          <w:rFonts w:eastAsia="Arial" w:cs="Arial"/>
          <w:i/>
          <w:spacing w:val="56"/>
          <w:szCs w:val="24"/>
          <w:lang w:val="es-CO"/>
        </w:rPr>
        <w:t xml:space="preserve"> </w:t>
      </w:r>
      <w:r w:rsidRPr="00D369AA">
        <w:rPr>
          <w:rFonts w:eastAsia="Arial" w:cs="Arial"/>
          <w:i/>
          <w:szCs w:val="24"/>
          <w:lang w:val="es-CO"/>
        </w:rPr>
        <w:t>a</w:t>
      </w:r>
      <w:r w:rsidRPr="00D369AA">
        <w:rPr>
          <w:rFonts w:eastAsia="Arial" w:cs="Arial"/>
          <w:i/>
          <w:spacing w:val="-2"/>
          <w:szCs w:val="24"/>
          <w:lang w:val="es-CO"/>
        </w:rPr>
        <w:t>d</w:t>
      </w:r>
      <w:r w:rsidRPr="00D369AA">
        <w:rPr>
          <w:rFonts w:eastAsia="Arial" w:cs="Arial"/>
          <w:i/>
          <w:szCs w:val="24"/>
          <w:lang w:val="es-CO"/>
        </w:rPr>
        <w:t>qui</w:t>
      </w:r>
      <w:r w:rsidRPr="00D369AA">
        <w:rPr>
          <w:rFonts w:eastAsia="Arial" w:cs="Arial"/>
          <w:i/>
          <w:spacing w:val="-2"/>
          <w:szCs w:val="24"/>
          <w:lang w:val="es-CO"/>
        </w:rPr>
        <w:t>r</w:t>
      </w:r>
      <w:r w:rsidRPr="00D369AA">
        <w:rPr>
          <w:rFonts w:eastAsia="Arial" w:cs="Arial"/>
          <w:i/>
          <w:szCs w:val="24"/>
          <w:lang w:val="es-CO"/>
        </w:rPr>
        <w:t>ir</w:t>
      </w:r>
      <w:r w:rsidRPr="00D369AA">
        <w:rPr>
          <w:rFonts w:eastAsia="Arial" w:cs="Arial"/>
          <w:i/>
          <w:spacing w:val="55"/>
          <w:szCs w:val="24"/>
          <w:lang w:val="es-CO"/>
        </w:rPr>
        <w:t xml:space="preserve"> </w:t>
      </w:r>
      <w:r w:rsidRPr="00D369AA">
        <w:rPr>
          <w:rFonts w:eastAsia="Arial" w:cs="Arial"/>
          <w:i/>
          <w:szCs w:val="24"/>
          <w:lang w:val="es-CO"/>
        </w:rPr>
        <w:t>accio</w:t>
      </w:r>
      <w:r w:rsidRPr="00D369AA">
        <w:rPr>
          <w:rFonts w:eastAsia="Arial" w:cs="Arial"/>
          <w:i/>
          <w:spacing w:val="-1"/>
          <w:szCs w:val="24"/>
          <w:lang w:val="es-CO"/>
        </w:rPr>
        <w:t>n</w:t>
      </w:r>
      <w:r w:rsidRPr="00D369AA">
        <w:rPr>
          <w:rFonts w:eastAsia="Arial" w:cs="Arial"/>
          <w:i/>
          <w:spacing w:val="-2"/>
          <w:szCs w:val="24"/>
          <w:lang w:val="es-CO"/>
        </w:rPr>
        <w:t>e</w:t>
      </w:r>
      <w:r w:rsidRPr="00D369AA">
        <w:rPr>
          <w:rFonts w:eastAsia="Arial" w:cs="Arial"/>
          <w:i/>
          <w:szCs w:val="24"/>
          <w:lang w:val="es-CO"/>
        </w:rPr>
        <w:t>s</w:t>
      </w:r>
      <w:r w:rsidRPr="00D369AA">
        <w:rPr>
          <w:rFonts w:eastAsia="Arial" w:cs="Arial"/>
          <w:i/>
          <w:spacing w:val="58"/>
          <w:szCs w:val="24"/>
          <w:lang w:val="es-CO"/>
        </w:rPr>
        <w:t xml:space="preserve"> </w:t>
      </w:r>
      <w:r w:rsidRPr="00D369AA">
        <w:rPr>
          <w:rFonts w:eastAsia="Arial" w:cs="Arial"/>
          <w:i/>
          <w:szCs w:val="24"/>
          <w:lang w:val="es-CO"/>
        </w:rPr>
        <w:t>por</w:t>
      </w:r>
      <w:r w:rsidRPr="00D369AA">
        <w:rPr>
          <w:rFonts w:eastAsia="Arial" w:cs="Arial"/>
          <w:i/>
          <w:spacing w:val="55"/>
          <w:szCs w:val="24"/>
          <w:lang w:val="es-CO"/>
        </w:rPr>
        <w:t xml:space="preserve"> </w:t>
      </w:r>
      <w:r w:rsidRPr="00D369AA">
        <w:rPr>
          <w:rFonts w:eastAsia="Arial" w:cs="Arial"/>
          <w:i/>
          <w:szCs w:val="24"/>
          <w:lang w:val="es-CO"/>
        </w:rPr>
        <w:t>un</w:t>
      </w:r>
      <w:r w:rsidRPr="00D369AA">
        <w:rPr>
          <w:rFonts w:eastAsia="Arial" w:cs="Arial"/>
          <w:i/>
          <w:spacing w:val="56"/>
          <w:szCs w:val="24"/>
          <w:lang w:val="es-CO"/>
        </w:rPr>
        <w:t xml:space="preserve"> </w:t>
      </w:r>
      <w:r w:rsidRPr="00D369AA">
        <w:rPr>
          <w:rFonts w:eastAsia="Arial" w:cs="Arial"/>
          <w:i/>
          <w:szCs w:val="24"/>
          <w:lang w:val="es-CO"/>
        </w:rPr>
        <w:t>valor</w:t>
      </w:r>
      <w:r w:rsidRPr="00D369AA">
        <w:rPr>
          <w:rFonts w:eastAsia="Arial" w:cs="Arial"/>
          <w:i/>
          <w:spacing w:val="54"/>
          <w:szCs w:val="24"/>
          <w:lang w:val="es-CO"/>
        </w:rPr>
        <w:t xml:space="preserve"> </w:t>
      </w:r>
      <w:r w:rsidRPr="00D369AA">
        <w:rPr>
          <w:rFonts w:eastAsia="Arial" w:cs="Arial"/>
          <w:i/>
          <w:spacing w:val="-4"/>
          <w:szCs w:val="24"/>
          <w:lang w:val="es-CO"/>
        </w:rPr>
        <w:t>m</w:t>
      </w:r>
      <w:r w:rsidRPr="00D369AA">
        <w:rPr>
          <w:rFonts w:eastAsia="Arial" w:cs="Arial"/>
          <w:i/>
          <w:szCs w:val="24"/>
          <w:lang w:val="es-CO"/>
        </w:rPr>
        <w:t>áx</w:t>
      </w:r>
      <w:r w:rsidRPr="00D369AA">
        <w:rPr>
          <w:rFonts w:eastAsia="Arial" w:cs="Arial"/>
          <w:i/>
          <w:spacing w:val="1"/>
          <w:szCs w:val="24"/>
          <w:lang w:val="es-CO"/>
        </w:rPr>
        <w:t>i</w:t>
      </w:r>
      <w:r w:rsidRPr="00D369AA">
        <w:rPr>
          <w:rFonts w:eastAsia="Arial" w:cs="Arial"/>
          <w:i/>
          <w:spacing w:val="-1"/>
          <w:szCs w:val="24"/>
          <w:lang w:val="es-CO"/>
        </w:rPr>
        <w:t>m</w:t>
      </w:r>
      <w:r w:rsidRPr="00D369AA">
        <w:rPr>
          <w:rFonts w:eastAsia="Arial" w:cs="Arial"/>
          <w:i/>
          <w:szCs w:val="24"/>
          <w:lang w:val="es-CO"/>
        </w:rPr>
        <w:t>o</w:t>
      </w:r>
      <w:r w:rsidRPr="00D369AA">
        <w:rPr>
          <w:rFonts w:eastAsia="Arial" w:cs="Arial"/>
          <w:i/>
          <w:spacing w:val="58"/>
          <w:szCs w:val="24"/>
          <w:lang w:val="es-CO"/>
        </w:rPr>
        <w:t xml:space="preserve"> </w:t>
      </w:r>
      <w:r w:rsidRPr="00D369AA">
        <w:rPr>
          <w:rFonts w:eastAsia="Arial" w:cs="Arial"/>
          <w:i/>
          <w:spacing w:val="-2"/>
          <w:szCs w:val="24"/>
          <w:lang w:val="es-CO"/>
        </w:rPr>
        <w:t>d</w:t>
      </w:r>
      <w:r w:rsidRPr="00D369AA">
        <w:rPr>
          <w:rFonts w:eastAsia="Arial" w:cs="Arial"/>
          <w:i/>
          <w:szCs w:val="24"/>
          <w:lang w:val="es-CO"/>
        </w:rPr>
        <w:t>e</w:t>
      </w:r>
      <w:r w:rsidRPr="00D369AA">
        <w:rPr>
          <w:rFonts w:eastAsia="Arial" w:cs="Arial"/>
          <w:i/>
          <w:spacing w:val="56"/>
          <w:szCs w:val="24"/>
          <w:lang w:val="es-CO"/>
        </w:rPr>
        <w:t xml:space="preserve"> </w:t>
      </w:r>
      <w:r w:rsidRPr="00D369AA">
        <w:rPr>
          <w:rFonts w:eastAsia="Arial" w:cs="Arial"/>
          <w:i/>
          <w:szCs w:val="24"/>
          <w:lang w:val="es-CO"/>
        </w:rPr>
        <w:t>5</w:t>
      </w:r>
      <w:r w:rsidRPr="00D369AA">
        <w:rPr>
          <w:rFonts w:eastAsia="Arial" w:cs="Arial"/>
          <w:i/>
          <w:spacing w:val="57"/>
          <w:szCs w:val="24"/>
          <w:lang w:val="es-CO"/>
        </w:rPr>
        <w:t xml:space="preserve"> </w:t>
      </w:r>
      <w:r w:rsidRPr="00D369AA">
        <w:rPr>
          <w:rFonts w:eastAsia="Arial" w:cs="Arial"/>
          <w:i/>
          <w:szCs w:val="24"/>
          <w:lang w:val="es-CO"/>
        </w:rPr>
        <w:t>ve</w:t>
      </w:r>
      <w:r w:rsidRPr="00D369AA">
        <w:rPr>
          <w:rFonts w:eastAsia="Arial" w:cs="Arial"/>
          <w:i/>
          <w:spacing w:val="-3"/>
          <w:szCs w:val="24"/>
          <w:lang w:val="es-CO"/>
        </w:rPr>
        <w:t>c</w:t>
      </w:r>
      <w:r w:rsidRPr="00D369AA">
        <w:rPr>
          <w:rFonts w:eastAsia="Arial" w:cs="Arial"/>
          <w:i/>
          <w:szCs w:val="24"/>
          <w:lang w:val="es-CO"/>
        </w:rPr>
        <w:t>es</w:t>
      </w:r>
      <w:r w:rsidRPr="00D369AA">
        <w:rPr>
          <w:rFonts w:eastAsia="Arial" w:cs="Arial"/>
          <w:i/>
          <w:spacing w:val="58"/>
          <w:szCs w:val="24"/>
          <w:lang w:val="es-CO"/>
        </w:rPr>
        <w:t xml:space="preserve"> </w:t>
      </w:r>
      <w:r w:rsidRPr="00D369AA">
        <w:rPr>
          <w:rFonts w:eastAsia="Arial" w:cs="Arial"/>
          <w:i/>
          <w:spacing w:val="-3"/>
          <w:szCs w:val="24"/>
          <w:lang w:val="es-CO"/>
        </w:rPr>
        <w:t>s</w:t>
      </w:r>
      <w:r w:rsidRPr="00D369AA">
        <w:rPr>
          <w:rFonts w:eastAsia="Arial" w:cs="Arial"/>
          <w:i/>
          <w:szCs w:val="24"/>
          <w:lang w:val="es-CO"/>
        </w:rPr>
        <w:t>u re</w:t>
      </w:r>
      <w:r w:rsidRPr="00D369AA">
        <w:rPr>
          <w:rFonts w:eastAsia="Arial" w:cs="Arial"/>
          <w:i/>
          <w:spacing w:val="-3"/>
          <w:szCs w:val="24"/>
          <w:lang w:val="es-CO"/>
        </w:rPr>
        <w:t>m</w:t>
      </w:r>
      <w:r w:rsidRPr="00D369AA">
        <w:rPr>
          <w:rFonts w:eastAsia="Arial" w:cs="Arial"/>
          <w:i/>
          <w:szCs w:val="24"/>
          <w:lang w:val="es-CO"/>
        </w:rPr>
        <w:t xml:space="preserve">uneración </w:t>
      </w:r>
      <w:r w:rsidRPr="00D369AA">
        <w:rPr>
          <w:rFonts w:eastAsia="Arial" w:cs="Arial"/>
          <w:i/>
          <w:spacing w:val="-1"/>
          <w:szCs w:val="24"/>
          <w:lang w:val="es-CO"/>
        </w:rPr>
        <w:t>a</w:t>
      </w:r>
      <w:r w:rsidRPr="00D369AA">
        <w:rPr>
          <w:rFonts w:eastAsia="Arial" w:cs="Arial"/>
          <w:i/>
          <w:szCs w:val="24"/>
          <w:lang w:val="es-CO"/>
        </w:rPr>
        <w:t>nua</w:t>
      </w:r>
      <w:r w:rsidRPr="00D369AA">
        <w:rPr>
          <w:rFonts w:eastAsia="Arial" w:cs="Arial"/>
          <w:i/>
          <w:spacing w:val="1"/>
          <w:szCs w:val="24"/>
          <w:lang w:val="es-CO"/>
        </w:rPr>
        <w:t>l</w:t>
      </w:r>
      <w:r w:rsidRPr="00D369AA">
        <w:rPr>
          <w:rFonts w:eastAsia="Arial" w:cs="Arial"/>
          <w:i/>
          <w:spacing w:val="-3"/>
          <w:szCs w:val="24"/>
          <w:lang w:val="es-CO"/>
        </w:rPr>
        <w:t>”</w:t>
      </w:r>
      <w:r w:rsidRPr="00D369AA">
        <w:rPr>
          <w:rFonts w:eastAsia="Arial" w:cs="Arial"/>
          <w:i/>
          <w:szCs w:val="24"/>
          <w:lang w:val="es-CO"/>
        </w:rPr>
        <w:t>.</w:t>
      </w:r>
    </w:p>
    <w:p w14:paraId="788FF3C9" w14:textId="77777777" w:rsidR="00450CAE" w:rsidRPr="00D369AA" w:rsidRDefault="00450CAE" w:rsidP="008D31A1">
      <w:pPr>
        <w:widowControl w:val="0"/>
        <w:autoSpaceDE w:val="0"/>
        <w:autoSpaceDN w:val="0"/>
        <w:adjustRightInd w:val="0"/>
        <w:ind w:left="426" w:right="475"/>
        <w:rPr>
          <w:rFonts w:cs="Arial"/>
          <w:i/>
          <w:color w:val="000000" w:themeColor="text1"/>
          <w:szCs w:val="24"/>
          <w:lang w:val="es-CO"/>
        </w:rPr>
      </w:pPr>
      <w:r w:rsidRPr="00D369AA">
        <w:rPr>
          <w:rFonts w:cs="Arial"/>
          <w:bCs/>
          <w:i/>
          <w:color w:val="000000" w:themeColor="text1"/>
          <w:szCs w:val="24"/>
          <w:lang w:val="es-CO"/>
        </w:rPr>
        <w:t>“ARTÍCULO 17.</w:t>
      </w:r>
      <w:r w:rsidRPr="00D369AA">
        <w:rPr>
          <w:rFonts w:cs="Arial"/>
          <w:i/>
          <w:color w:val="000000" w:themeColor="text1"/>
          <w:szCs w:val="24"/>
          <w:lang w:val="es-CO"/>
        </w:rPr>
        <w:t xml:space="preserve"> Las entidades territoriales y sus descentralizadas, cuando decidan enajenar la participación de que sean titulares, se regirán por las disposiciones de esta Ley, adaptándolas a la organización y condiciones de cada una de éstas y aquéllas.</w:t>
      </w:r>
    </w:p>
    <w:p w14:paraId="458861E0" w14:textId="77777777" w:rsidR="00450CAE" w:rsidRPr="00D369AA" w:rsidRDefault="00450CAE" w:rsidP="008D31A1">
      <w:pPr>
        <w:ind w:left="426" w:right="475"/>
        <w:rPr>
          <w:rFonts w:cs="Arial"/>
          <w:bCs/>
          <w:i/>
          <w:color w:val="000000" w:themeColor="text1"/>
          <w:szCs w:val="24"/>
          <w:lang w:val="es-CO"/>
        </w:rPr>
      </w:pPr>
      <w:r w:rsidRPr="00D369AA">
        <w:rPr>
          <w:rFonts w:cs="Arial"/>
          <w:b/>
          <w:i/>
          <w:color w:val="000000" w:themeColor="text1"/>
          <w:szCs w:val="24"/>
          <w:u w:val="single"/>
          <w:lang w:val="es-CO"/>
        </w:rPr>
        <w:t>Los Concejos Municipales o Distritales</w:t>
      </w:r>
      <w:r w:rsidRPr="00D369AA">
        <w:rPr>
          <w:rFonts w:cs="Arial"/>
          <w:i/>
          <w:color w:val="000000" w:themeColor="text1"/>
          <w:szCs w:val="24"/>
          <w:lang w:val="es-CO"/>
        </w:rPr>
        <w:t xml:space="preserve"> o las Asambleas Departamentales, según el caso </w:t>
      </w:r>
      <w:r w:rsidRPr="00D369AA">
        <w:rPr>
          <w:rFonts w:cs="Arial"/>
          <w:b/>
          <w:i/>
          <w:color w:val="000000" w:themeColor="text1"/>
          <w:szCs w:val="24"/>
          <w:u w:val="single"/>
          <w:lang w:val="es-CO"/>
        </w:rPr>
        <w:t>autorizarán, en el orden territorial las enajenaciones correspondientes</w:t>
      </w:r>
      <w:r w:rsidRPr="00D369AA">
        <w:rPr>
          <w:rFonts w:cs="Arial"/>
          <w:i/>
          <w:color w:val="000000" w:themeColor="text1"/>
          <w:szCs w:val="24"/>
          <w:lang w:val="es-CO"/>
        </w:rPr>
        <w:t>”.</w:t>
      </w:r>
      <w:r w:rsidR="007D26A7" w:rsidRPr="00D369AA">
        <w:rPr>
          <w:rFonts w:cs="Arial"/>
          <w:i/>
          <w:color w:val="000000" w:themeColor="text1"/>
          <w:szCs w:val="24"/>
          <w:lang w:val="es-CO"/>
        </w:rPr>
        <w:t xml:space="preserve"> </w:t>
      </w:r>
      <w:r w:rsidR="007D26A7" w:rsidRPr="00D369AA">
        <w:rPr>
          <w:rFonts w:cs="Arial"/>
          <w:color w:val="000000" w:themeColor="text1"/>
          <w:szCs w:val="24"/>
          <w:lang w:val="es-CO"/>
        </w:rPr>
        <w:t>(Subrayas y negrillas fuera de texto).</w:t>
      </w:r>
    </w:p>
    <w:p w14:paraId="1C1FB1F5" w14:textId="77777777" w:rsidR="00450CAE" w:rsidRPr="00D369AA" w:rsidRDefault="00450CAE" w:rsidP="008D31A1">
      <w:pPr>
        <w:rPr>
          <w:b/>
          <w:bCs/>
          <w:sz w:val="20"/>
          <w:szCs w:val="24"/>
          <w:lang w:val="es-CO"/>
        </w:rPr>
      </w:pPr>
    </w:p>
    <w:p w14:paraId="06FAC6D8" w14:textId="733551FF" w:rsidR="00065B18" w:rsidRPr="00D369AA" w:rsidRDefault="00065B18" w:rsidP="00065B18">
      <w:pPr>
        <w:rPr>
          <w:lang w:val="es-CO"/>
        </w:rPr>
      </w:pPr>
      <w:r w:rsidRPr="00D369AA">
        <w:rPr>
          <w:lang w:val="es-CO"/>
        </w:rPr>
        <w:t xml:space="preserve">Tal y como lo </w:t>
      </w:r>
      <w:r w:rsidR="00D55299">
        <w:rPr>
          <w:lang w:val="es-CO"/>
        </w:rPr>
        <w:t>indica</w:t>
      </w:r>
      <w:r w:rsidRPr="00D369AA">
        <w:rPr>
          <w:lang w:val="es-CO"/>
        </w:rPr>
        <w:t xml:space="preserve"> la exposición de motivos, en desarrollo de la </w:t>
      </w:r>
      <w:r w:rsidR="00002A8D" w:rsidRPr="00D369AA">
        <w:rPr>
          <w:lang w:val="es-CO"/>
        </w:rPr>
        <w:t>Ley 226 de 1994</w:t>
      </w:r>
      <w:r w:rsidRPr="00D369AA">
        <w:rPr>
          <w:lang w:val="es-CO"/>
        </w:rPr>
        <w:t xml:space="preserve">, el orden cronológico </w:t>
      </w:r>
      <w:r w:rsidR="00D55299">
        <w:rPr>
          <w:lang w:val="es-CO"/>
        </w:rPr>
        <w:t xml:space="preserve">en el que se realizará </w:t>
      </w:r>
      <w:r w:rsidRPr="00D369AA">
        <w:rPr>
          <w:lang w:val="es-CO"/>
        </w:rPr>
        <w:t xml:space="preserve">la </w:t>
      </w:r>
      <w:r w:rsidR="00F7212E" w:rsidRPr="00D369AA">
        <w:rPr>
          <w:lang w:val="es-CO"/>
        </w:rPr>
        <w:t xml:space="preserve">enajenación </w:t>
      </w:r>
      <w:r w:rsidR="00D55299">
        <w:rPr>
          <w:lang w:val="es-CO"/>
        </w:rPr>
        <w:t>será</w:t>
      </w:r>
      <w:r w:rsidRPr="00D369AA">
        <w:rPr>
          <w:lang w:val="es-CO"/>
        </w:rPr>
        <w:t xml:space="preserve"> el siguiente:</w:t>
      </w:r>
    </w:p>
    <w:p w14:paraId="5DAB00D8" w14:textId="77777777" w:rsidR="00065B18" w:rsidRPr="00D369AA" w:rsidRDefault="00065B18" w:rsidP="00065B18">
      <w:pPr>
        <w:rPr>
          <w:lang w:val="es-CO"/>
        </w:rPr>
      </w:pPr>
    </w:p>
    <w:p w14:paraId="044C370A" w14:textId="77777777" w:rsidR="00065B18" w:rsidRPr="00D55299" w:rsidRDefault="00065B18" w:rsidP="00065B18">
      <w:pPr>
        <w:pStyle w:val="Prrafodelista"/>
        <w:widowControl w:val="0"/>
        <w:numPr>
          <w:ilvl w:val="0"/>
          <w:numId w:val="35"/>
        </w:numPr>
        <w:suppressAutoHyphens w:val="0"/>
        <w:autoSpaceDE w:val="0"/>
        <w:autoSpaceDN w:val="0"/>
        <w:adjustRightInd w:val="0"/>
        <w:spacing w:after="240"/>
        <w:ind w:left="1418" w:right="-234" w:hanging="709"/>
        <w:contextualSpacing/>
        <w:rPr>
          <w:rFonts w:cs="Arial"/>
          <w:i/>
          <w:szCs w:val="24"/>
          <w:lang w:val="es-CO"/>
        </w:rPr>
      </w:pPr>
      <w:r w:rsidRPr="00D55299">
        <w:rPr>
          <w:rFonts w:cs="Arial"/>
          <w:i/>
          <w:szCs w:val="24"/>
          <w:lang w:val="es-CO"/>
        </w:rPr>
        <w:t>Decidir/autorizar enajenar un activo específico;</w:t>
      </w:r>
    </w:p>
    <w:p w14:paraId="7AE82291" w14:textId="77777777" w:rsidR="00065B18" w:rsidRPr="00D55299" w:rsidRDefault="00065B18" w:rsidP="00065B18">
      <w:pPr>
        <w:pStyle w:val="Prrafodelista"/>
        <w:widowControl w:val="0"/>
        <w:numPr>
          <w:ilvl w:val="0"/>
          <w:numId w:val="35"/>
        </w:numPr>
        <w:suppressAutoHyphens w:val="0"/>
        <w:autoSpaceDE w:val="0"/>
        <w:autoSpaceDN w:val="0"/>
        <w:adjustRightInd w:val="0"/>
        <w:spacing w:after="240"/>
        <w:ind w:left="1418" w:right="-234" w:hanging="709"/>
        <w:contextualSpacing/>
        <w:rPr>
          <w:rFonts w:cs="Arial"/>
          <w:i/>
          <w:szCs w:val="24"/>
          <w:lang w:val="es-CO"/>
        </w:rPr>
      </w:pPr>
      <w:r w:rsidRPr="00D55299">
        <w:rPr>
          <w:rFonts w:cs="Arial"/>
          <w:i/>
          <w:szCs w:val="24"/>
          <w:lang w:val="es-CO"/>
        </w:rPr>
        <w:t>Elaborar un programa de enajenación;</w:t>
      </w:r>
    </w:p>
    <w:p w14:paraId="36830DC3" w14:textId="77777777" w:rsidR="00065B18" w:rsidRPr="00D55299" w:rsidRDefault="00065B18" w:rsidP="00065B18">
      <w:pPr>
        <w:pStyle w:val="Prrafodelista"/>
        <w:widowControl w:val="0"/>
        <w:numPr>
          <w:ilvl w:val="0"/>
          <w:numId w:val="35"/>
        </w:numPr>
        <w:suppressAutoHyphens w:val="0"/>
        <w:autoSpaceDE w:val="0"/>
        <w:autoSpaceDN w:val="0"/>
        <w:adjustRightInd w:val="0"/>
        <w:spacing w:after="240"/>
        <w:ind w:left="1418" w:right="-234" w:hanging="709"/>
        <w:contextualSpacing/>
        <w:rPr>
          <w:rFonts w:cs="Arial"/>
          <w:i/>
          <w:szCs w:val="24"/>
          <w:lang w:val="es-CO"/>
        </w:rPr>
      </w:pPr>
      <w:r w:rsidRPr="00D55299">
        <w:rPr>
          <w:rFonts w:cs="Arial"/>
          <w:i/>
          <w:szCs w:val="24"/>
          <w:lang w:val="es-CO"/>
        </w:rPr>
        <w:t>Aprobar y adoptar el programa de enajenación;</w:t>
      </w:r>
    </w:p>
    <w:p w14:paraId="5CB3B9B2" w14:textId="5F979EE4" w:rsidR="00065B18" w:rsidRPr="00D55299" w:rsidRDefault="00065B18" w:rsidP="00065B18">
      <w:pPr>
        <w:pStyle w:val="Prrafodelista"/>
        <w:widowControl w:val="0"/>
        <w:numPr>
          <w:ilvl w:val="0"/>
          <w:numId w:val="35"/>
        </w:numPr>
        <w:suppressAutoHyphens w:val="0"/>
        <w:autoSpaceDE w:val="0"/>
        <w:autoSpaceDN w:val="0"/>
        <w:adjustRightInd w:val="0"/>
        <w:spacing w:after="240"/>
        <w:ind w:left="1418" w:right="-234" w:hanging="709"/>
        <w:contextualSpacing/>
        <w:rPr>
          <w:rFonts w:cs="Arial"/>
          <w:i/>
          <w:szCs w:val="24"/>
          <w:lang w:val="es-CO"/>
        </w:rPr>
      </w:pPr>
      <w:r w:rsidRPr="00D55299">
        <w:rPr>
          <w:rFonts w:cs="Arial"/>
          <w:i/>
          <w:szCs w:val="24"/>
          <w:lang w:val="es-CO"/>
        </w:rPr>
        <w:t>Difundir del plan de enajenación y ejecución del programa de enajen</w:t>
      </w:r>
      <w:r w:rsidRPr="00D55299">
        <w:rPr>
          <w:rFonts w:cs="Arial"/>
          <w:i/>
          <w:szCs w:val="24"/>
          <w:lang w:val="es-CO"/>
        </w:rPr>
        <w:t>a</w:t>
      </w:r>
      <w:r w:rsidRPr="00D55299">
        <w:rPr>
          <w:rFonts w:cs="Arial"/>
          <w:i/>
          <w:szCs w:val="24"/>
          <w:lang w:val="es-CO"/>
        </w:rPr>
        <w:t>ción que deberá organizarse, por lo menos en dos etapas, siendo la primera de ellas, la correspondiente a la oferta a los destinatarios de condiciones especiales, denominados comúnmente como “sector sol</w:t>
      </w:r>
      <w:r w:rsidRPr="00D55299">
        <w:rPr>
          <w:rFonts w:cs="Arial"/>
          <w:i/>
          <w:szCs w:val="24"/>
          <w:lang w:val="es-CO"/>
        </w:rPr>
        <w:t>i</w:t>
      </w:r>
      <w:r w:rsidRPr="00D55299">
        <w:rPr>
          <w:rFonts w:cs="Arial"/>
          <w:i/>
          <w:szCs w:val="24"/>
          <w:lang w:val="es-CO"/>
        </w:rPr>
        <w:t>dario”.</w:t>
      </w:r>
      <w:r w:rsidR="00D55299">
        <w:rPr>
          <w:rStyle w:val="Refdenotaalpie"/>
          <w:rFonts w:cs="Arial"/>
          <w:i/>
          <w:szCs w:val="24"/>
          <w:lang w:val="es-CO"/>
        </w:rPr>
        <w:footnoteReference w:id="5"/>
      </w:r>
    </w:p>
    <w:p w14:paraId="572DA8BB" w14:textId="568A0844" w:rsidR="00065B18" w:rsidRPr="00D369AA" w:rsidRDefault="00065B18" w:rsidP="00065B18">
      <w:pPr>
        <w:rPr>
          <w:rFonts w:cs="Arial"/>
          <w:szCs w:val="24"/>
          <w:lang w:val="es-CO"/>
        </w:rPr>
      </w:pPr>
      <w:r w:rsidRPr="00D369AA">
        <w:rPr>
          <w:lang w:val="es-CO"/>
        </w:rPr>
        <w:t>La primera etapa estará destinad</w:t>
      </w:r>
      <w:r w:rsidR="00E100D2" w:rsidRPr="00D369AA">
        <w:rPr>
          <w:lang w:val="es-CO"/>
        </w:rPr>
        <w:t>a</w:t>
      </w:r>
      <w:r w:rsidRPr="00D369AA">
        <w:rPr>
          <w:lang w:val="es-CO"/>
        </w:rPr>
        <w:t xml:space="preserve"> al sector solidario quien por un plazo de dos meses podrá adquirir las acciones de manera preferencial. Los destinatarios del sector solidario son:</w:t>
      </w:r>
    </w:p>
    <w:p w14:paraId="0DAEF56A"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Trabajadores activos y pensionados de las Sociedades y de las entidades donde ésta tenga participación mayoritaria, siempre y cuando no hayan sido desvincul</w:t>
      </w:r>
      <w:r w:rsidRPr="00D369AA">
        <w:rPr>
          <w:rFonts w:cs="Arial"/>
          <w:szCs w:val="24"/>
          <w:lang w:val="es-CO"/>
        </w:rPr>
        <w:t>a</w:t>
      </w:r>
      <w:r w:rsidRPr="00D369AA">
        <w:rPr>
          <w:rFonts w:cs="Arial"/>
          <w:szCs w:val="24"/>
          <w:lang w:val="es-CO"/>
        </w:rPr>
        <w:t>dos con justa causa;</w:t>
      </w:r>
    </w:p>
    <w:p w14:paraId="0C099111" w14:textId="6C55F36E"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lastRenderedPageBreak/>
        <w:t xml:space="preserve">Ex-trabajadores de las Sociedades y de las entidades en las </w:t>
      </w:r>
      <w:r w:rsidR="003D2C73">
        <w:rPr>
          <w:rFonts w:cs="Arial"/>
          <w:szCs w:val="24"/>
          <w:lang w:val="es-CO"/>
        </w:rPr>
        <w:t xml:space="preserve">que </w:t>
      </w:r>
      <w:r w:rsidRPr="00D369AA">
        <w:rPr>
          <w:rFonts w:cs="Arial"/>
          <w:szCs w:val="24"/>
          <w:lang w:val="es-CO"/>
        </w:rPr>
        <w:t>estas tenga</w:t>
      </w:r>
      <w:r w:rsidR="003D2C73">
        <w:rPr>
          <w:rFonts w:cs="Arial"/>
          <w:szCs w:val="24"/>
          <w:lang w:val="es-CO"/>
        </w:rPr>
        <w:t>n</w:t>
      </w:r>
      <w:r w:rsidRPr="00D369AA">
        <w:rPr>
          <w:rFonts w:cs="Arial"/>
          <w:szCs w:val="24"/>
          <w:lang w:val="es-CO"/>
        </w:rPr>
        <w:t xml:space="preserve"> participación mayoritaria, siempre y cuando no hayan sido desvinculados con ju</w:t>
      </w:r>
      <w:r w:rsidRPr="00D369AA">
        <w:rPr>
          <w:rFonts w:cs="Arial"/>
          <w:szCs w:val="24"/>
          <w:lang w:val="es-CO"/>
        </w:rPr>
        <w:t>s</w:t>
      </w:r>
      <w:r w:rsidRPr="00D369AA">
        <w:rPr>
          <w:rFonts w:cs="Arial"/>
          <w:szCs w:val="24"/>
          <w:lang w:val="es-CO"/>
        </w:rPr>
        <w:t>ta causa;</w:t>
      </w:r>
    </w:p>
    <w:p w14:paraId="660EFD6F"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Asociaciones de empleados o de ex empleados de las Sociedades;</w:t>
      </w:r>
    </w:p>
    <w:p w14:paraId="681D775E"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 xml:space="preserve">Sindicatos de trabajadores; </w:t>
      </w:r>
    </w:p>
    <w:p w14:paraId="4D794E81"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Federaciones de sindicatos de trabajadores;</w:t>
      </w:r>
    </w:p>
    <w:p w14:paraId="41C58048"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Confederaciones de sindicatos de trabajadores;</w:t>
      </w:r>
    </w:p>
    <w:p w14:paraId="50D726B1"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Fondos de empleados;</w:t>
      </w:r>
    </w:p>
    <w:p w14:paraId="68F43AA7"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Fondos mutuos de inversión;</w:t>
      </w:r>
    </w:p>
    <w:p w14:paraId="7C7AF726"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Fondos de pensiones y cesantías;</w:t>
      </w:r>
    </w:p>
    <w:p w14:paraId="14686EE2"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Cooperativas;</w:t>
      </w:r>
    </w:p>
    <w:p w14:paraId="0572942B" w14:textId="77777777" w:rsidR="00065B18" w:rsidRPr="00D369AA" w:rsidRDefault="00065B18" w:rsidP="00065B18">
      <w:pPr>
        <w:pStyle w:val="Prrafodelista"/>
        <w:widowControl w:val="0"/>
        <w:numPr>
          <w:ilvl w:val="0"/>
          <w:numId w:val="36"/>
        </w:numPr>
        <w:suppressAutoHyphens w:val="0"/>
        <w:autoSpaceDE w:val="0"/>
        <w:autoSpaceDN w:val="0"/>
        <w:adjustRightInd w:val="0"/>
        <w:spacing w:after="0"/>
        <w:ind w:right="-234"/>
        <w:contextualSpacing/>
        <w:rPr>
          <w:rFonts w:cs="Arial"/>
          <w:szCs w:val="24"/>
          <w:lang w:val="es-CO"/>
        </w:rPr>
      </w:pPr>
      <w:r w:rsidRPr="00D369AA">
        <w:rPr>
          <w:rFonts w:cs="Arial"/>
          <w:szCs w:val="24"/>
          <w:lang w:val="es-CO"/>
        </w:rPr>
        <w:t xml:space="preserve">Cajas de compensación, según lo establecido por el inciso 2º del numeral 3 del artículo 16 de la Ley 789 de 2002. </w:t>
      </w:r>
    </w:p>
    <w:p w14:paraId="17AAF4B7" w14:textId="77777777" w:rsidR="00065B18" w:rsidRPr="00D369AA" w:rsidRDefault="00065B18" w:rsidP="00065B18">
      <w:pPr>
        <w:rPr>
          <w:lang w:val="es-CO"/>
        </w:rPr>
      </w:pPr>
    </w:p>
    <w:p w14:paraId="147AC1B6" w14:textId="086C02A8" w:rsidR="00065B18" w:rsidRPr="00D369AA" w:rsidRDefault="00065B18" w:rsidP="00065B18">
      <w:pPr>
        <w:widowControl w:val="0"/>
        <w:autoSpaceDE w:val="0"/>
        <w:autoSpaceDN w:val="0"/>
        <w:adjustRightInd w:val="0"/>
        <w:spacing w:after="240"/>
        <w:ind w:right="-234"/>
        <w:rPr>
          <w:rFonts w:cs="Arial"/>
          <w:szCs w:val="24"/>
          <w:lang w:val="es-CO"/>
        </w:rPr>
      </w:pPr>
      <w:r w:rsidRPr="00D369AA">
        <w:rPr>
          <w:rFonts w:cs="Arial"/>
          <w:szCs w:val="24"/>
          <w:lang w:val="es-CO"/>
        </w:rPr>
        <w:t xml:space="preserve">Surtida la primera etapa se entenderá cumplido el principio de preferencia del sector solidario y se </w:t>
      </w:r>
      <w:r w:rsidR="00F7212E" w:rsidRPr="00D369AA">
        <w:rPr>
          <w:rFonts w:cs="Arial"/>
          <w:szCs w:val="24"/>
          <w:lang w:val="es-CO"/>
        </w:rPr>
        <w:t>podrán</w:t>
      </w:r>
      <w:r w:rsidRPr="00D369AA">
        <w:rPr>
          <w:rFonts w:cs="Arial"/>
          <w:szCs w:val="24"/>
          <w:lang w:val="es-CO"/>
        </w:rPr>
        <w:t xml:space="preserve"> ofrecer las acciones que no hayan sido adquiridas en la primera etapa. Para el efecto, el programa de enajenación incluir</w:t>
      </w:r>
      <w:r w:rsidR="00481488" w:rsidRPr="00D369AA">
        <w:rPr>
          <w:rFonts w:cs="Arial"/>
          <w:szCs w:val="24"/>
          <w:lang w:val="es-CO"/>
        </w:rPr>
        <w:t>á</w:t>
      </w:r>
      <w:r w:rsidRPr="00D369AA">
        <w:rPr>
          <w:rFonts w:cs="Arial"/>
          <w:szCs w:val="24"/>
          <w:lang w:val="es-CO"/>
        </w:rPr>
        <w:t xml:space="preserve"> una segunda etapa en la cual el público general podrá formular ofertas de compra.</w:t>
      </w:r>
    </w:p>
    <w:p w14:paraId="1D6EE085" w14:textId="77777777" w:rsidR="00FB34C4" w:rsidRPr="00D369AA" w:rsidRDefault="00FB34C4" w:rsidP="008D31A1">
      <w:pPr>
        <w:pStyle w:val="Ttulo1"/>
        <w:rPr>
          <w:lang w:val="es-CO"/>
        </w:rPr>
      </w:pPr>
      <w:r w:rsidRPr="00D369AA">
        <w:rPr>
          <w:lang w:val="es-CO"/>
        </w:rPr>
        <w:t xml:space="preserve">ANTECEDENTES RELEVANTES PARA EL PROYECTO DE ACUERDO </w:t>
      </w:r>
      <w:r w:rsidR="003F086E" w:rsidRPr="00D369AA">
        <w:rPr>
          <w:lang w:val="es-CO"/>
        </w:rPr>
        <w:t>472</w:t>
      </w:r>
      <w:r w:rsidRPr="00D369AA">
        <w:rPr>
          <w:lang w:val="es-CO"/>
        </w:rPr>
        <w:t xml:space="preserve"> DE 2016 </w:t>
      </w:r>
    </w:p>
    <w:p w14:paraId="41A8114D" w14:textId="52E38772" w:rsidR="0026604B" w:rsidRPr="00D369AA" w:rsidRDefault="008D1AC9" w:rsidP="008D31A1">
      <w:pPr>
        <w:rPr>
          <w:rFonts w:cs="Arial"/>
          <w:szCs w:val="24"/>
          <w:lang w:val="es-CO"/>
        </w:rPr>
      </w:pPr>
      <w:r>
        <w:rPr>
          <w:bCs/>
          <w:szCs w:val="24"/>
          <w:lang w:val="es-CO"/>
        </w:rPr>
        <w:t xml:space="preserve">En el mes de marzo de 2016, </w:t>
      </w:r>
      <w:r w:rsidR="0052574B" w:rsidRPr="00D369AA">
        <w:rPr>
          <w:bCs/>
          <w:szCs w:val="24"/>
          <w:lang w:val="es-CO"/>
        </w:rPr>
        <w:t>fue sancionado el Acuerdo 636 de 2016</w:t>
      </w:r>
      <w:r w:rsidR="0052574B" w:rsidRPr="00D369AA">
        <w:rPr>
          <w:bCs/>
          <w:i/>
          <w:szCs w:val="24"/>
          <w:lang w:val="es-CO"/>
        </w:rPr>
        <w:t xml:space="preserve"> "Por el cual se autoriza a la Empresa de Energía de Bogotá S.A. E.S.P. enajenar las acciones que posee en ISAGEN S.A. ESP”</w:t>
      </w:r>
      <w:r w:rsidR="00500332" w:rsidRPr="00D369AA">
        <w:rPr>
          <w:bCs/>
          <w:szCs w:val="24"/>
          <w:lang w:val="es-CO"/>
        </w:rPr>
        <w:t>. C</w:t>
      </w:r>
      <w:r w:rsidR="0026604B" w:rsidRPr="00D369AA">
        <w:rPr>
          <w:bCs/>
          <w:szCs w:val="24"/>
          <w:lang w:val="es-CO"/>
        </w:rPr>
        <w:t xml:space="preserve">on este Acuerdo el </w:t>
      </w:r>
      <w:r w:rsidR="0026604B" w:rsidRPr="00D369AA">
        <w:rPr>
          <w:rFonts w:cs="Arial"/>
          <w:szCs w:val="24"/>
          <w:lang w:val="es-CO"/>
        </w:rPr>
        <w:t xml:space="preserve">Concejo de Bogotá autorizó a la Empresa de Energía de Bogotá S.A. E.S.P., para que en su calidad de accionista minoritario enajenara su participación en la sociedad </w:t>
      </w:r>
      <w:r w:rsidR="0026604B" w:rsidRPr="00D369AA">
        <w:rPr>
          <w:rFonts w:cs="Arial"/>
          <w:i/>
          <w:lang w:val="es-CO"/>
        </w:rPr>
        <w:t>ISAGEN S.A. E.S.P.</w:t>
      </w:r>
      <w:r w:rsidR="0026604B" w:rsidRPr="00D369AA">
        <w:rPr>
          <w:rFonts w:cs="Arial"/>
          <w:szCs w:val="24"/>
          <w:lang w:val="es-CO"/>
        </w:rPr>
        <w:t xml:space="preserve">, </w:t>
      </w:r>
      <w:r w:rsidR="00EB5582" w:rsidRPr="00D369AA">
        <w:rPr>
          <w:rFonts w:cs="Arial"/>
          <w:szCs w:val="24"/>
          <w:lang w:val="es-CO"/>
        </w:rPr>
        <w:t>la cual equivalía</w:t>
      </w:r>
      <w:r w:rsidR="0026604B" w:rsidRPr="00D369AA">
        <w:rPr>
          <w:rFonts w:cs="Arial"/>
          <w:szCs w:val="24"/>
          <w:lang w:val="es-CO"/>
        </w:rPr>
        <w:t xml:space="preserve"> al 2,52% del capital accionario. </w:t>
      </w:r>
    </w:p>
    <w:p w14:paraId="67AC9FA5" w14:textId="77777777" w:rsidR="0026604B" w:rsidRPr="00D369AA" w:rsidRDefault="003E037A" w:rsidP="008D31A1">
      <w:pPr>
        <w:rPr>
          <w:rFonts w:cs="Arial"/>
          <w:szCs w:val="24"/>
          <w:lang w:val="es-CO"/>
        </w:rPr>
      </w:pPr>
      <w:r w:rsidRPr="00D369AA">
        <w:rPr>
          <w:rFonts w:cs="Arial"/>
          <w:szCs w:val="24"/>
          <w:lang w:val="es-CO"/>
        </w:rPr>
        <w:t xml:space="preserve">La iniciativa </w:t>
      </w:r>
      <w:r w:rsidR="0026604B" w:rsidRPr="00D369AA">
        <w:rPr>
          <w:rFonts w:cs="Arial"/>
          <w:szCs w:val="24"/>
          <w:lang w:val="es-CO"/>
        </w:rPr>
        <w:t>se enmarc</w:t>
      </w:r>
      <w:r w:rsidRPr="00D369AA">
        <w:rPr>
          <w:rFonts w:cs="Arial"/>
          <w:szCs w:val="24"/>
          <w:lang w:val="es-CO"/>
        </w:rPr>
        <w:t>ó</w:t>
      </w:r>
      <w:r w:rsidR="0026604B" w:rsidRPr="00D369AA">
        <w:rPr>
          <w:rFonts w:cs="Arial"/>
          <w:szCs w:val="24"/>
          <w:lang w:val="es-CO"/>
        </w:rPr>
        <w:t xml:space="preserve"> dentro de la nueva composición accionaria de ISAGEN </w:t>
      </w:r>
      <w:r w:rsidR="0026604B" w:rsidRPr="00D369AA">
        <w:rPr>
          <w:rFonts w:cs="Arial"/>
          <w:i/>
          <w:lang w:val="es-CO"/>
        </w:rPr>
        <w:t>S.A. E.S.P.</w:t>
      </w:r>
      <w:r w:rsidR="0026604B" w:rsidRPr="00D369AA">
        <w:rPr>
          <w:rFonts w:cs="Arial"/>
          <w:szCs w:val="24"/>
          <w:lang w:val="es-CO"/>
        </w:rPr>
        <w:t xml:space="preserve">, producto de la enajenación realizada por el Gobierno Nacional, mediante subasta pública realizada el día 13 de enero de 2015, en la cual el fondo de inversión canadiense </w:t>
      </w:r>
      <w:proofErr w:type="spellStart"/>
      <w:r w:rsidR="0026604B" w:rsidRPr="00D369AA">
        <w:rPr>
          <w:rFonts w:cs="Arial"/>
          <w:szCs w:val="24"/>
          <w:lang w:val="es-CO"/>
        </w:rPr>
        <w:t>Brookfield</w:t>
      </w:r>
      <w:proofErr w:type="spellEnd"/>
      <w:r w:rsidR="00200A63" w:rsidRPr="00D369AA">
        <w:rPr>
          <w:rFonts w:cs="Arial"/>
          <w:szCs w:val="24"/>
          <w:lang w:val="es-CO"/>
        </w:rPr>
        <w:t xml:space="preserve"> (BRE Colombia </w:t>
      </w:r>
      <w:proofErr w:type="spellStart"/>
      <w:r w:rsidR="00200A63" w:rsidRPr="00D369AA">
        <w:rPr>
          <w:rFonts w:cs="Arial"/>
          <w:szCs w:val="24"/>
          <w:lang w:val="es-CO"/>
        </w:rPr>
        <w:t>Investments</w:t>
      </w:r>
      <w:proofErr w:type="spellEnd"/>
      <w:r w:rsidR="00200A63" w:rsidRPr="00D369AA">
        <w:rPr>
          <w:rFonts w:cs="Arial"/>
          <w:szCs w:val="24"/>
          <w:lang w:val="es-CO"/>
        </w:rPr>
        <w:t xml:space="preserve"> L.P y BRE Colombia </w:t>
      </w:r>
      <w:proofErr w:type="spellStart"/>
      <w:r w:rsidR="00200A63" w:rsidRPr="00D369AA">
        <w:rPr>
          <w:rFonts w:cs="Arial"/>
          <w:szCs w:val="24"/>
          <w:lang w:val="es-CO"/>
        </w:rPr>
        <w:t>Hydro</w:t>
      </w:r>
      <w:proofErr w:type="spellEnd"/>
      <w:r w:rsidR="00200A63" w:rsidRPr="00D369AA">
        <w:rPr>
          <w:rFonts w:cs="Arial"/>
          <w:szCs w:val="24"/>
          <w:lang w:val="es-CO"/>
        </w:rPr>
        <w:t xml:space="preserve"> </w:t>
      </w:r>
      <w:proofErr w:type="spellStart"/>
      <w:r w:rsidR="00200A63" w:rsidRPr="00D369AA">
        <w:rPr>
          <w:rFonts w:cs="Arial"/>
          <w:szCs w:val="24"/>
          <w:lang w:val="es-CO"/>
        </w:rPr>
        <w:t>Investments</w:t>
      </w:r>
      <w:proofErr w:type="spellEnd"/>
      <w:r w:rsidR="00200A63" w:rsidRPr="00D369AA">
        <w:rPr>
          <w:rFonts w:cs="Arial"/>
          <w:szCs w:val="24"/>
          <w:lang w:val="es-CO"/>
        </w:rPr>
        <w:t xml:space="preserve"> </w:t>
      </w:r>
      <w:proofErr w:type="spellStart"/>
      <w:r w:rsidR="00200A63" w:rsidRPr="00D369AA">
        <w:rPr>
          <w:rFonts w:cs="Arial"/>
          <w:szCs w:val="24"/>
          <w:lang w:val="es-CO"/>
        </w:rPr>
        <w:t>Limited</w:t>
      </w:r>
      <w:proofErr w:type="spellEnd"/>
      <w:r w:rsidR="00200A63" w:rsidRPr="00D369AA">
        <w:rPr>
          <w:rFonts w:cs="Arial"/>
          <w:szCs w:val="24"/>
          <w:lang w:val="es-CO"/>
        </w:rPr>
        <w:t>)</w:t>
      </w:r>
      <w:r w:rsidR="0026604B" w:rsidRPr="00D369AA">
        <w:rPr>
          <w:rFonts w:cs="Arial"/>
          <w:szCs w:val="24"/>
          <w:lang w:val="es-CO"/>
        </w:rPr>
        <w:t>, adquirió el 57.61% de las acciones de la Compañía</w:t>
      </w:r>
      <w:r w:rsidR="00500332" w:rsidRPr="00D369AA">
        <w:rPr>
          <w:rFonts w:cs="Arial"/>
          <w:szCs w:val="24"/>
          <w:lang w:val="es-CO"/>
        </w:rPr>
        <w:t xml:space="preserve"> a la Nación</w:t>
      </w:r>
      <w:r w:rsidR="0026604B" w:rsidRPr="00D369AA">
        <w:rPr>
          <w:rFonts w:cs="Arial"/>
          <w:szCs w:val="24"/>
          <w:lang w:val="es-CO"/>
        </w:rPr>
        <w:t>.</w:t>
      </w:r>
    </w:p>
    <w:p w14:paraId="647573A0" w14:textId="77777777" w:rsidR="001F76F5" w:rsidRPr="00D369AA" w:rsidRDefault="001F76F5" w:rsidP="008D31A1">
      <w:pPr>
        <w:rPr>
          <w:rFonts w:cs="Arial"/>
          <w:szCs w:val="24"/>
          <w:lang w:val="es-CO"/>
        </w:rPr>
      </w:pPr>
      <w:r w:rsidRPr="00D369AA">
        <w:rPr>
          <w:rFonts w:cs="Arial"/>
          <w:szCs w:val="24"/>
          <w:lang w:val="es-CO"/>
        </w:rPr>
        <w:t xml:space="preserve">Con la autorización </w:t>
      </w:r>
      <w:r w:rsidRPr="00D369AA">
        <w:rPr>
          <w:rFonts w:cs="Arial"/>
          <w:color w:val="auto"/>
          <w:szCs w:val="24"/>
          <w:lang w:val="es-CO"/>
        </w:rPr>
        <w:t xml:space="preserve">de esta operación, se generó una oportunidad que beneficia económicamente a Bogotá al retornar el control de este patrimonio público a manos de la Empresa de Energía de Bogotá S.A. E.S.P., para </w:t>
      </w:r>
      <w:r w:rsidRPr="00D369AA">
        <w:rPr>
          <w:rFonts w:cs="Arial"/>
          <w:szCs w:val="24"/>
          <w:lang w:val="es-CO"/>
        </w:rPr>
        <w:t xml:space="preserve">que la misma pueda mejorar el desarrollo y puesta en marcha de los diferentes proyectos </w:t>
      </w:r>
      <w:r w:rsidR="00293976" w:rsidRPr="00D369AA">
        <w:rPr>
          <w:rFonts w:cs="Arial"/>
          <w:szCs w:val="24"/>
          <w:lang w:val="es-CO"/>
        </w:rPr>
        <w:t xml:space="preserve">contemplados dentro del su plan estratégico de inversiones. </w:t>
      </w:r>
    </w:p>
    <w:p w14:paraId="08E1B68B" w14:textId="78F3753B" w:rsidR="00033160" w:rsidRPr="00331E8D" w:rsidRDefault="00033160" w:rsidP="008D31A1">
      <w:pPr>
        <w:rPr>
          <w:rFonts w:cs="Arial"/>
          <w:i/>
          <w:szCs w:val="24"/>
          <w:lang w:val="es-CO"/>
        </w:rPr>
      </w:pPr>
      <w:r w:rsidRPr="00331E8D">
        <w:rPr>
          <w:rFonts w:cs="Arial"/>
          <w:i/>
          <w:szCs w:val="24"/>
          <w:lang w:val="es-CO"/>
        </w:rPr>
        <w:lastRenderedPageBreak/>
        <w:t xml:space="preserve">El pasado 29 de julio la Empresa de Energía de Bogotá </w:t>
      </w:r>
      <w:r w:rsidR="00177FB8" w:rsidRPr="00331E8D">
        <w:rPr>
          <w:rFonts w:cs="Arial"/>
          <w:i/>
          <w:szCs w:val="24"/>
          <w:lang w:val="es-CO"/>
        </w:rPr>
        <w:t xml:space="preserve">S.A. E.S.P. informó al público, a través del mecanismo de información relevante contemplado en el Decreto 2555 de 2010, que fue aceptada la oferta pública de adquisición de BRE Colombia </w:t>
      </w:r>
      <w:proofErr w:type="spellStart"/>
      <w:r w:rsidR="00177FB8" w:rsidRPr="00331E8D">
        <w:rPr>
          <w:rFonts w:cs="Arial"/>
          <w:i/>
          <w:szCs w:val="24"/>
          <w:lang w:val="es-CO"/>
        </w:rPr>
        <w:t>Investments</w:t>
      </w:r>
      <w:proofErr w:type="spellEnd"/>
      <w:r w:rsidR="00177FB8" w:rsidRPr="00331E8D">
        <w:rPr>
          <w:rFonts w:cs="Arial"/>
          <w:i/>
          <w:szCs w:val="24"/>
          <w:lang w:val="es-CO"/>
        </w:rPr>
        <w:t xml:space="preserve"> L.P y BRE Colombia </w:t>
      </w:r>
      <w:proofErr w:type="spellStart"/>
      <w:r w:rsidR="00177FB8" w:rsidRPr="00331E8D">
        <w:rPr>
          <w:rFonts w:cs="Arial"/>
          <w:i/>
          <w:szCs w:val="24"/>
          <w:lang w:val="es-CO"/>
        </w:rPr>
        <w:t>Hydro</w:t>
      </w:r>
      <w:proofErr w:type="spellEnd"/>
      <w:r w:rsidR="00177FB8" w:rsidRPr="00331E8D">
        <w:rPr>
          <w:rFonts w:cs="Arial"/>
          <w:i/>
          <w:szCs w:val="24"/>
          <w:lang w:val="es-CO"/>
        </w:rPr>
        <w:t xml:space="preserve"> </w:t>
      </w:r>
      <w:proofErr w:type="spellStart"/>
      <w:r w:rsidR="00177FB8" w:rsidRPr="00331E8D">
        <w:rPr>
          <w:rFonts w:cs="Arial"/>
          <w:i/>
          <w:szCs w:val="24"/>
          <w:lang w:val="es-CO"/>
        </w:rPr>
        <w:t>Investments</w:t>
      </w:r>
      <w:proofErr w:type="spellEnd"/>
      <w:r w:rsidR="00177FB8" w:rsidRPr="00331E8D">
        <w:rPr>
          <w:rFonts w:cs="Arial"/>
          <w:i/>
          <w:szCs w:val="24"/>
          <w:lang w:val="es-CO"/>
        </w:rPr>
        <w:t xml:space="preserve"> </w:t>
      </w:r>
      <w:proofErr w:type="spellStart"/>
      <w:r w:rsidR="00177FB8" w:rsidRPr="00331E8D">
        <w:rPr>
          <w:rFonts w:cs="Arial"/>
          <w:i/>
          <w:szCs w:val="24"/>
          <w:lang w:val="es-CO"/>
        </w:rPr>
        <w:t>Limited</w:t>
      </w:r>
      <w:proofErr w:type="spellEnd"/>
      <w:r w:rsidR="00177FB8" w:rsidRPr="00331E8D">
        <w:rPr>
          <w:rFonts w:cs="Arial"/>
          <w:i/>
          <w:szCs w:val="24"/>
          <w:lang w:val="es-CO"/>
        </w:rPr>
        <w:t xml:space="preserve">, sobre sesenta y ocho millones setecientas dieciséis mil (68.716.000) </w:t>
      </w:r>
      <w:r w:rsidR="00305B3B" w:rsidRPr="00331E8D">
        <w:rPr>
          <w:rFonts w:cs="Arial"/>
          <w:i/>
          <w:szCs w:val="24"/>
          <w:lang w:val="es-CO"/>
        </w:rPr>
        <w:t xml:space="preserve">acciones </w:t>
      </w:r>
      <w:r w:rsidR="00177FB8" w:rsidRPr="00331E8D">
        <w:rPr>
          <w:rFonts w:cs="Arial"/>
          <w:i/>
          <w:szCs w:val="24"/>
          <w:lang w:val="es-CO"/>
        </w:rPr>
        <w:t>ordinarias de la EEB S.A. E.S.P</w:t>
      </w:r>
      <w:r w:rsidR="006935B8" w:rsidRPr="00331E8D">
        <w:rPr>
          <w:rStyle w:val="Refdenotaalpie"/>
          <w:rFonts w:cs="Arial"/>
          <w:i/>
          <w:szCs w:val="24"/>
          <w:lang w:val="es-CO"/>
        </w:rPr>
        <w:footnoteReference w:id="6"/>
      </w:r>
      <w:r w:rsidR="00200A63" w:rsidRPr="00331E8D">
        <w:rPr>
          <w:rFonts w:cs="Arial"/>
          <w:i/>
          <w:szCs w:val="24"/>
          <w:lang w:val="es-CO"/>
        </w:rPr>
        <w:t>.</w:t>
      </w:r>
    </w:p>
    <w:p w14:paraId="4EEE850B" w14:textId="3F14EEF2" w:rsidR="00884D24" w:rsidRPr="00331E8D" w:rsidRDefault="00884D24" w:rsidP="00884D24">
      <w:pPr>
        <w:rPr>
          <w:bCs/>
          <w:i/>
          <w:szCs w:val="24"/>
          <w:lang w:val="es-CO"/>
        </w:rPr>
      </w:pPr>
      <w:r w:rsidRPr="00331E8D">
        <w:rPr>
          <w:bCs/>
          <w:i/>
          <w:szCs w:val="24"/>
          <w:lang w:val="es-CO"/>
        </w:rPr>
        <w:t>En relación con el estado de</w:t>
      </w:r>
      <w:r w:rsidR="00305B3B" w:rsidRPr="00331E8D">
        <w:rPr>
          <w:bCs/>
          <w:i/>
          <w:szCs w:val="24"/>
          <w:lang w:val="es-CO"/>
        </w:rPr>
        <w:t xml:space="preserve"> </w:t>
      </w:r>
      <w:r w:rsidR="007B52C5" w:rsidRPr="00331E8D">
        <w:rPr>
          <w:bCs/>
          <w:i/>
          <w:szCs w:val="24"/>
          <w:lang w:val="es-CO"/>
        </w:rPr>
        <w:t xml:space="preserve">dicho </w:t>
      </w:r>
      <w:r w:rsidRPr="00331E8D">
        <w:rPr>
          <w:bCs/>
          <w:i/>
          <w:szCs w:val="24"/>
          <w:lang w:val="es-CO"/>
        </w:rPr>
        <w:t>proceso de enajenación</w:t>
      </w:r>
      <w:r w:rsidR="00305B3B" w:rsidRPr="00331E8D">
        <w:rPr>
          <w:bCs/>
          <w:i/>
          <w:szCs w:val="24"/>
          <w:lang w:val="es-CO"/>
        </w:rPr>
        <w:t>,</w:t>
      </w:r>
      <w:r w:rsidRPr="00331E8D">
        <w:rPr>
          <w:bCs/>
          <w:i/>
          <w:szCs w:val="24"/>
          <w:lang w:val="es-CO"/>
        </w:rPr>
        <w:t xml:space="preserve"> EEB informó que el mismo finalizó el pasado 14 de septiembre de 2016</w:t>
      </w:r>
      <w:r w:rsidR="003A269F" w:rsidRPr="00331E8D">
        <w:rPr>
          <w:bCs/>
          <w:i/>
          <w:szCs w:val="24"/>
          <w:lang w:val="es-CO"/>
        </w:rPr>
        <w:t xml:space="preserve">, habiendo recibido </w:t>
      </w:r>
      <w:r w:rsidRPr="00331E8D">
        <w:rPr>
          <w:bCs/>
          <w:i/>
          <w:szCs w:val="24"/>
          <w:lang w:val="es-CO"/>
        </w:rPr>
        <w:t xml:space="preserve">COP 283.797.080.000, a cambio de </w:t>
      </w:r>
      <w:r w:rsidR="009A27DC" w:rsidRPr="00331E8D">
        <w:rPr>
          <w:bCs/>
          <w:i/>
          <w:szCs w:val="24"/>
          <w:lang w:val="es-CO"/>
        </w:rPr>
        <w:t xml:space="preserve">las </w:t>
      </w:r>
      <w:r w:rsidRPr="00331E8D">
        <w:rPr>
          <w:bCs/>
          <w:i/>
          <w:szCs w:val="24"/>
          <w:lang w:val="es-CO"/>
        </w:rPr>
        <w:t>68.716.000 acciones de su propiedad</w:t>
      </w:r>
      <w:r w:rsidR="00200A63" w:rsidRPr="00331E8D">
        <w:rPr>
          <w:rStyle w:val="Refdenotaalpie"/>
          <w:rFonts w:cs="Arial"/>
          <w:i/>
          <w:szCs w:val="24"/>
          <w:lang w:val="es-CO"/>
        </w:rPr>
        <w:t xml:space="preserve"> </w:t>
      </w:r>
      <w:r w:rsidR="00200A63" w:rsidRPr="00331E8D">
        <w:rPr>
          <w:rStyle w:val="Refdenotaalpie"/>
          <w:rFonts w:cs="Arial"/>
          <w:i/>
          <w:color w:val="auto"/>
          <w:szCs w:val="24"/>
          <w:lang w:val="es-CO"/>
        </w:rPr>
        <w:footnoteReference w:id="7"/>
      </w:r>
      <w:r w:rsidRPr="00331E8D">
        <w:rPr>
          <w:bCs/>
          <w:i/>
          <w:color w:val="auto"/>
          <w:szCs w:val="24"/>
          <w:lang w:val="es-CO"/>
        </w:rPr>
        <w:t>.</w:t>
      </w:r>
    </w:p>
    <w:p w14:paraId="244CB05F" w14:textId="77777777" w:rsidR="003F086E" w:rsidRPr="00D369AA" w:rsidRDefault="0052574B" w:rsidP="00884D24">
      <w:pPr>
        <w:rPr>
          <w:bCs/>
          <w:szCs w:val="24"/>
          <w:lang w:val="es-CO"/>
        </w:rPr>
      </w:pPr>
      <w:r w:rsidRPr="00D369AA">
        <w:rPr>
          <w:bCs/>
          <w:szCs w:val="24"/>
          <w:lang w:val="es-CO"/>
        </w:rPr>
        <w:t xml:space="preserve"> </w:t>
      </w:r>
    </w:p>
    <w:p w14:paraId="2D16F75E" w14:textId="77777777" w:rsidR="007A5EEE" w:rsidRPr="00D369AA" w:rsidRDefault="00E929FA" w:rsidP="008D31A1">
      <w:pPr>
        <w:pStyle w:val="Ttulo1"/>
        <w:rPr>
          <w:lang w:val="es-CO"/>
        </w:rPr>
      </w:pPr>
      <w:r w:rsidRPr="00D369AA">
        <w:rPr>
          <w:lang w:val="es-CO"/>
        </w:rPr>
        <w:t xml:space="preserve">ALCANCE, </w:t>
      </w:r>
      <w:r w:rsidR="00FB34C4" w:rsidRPr="00D369AA">
        <w:rPr>
          <w:lang w:val="es-CO"/>
        </w:rPr>
        <w:t xml:space="preserve">PERTINENCIA Y VIABILIDAD DEL PROYECTO DE ACUERDO </w:t>
      </w:r>
      <w:r w:rsidR="004B2322" w:rsidRPr="00D369AA">
        <w:rPr>
          <w:lang w:val="es-CO"/>
        </w:rPr>
        <w:t>472</w:t>
      </w:r>
      <w:r w:rsidR="00FB34C4" w:rsidRPr="00D369AA">
        <w:rPr>
          <w:lang w:val="es-CO"/>
        </w:rPr>
        <w:t xml:space="preserve"> DE 2016 </w:t>
      </w:r>
    </w:p>
    <w:p w14:paraId="651C963B" w14:textId="77777777" w:rsidR="00AE20C3" w:rsidRDefault="007077F5" w:rsidP="008D31A1">
      <w:pPr>
        <w:pStyle w:val="Ttulo2"/>
        <w:rPr>
          <w:lang w:val="es-CO"/>
        </w:rPr>
      </w:pPr>
      <w:r w:rsidRPr="00D369AA">
        <w:rPr>
          <w:lang w:val="es-CO"/>
        </w:rPr>
        <w:t>Acerca de</w:t>
      </w:r>
      <w:r w:rsidRPr="00D369AA">
        <w:rPr>
          <w:i/>
          <w:lang w:val="es-CO"/>
        </w:rPr>
        <w:t xml:space="preserve"> </w:t>
      </w:r>
      <w:r w:rsidR="00990E63" w:rsidRPr="00D369AA">
        <w:rPr>
          <w:lang w:val="es-CO"/>
        </w:rPr>
        <w:t xml:space="preserve">la </w:t>
      </w:r>
      <w:r w:rsidR="00AE20C3" w:rsidRPr="00D369AA">
        <w:rPr>
          <w:lang w:val="es-CO"/>
        </w:rPr>
        <w:t>Empresa de Energía de Bogotá S.A. E.S.P.</w:t>
      </w:r>
      <w:r w:rsidRPr="00D369AA">
        <w:rPr>
          <w:lang w:val="es-CO"/>
        </w:rPr>
        <w:t xml:space="preserve"> (EEB)</w:t>
      </w:r>
    </w:p>
    <w:p w14:paraId="6750BDF8" w14:textId="77777777" w:rsidR="00331E8D" w:rsidRPr="00331E8D" w:rsidRDefault="00331E8D" w:rsidP="00331E8D">
      <w:pPr>
        <w:rPr>
          <w:lang w:val="es-CO"/>
        </w:rPr>
      </w:pPr>
    </w:p>
    <w:p w14:paraId="14BC4169" w14:textId="44060E8F" w:rsidR="006E5FC0" w:rsidRPr="00D369AA" w:rsidRDefault="006E5FC0" w:rsidP="008D31A1">
      <w:pPr>
        <w:rPr>
          <w:i/>
          <w:lang w:val="es-CO"/>
        </w:rPr>
      </w:pPr>
      <w:r w:rsidRPr="00D369AA">
        <w:rPr>
          <w:i/>
          <w:lang w:val="es-CO"/>
        </w:rPr>
        <w:t xml:space="preserve">La Empresa de Energía de Bogotá S.A. E.S.P., es la segunda empresa en transmisión de electricidad en Colombia, con una participación en el mercado del 12.5%. Cuenta con 1.504 km de circuitos a 230 </w:t>
      </w:r>
      <w:proofErr w:type="spellStart"/>
      <w:r w:rsidRPr="00D369AA">
        <w:rPr>
          <w:i/>
          <w:lang w:val="es-CO"/>
        </w:rPr>
        <w:t>kV</w:t>
      </w:r>
      <w:proofErr w:type="spellEnd"/>
      <w:r w:rsidR="00F7212E" w:rsidRPr="00D369AA">
        <w:rPr>
          <w:i/>
          <w:lang w:val="es-CO"/>
        </w:rPr>
        <w:t>,</w:t>
      </w:r>
      <w:r w:rsidR="003E7D32" w:rsidRPr="00D369AA">
        <w:rPr>
          <w:i/>
          <w:lang w:val="es-CO"/>
        </w:rPr>
        <w:t xml:space="preserve"> </w:t>
      </w:r>
      <w:r w:rsidRPr="00D369AA">
        <w:rPr>
          <w:i/>
          <w:lang w:val="es-CO"/>
        </w:rPr>
        <w:t>activos en 17 subestaciones y la disponibilidad del sistema de transmisión a 31 de diciembre del 2015 fue del 99,93%, superior a la meta fijada por la CREG.</w:t>
      </w:r>
    </w:p>
    <w:p w14:paraId="152602CF" w14:textId="22F72005" w:rsidR="00A376F0" w:rsidRPr="00D369AA" w:rsidRDefault="00FB0A03" w:rsidP="008D31A1">
      <w:pPr>
        <w:rPr>
          <w:i/>
          <w:lang w:val="es-CO"/>
        </w:rPr>
      </w:pPr>
      <w:r w:rsidRPr="00D369AA">
        <w:rPr>
          <w:i/>
          <w:lang w:val="es-CO"/>
        </w:rPr>
        <w:t>La Empresa de Energía de Bogotá es una sociedad por acciones, constituida como una empresa de servicios pública mixta, bajo el régimen de los servicios públicos domiciliarios, las reglas de Código de Comercio y, en general, por reglas del Derecho Privado sobre sociedades anónimas, conforme a la Ley 142 de 1994, siendo el Distrito Capital el accionista mayoritario</w:t>
      </w:r>
      <w:r w:rsidR="00A376F0" w:rsidRPr="00D369AA">
        <w:rPr>
          <w:rStyle w:val="Refdenotaalpie"/>
          <w:bCs/>
          <w:i/>
          <w:szCs w:val="24"/>
          <w:lang w:val="es-CO"/>
        </w:rPr>
        <w:footnoteReference w:id="8"/>
      </w:r>
      <w:r w:rsidR="00200A63" w:rsidRPr="00D369AA">
        <w:rPr>
          <w:i/>
          <w:lang w:val="es-CO"/>
        </w:rPr>
        <w:t>.</w:t>
      </w:r>
    </w:p>
    <w:p w14:paraId="1F9EA90A" w14:textId="7D8690A2" w:rsidR="00A376F0" w:rsidRPr="00D369AA" w:rsidRDefault="00A376F0" w:rsidP="008D31A1">
      <w:pPr>
        <w:pStyle w:val="NormalWeb"/>
        <w:spacing w:after="0"/>
        <w:rPr>
          <w:rFonts w:ascii="Arial" w:hAnsi="Arial"/>
          <w:bCs/>
          <w:i/>
          <w:color w:val="000000"/>
          <w:sz w:val="24"/>
          <w:szCs w:val="24"/>
          <w:lang w:eastAsia="es-ES"/>
        </w:rPr>
      </w:pPr>
      <w:r w:rsidRPr="00D369AA">
        <w:rPr>
          <w:rFonts w:ascii="Arial" w:hAnsi="Arial"/>
          <w:bCs/>
          <w:i/>
          <w:color w:val="000000"/>
          <w:sz w:val="24"/>
          <w:szCs w:val="24"/>
          <w:lang w:eastAsia="es-ES"/>
        </w:rPr>
        <w:t>Por la composición y el origen de su capital, la Empresa de Energía de Bogotá S.A. E</w:t>
      </w:r>
      <w:r w:rsidR="00F7212E" w:rsidRPr="00D369AA">
        <w:rPr>
          <w:rFonts w:ascii="Arial" w:hAnsi="Arial"/>
          <w:bCs/>
          <w:i/>
          <w:color w:val="000000"/>
          <w:sz w:val="24"/>
          <w:szCs w:val="24"/>
          <w:lang w:eastAsia="es-ES"/>
        </w:rPr>
        <w:t>.</w:t>
      </w:r>
      <w:r w:rsidRPr="00D369AA">
        <w:rPr>
          <w:rFonts w:ascii="Arial" w:hAnsi="Arial"/>
          <w:bCs/>
          <w:i/>
          <w:color w:val="000000"/>
          <w:sz w:val="24"/>
          <w:szCs w:val="24"/>
          <w:lang w:eastAsia="es-ES"/>
        </w:rPr>
        <w:t>S</w:t>
      </w:r>
      <w:r w:rsidR="00F7212E" w:rsidRPr="00D369AA">
        <w:rPr>
          <w:rFonts w:ascii="Arial" w:hAnsi="Arial"/>
          <w:bCs/>
          <w:i/>
          <w:color w:val="000000"/>
          <w:sz w:val="24"/>
          <w:szCs w:val="24"/>
          <w:lang w:eastAsia="es-ES"/>
        </w:rPr>
        <w:t>.</w:t>
      </w:r>
      <w:r w:rsidRPr="00D369AA">
        <w:rPr>
          <w:rFonts w:ascii="Arial" w:hAnsi="Arial"/>
          <w:bCs/>
          <w:i/>
          <w:color w:val="000000"/>
          <w:sz w:val="24"/>
          <w:szCs w:val="24"/>
          <w:lang w:eastAsia="es-ES"/>
        </w:rPr>
        <w:t>P</w:t>
      </w:r>
      <w:r w:rsidR="00F7212E" w:rsidRPr="00D369AA">
        <w:rPr>
          <w:rFonts w:ascii="Arial" w:hAnsi="Arial"/>
          <w:bCs/>
          <w:i/>
          <w:color w:val="000000"/>
          <w:sz w:val="24"/>
          <w:szCs w:val="24"/>
          <w:lang w:eastAsia="es-ES"/>
        </w:rPr>
        <w:t>.</w:t>
      </w:r>
      <w:r w:rsidRPr="00D369AA">
        <w:rPr>
          <w:rFonts w:ascii="Arial" w:hAnsi="Arial"/>
          <w:bCs/>
          <w:i/>
          <w:color w:val="000000"/>
          <w:sz w:val="24"/>
          <w:szCs w:val="24"/>
          <w:lang w:eastAsia="es-ES"/>
        </w:rPr>
        <w:t xml:space="preserve"> es una sociedad constituida con aportes estatales y capital privado, de carácter u orden distrital, en la cual los entes del Estado poseerán en ella por lo menos el cincuenta y uno por ciento (51%) de su capital social, de conformidad con el Acuerdo 001 de 1996 del Concejo de Santa Fe de Bogotá, Distrito Capital, </w:t>
      </w:r>
      <w:r w:rsidRPr="00D369AA">
        <w:rPr>
          <w:rFonts w:ascii="Arial" w:hAnsi="Arial"/>
          <w:bCs/>
          <w:i/>
          <w:color w:val="000000"/>
          <w:sz w:val="24"/>
          <w:szCs w:val="24"/>
          <w:lang w:eastAsia="es-ES"/>
        </w:rPr>
        <w:lastRenderedPageBreak/>
        <w:t>que autorizó su organización como sociedad por acciones, en desarrollo de las disposiciones del Artículo 17 de la Ley 142 de 1994 y del Artículo 104 del Decreto Ley 1421 de 1993</w:t>
      </w:r>
      <w:r w:rsidRPr="00D369AA">
        <w:rPr>
          <w:rStyle w:val="Refdenotaalpie"/>
          <w:rFonts w:ascii="Arial" w:hAnsi="Arial"/>
          <w:bCs/>
          <w:i/>
          <w:color w:val="000000"/>
          <w:sz w:val="24"/>
          <w:szCs w:val="24"/>
          <w:lang w:eastAsia="es-ES"/>
        </w:rPr>
        <w:footnoteReference w:id="9"/>
      </w:r>
      <w:r w:rsidRPr="00D369AA">
        <w:rPr>
          <w:rFonts w:ascii="Arial" w:hAnsi="Arial"/>
          <w:bCs/>
          <w:i/>
          <w:color w:val="000000"/>
          <w:sz w:val="24"/>
          <w:szCs w:val="24"/>
          <w:lang w:eastAsia="es-ES"/>
        </w:rPr>
        <w:t>. </w:t>
      </w:r>
    </w:p>
    <w:p w14:paraId="1A901FE9" w14:textId="77777777" w:rsidR="00A376F0" w:rsidRPr="00D369AA" w:rsidRDefault="00A376F0" w:rsidP="008D31A1">
      <w:pPr>
        <w:pStyle w:val="NormalWeb"/>
        <w:spacing w:after="0"/>
        <w:rPr>
          <w:rFonts w:ascii="Arial" w:hAnsi="Arial"/>
          <w:bCs/>
          <w:i/>
          <w:color w:val="000000"/>
          <w:sz w:val="24"/>
          <w:szCs w:val="24"/>
          <w:lang w:eastAsia="es-ES"/>
        </w:rPr>
      </w:pPr>
    </w:p>
    <w:p w14:paraId="2624FF3E" w14:textId="14C79552" w:rsidR="00A376F0" w:rsidRPr="00D369AA" w:rsidRDefault="001C4279" w:rsidP="008D31A1">
      <w:pPr>
        <w:pStyle w:val="Epgrafe"/>
        <w:rPr>
          <w:bCs w:val="0"/>
          <w:szCs w:val="24"/>
          <w:lang w:val="es-CO"/>
        </w:rPr>
      </w:pPr>
      <w:r w:rsidRPr="00D369AA">
        <w:rPr>
          <w:lang w:val="es-CO"/>
        </w:rPr>
        <w:t xml:space="preserve"> </w:t>
      </w:r>
      <w:r w:rsidR="00647689" w:rsidRPr="00D369AA">
        <w:rPr>
          <w:lang w:val="es-CO"/>
        </w:rPr>
        <w:t>Composición accionaria de la Empresa de Energía de Bogotá S.A. E.S.P.</w:t>
      </w:r>
    </w:p>
    <w:p w14:paraId="7460BFF1" w14:textId="77777777" w:rsidR="00AD35B0" w:rsidRPr="00D369AA" w:rsidRDefault="00AC7775" w:rsidP="00973055">
      <w:pPr>
        <w:jc w:val="center"/>
        <w:rPr>
          <w:rFonts w:ascii="Helvetica" w:hAnsi="Helvetica"/>
          <w:color w:val="303030"/>
          <w:sz w:val="20"/>
          <w:lang w:val="es-CO"/>
        </w:rPr>
      </w:pPr>
      <w:r w:rsidRPr="00D369AA">
        <w:rPr>
          <w:noProof/>
          <w:lang w:val="es-CO" w:eastAsia="es-CO"/>
        </w:rPr>
        <w:drawing>
          <wp:anchor distT="0" distB="0" distL="114300" distR="114300" simplePos="0" relativeHeight="251657216" behindDoc="0" locked="0" layoutInCell="1" allowOverlap="1" wp14:anchorId="7F34F7B1" wp14:editId="6F068E52">
            <wp:simplePos x="0" y="0"/>
            <wp:positionH relativeFrom="column">
              <wp:posOffset>4371759</wp:posOffset>
            </wp:positionH>
            <wp:positionV relativeFrom="paragraph">
              <wp:posOffset>32241</wp:posOffset>
            </wp:positionV>
            <wp:extent cx="759125" cy="63004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24" cy="630043"/>
                    </a:xfrm>
                    <a:prstGeom prst="rect">
                      <a:avLst/>
                    </a:prstGeom>
                    <a:noFill/>
                    <a:ln>
                      <a:noFill/>
                    </a:ln>
                  </pic:spPr>
                </pic:pic>
              </a:graphicData>
            </a:graphic>
            <wp14:sizeRelH relativeFrom="page">
              <wp14:pctWidth>0</wp14:pctWidth>
            </wp14:sizeRelH>
            <wp14:sizeRelV relativeFrom="page">
              <wp14:pctHeight>0</wp14:pctHeight>
            </wp14:sizeRelV>
          </wp:anchor>
        </w:drawing>
      </w:r>
      <w:r w:rsidR="00AD35B0" w:rsidRPr="00D369AA">
        <w:rPr>
          <w:rFonts w:ascii="Helvetica" w:hAnsi="Helvetica"/>
          <w:noProof/>
          <w:color w:val="303030"/>
          <w:sz w:val="20"/>
          <w:lang w:val="es-CO" w:eastAsia="es-CO"/>
        </w:rPr>
        <w:drawing>
          <wp:inline distT="0" distB="0" distL="0" distR="0" wp14:anchorId="1DEB701E" wp14:editId="1B5147A8">
            <wp:extent cx="3640347" cy="2055321"/>
            <wp:effectExtent l="0" t="0" r="0" b="254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r="-10183"/>
                    <a:stretch/>
                  </pic:blipFill>
                  <pic:spPr bwMode="auto">
                    <a:xfrm>
                      <a:off x="0" y="0"/>
                      <a:ext cx="3655688" cy="2063982"/>
                    </a:xfrm>
                    <a:prstGeom prst="rect">
                      <a:avLst/>
                    </a:prstGeom>
                    <a:ln>
                      <a:noFill/>
                    </a:ln>
                    <a:extLst>
                      <a:ext uri="{53640926-AAD7-44D8-BBD7-CCE9431645EC}">
                        <a14:shadowObscured xmlns:a14="http://schemas.microsoft.com/office/drawing/2010/main"/>
                      </a:ext>
                    </a:extLst>
                  </pic:spPr>
                </pic:pic>
              </a:graphicData>
            </a:graphic>
          </wp:inline>
        </w:drawing>
      </w:r>
    </w:p>
    <w:p w14:paraId="42496E73" w14:textId="19E456C7" w:rsidR="00331E8D" w:rsidRDefault="00AD35B0" w:rsidP="00331E8D">
      <w:pPr>
        <w:pStyle w:val="Citadestacada"/>
      </w:pPr>
      <w:r w:rsidRPr="00D369AA">
        <w:rPr>
          <w:lang w:val="es-CO"/>
        </w:rPr>
        <w:t>Fuente:</w:t>
      </w:r>
      <w:r w:rsidR="00331E8D">
        <w:rPr>
          <w:lang w:val="es-CO"/>
        </w:rPr>
        <w:t xml:space="preserve"> </w:t>
      </w:r>
      <w:r w:rsidR="00331E8D">
        <w:t xml:space="preserve">Estudios Técnicos Proyecto de Acuerdo 472 de 2016. 18 de Octubre de 2016. Página 21.  </w:t>
      </w:r>
    </w:p>
    <w:p w14:paraId="161EF72A" w14:textId="77777777" w:rsidR="00331E8D" w:rsidRDefault="00331E8D" w:rsidP="008D31A1">
      <w:pPr>
        <w:ind w:right="476"/>
        <w:rPr>
          <w:bCs/>
          <w:szCs w:val="24"/>
          <w:lang w:val="es-CO"/>
        </w:rPr>
      </w:pPr>
    </w:p>
    <w:p w14:paraId="183C9E8F" w14:textId="77777777" w:rsidR="009A0D5A" w:rsidRDefault="004E627A" w:rsidP="008D31A1">
      <w:pPr>
        <w:ind w:right="476"/>
        <w:rPr>
          <w:bCs/>
          <w:i/>
          <w:szCs w:val="24"/>
          <w:lang w:val="es-CO"/>
        </w:rPr>
      </w:pPr>
      <w:r w:rsidRPr="00D369AA">
        <w:rPr>
          <w:bCs/>
          <w:szCs w:val="24"/>
          <w:lang w:val="es-CO"/>
        </w:rPr>
        <w:t>El GEB es líder en el sector de ene</w:t>
      </w:r>
      <w:r w:rsidR="008D1FEF" w:rsidRPr="00D369AA">
        <w:rPr>
          <w:bCs/>
          <w:szCs w:val="24"/>
          <w:lang w:val="es-CO"/>
        </w:rPr>
        <w:t>rgía eléctrica y gas natural y</w:t>
      </w:r>
      <w:r w:rsidRPr="00D369AA">
        <w:rPr>
          <w:bCs/>
          <w:szCs w:val="24"/>
          <w:lang w:val="es-CO"/>
        </w:rPr>
        <w:t xml:space="preserve"> tiene presencia en Colo</w:t>
      </w:r>
      <w:r w:rsidR="008D1FEF" w:rsidRPr="00D369AA">
        <w:rPr>
          <w:bCs/>
          <w:szCs w:val="24"/>
          <w:lang w:val="es-CO"/>
        </w:rPr>
        <w:t>mbia, Perú, Guatemala y Brasil</w:t>
      </w:r>
      <w:r w:rsidR="008121DE" w:rsidRPr="00D369AA">
        <w:rPr>
          <w:bCs/>
          <w:i/>
          <w:szCs w:val="24"/>
          <w:lang w:val="es-CO"/>
        </w:rPr>
        <w:t xml:space="preserve">. </w:t>
      </w:r>
    </w:p>
    <w:p w14:paraId="3CFCC160" w14:textId="77777777" w:rsidR="00331E8D" w:rsidRPr="00D369AA" w:rsidRDefault="00331E8D" w:rsidP="008D31A1">
      <w:pPr>
        <w:ind w:right="476"/>
        <w:rPr>
          <w:bCs/>
          <w:i/>
          <w:szCs w:val="24"/>
          <w:lang w:val="es-CO"/>
        </w:rPr>
      </w:pPr>
    </w:p>
    <w:p w14:paraId="308D7EF2" w14:textId="484A13E6" w:rsidR="00750ACB" w:rsidRPr="00D369AA" w:rsidRDefault="00750ACB" w:rsidP="008D31A1">
      <w:pPr>
        <w:pStyle w:val="Ttulo2"/>
        <w:rPr>
          <w:lang w:val="es-CO"/>
        </w:rPr>
      </w:pPr>
      <w:r w:rsidRPr="00D369AA">
        <w:rPr>
          <w:lang w:val="es-CO"/>
        </w:rPr>
        <w:t>Acerca de la Empresa de Energía de Bogotá</w:t>
      </w:r>
      <w:r w:rsidR="003E7D32" w:rsidRPr="00D369AA">
        <w:rPr>
          <w:lang w:val="es-CO"/>
        </w:rPr>
        <w:t xml:space="preserve"> </w:t>
      </w:r>
      <w:r w:rsidRPr="00D369AA">
        <w:rPr>
          <w:lang w:val="es-CO"/>
        </w:rPr>
        <w:t>Gas S.A.S.</w:t>
      </w:r>
      <w:r w:rsidR="00376A92" w:rsidRPr="00D369AA">
        <w:rPr>
          <w:lang w:val="es-CO"/>
        </w:rPr>
        <w:t xml:space="preserve"> (EEB GAS S.A.S)</w:t>
      </w:r>
    </w:p>
    <w:p w14:paraId="3F4BD12C" w14:textId="77777777" w:rsidR="000D506D" w:rsidRPr="00D369AA" w:rsidRDefault="000D506D" w:rsidP="000D506D">
      <w:pPr>
        <w:rPr>
          <w:i/>
          <w:lang w:val="es-CO"/>
        </w:rPr>
      </w:pPr>
      <w:r w:rsidRPr="00D369AA">
        <w:rPr>
          <w:i/>
          <w:lang w:val="es-CO"/>
        </w:rPr>
        <w:t xml:space="preserve">La Junta Directiva de EEB, en la sesión No. 1491 del 26 de junio 2012, autorizó constituir una sociedad por acciones simplificada – S.A.S., con el fin de facilitar la inversión en </w:t>
      </w:r>
      <w:proofErr w:type="spellStart"/>
      <w:r w:rsidRPr="00D369AA">
        <w:rPr>
          <w:i/>
          <w:lang w:val="es-CO"/>
        </w:rPr>
        <w:t>Promigas</w:t>
      </w:r>
      <w:proofErr w:type="spellEnd"/>
      <w:r w:rsidRPr="00D369AA">
        <w:rPr>
          <w:i/>
          <w:lang w:val="es-CO"/>
        </w:rPr>
        <w:t xml:space="preserve">. </w:t>
      </w:r>
    </w:p>
    <w:p w14:paraId="5ABB42C1" w14:textId="479365C7" w:rsidR="00750ACB" w:rsidRPr="00D369AA" w:rsidRDefault="000D506D" w:rsidP="0072580A">
      <w:pPr>
        <w:rPr>
          <w:i/>
          <w:lang w:val="es-CO"/>
        </w:rPr>
      </w:pPr>
      <w:r w:rsidRPr="00D369AA">
        <w:rPr>
          <w:i/>
          <w:lang w:val="es-CO"/>
        </w:rPr>
        <w:t>De acuerdo con lo anterior, se creó EEB GAS S.A.S. el 12 de octubre de 2012</w:t>
      </w:r>
      <w:r w:rsidR="00F04E5F" w:rsidRPr="00D369AA">
        <w:rPr>
          <w:i/>
          <w:lang w:val="es-CO"/>
        </w:rPr>
        <w:t xml:space="preserve"> y se inscribió</w:t>
      </w:r>
      <w:r w:rsidRPr="00D369AA">
        <w:rPr>
          <w:i/>
          <w:lang w:val="es-CO"/>
        </w:rPr>
        <w:t xml:space="preserve"> en la Cámara de Comercio de Bogotá el 27 de octubre de 2012</w:t>
      </w:r>
      <w:r w:rsidR="00F04E5F" w:rsidRPr="00D369AA">
        <w:rPr>
          <w:i/>
          <w:lang w:val="es-CO"/>
        </w:rPr>
        <w:t>. T</w:t>
      </w:r>
      <w:r w:rsidRPr="00D369AA">
        <w:rPr>
          <w:i/>
          <w:lang w:val="es-CO"/>
        </w:rPr>
        <w:t xml:space="preserve">iene como objeto principal la compraventa y enajenación, a cualquier título, de acciones o cuotas sociales, participaciones o intereses, títulos valores, bonos convertibles en acciones en cualquier sociedad colombiana o el exterior, así como, realizar </w:t>
      </w:r>
      <w:r w:rsidRPr="00D369AA">
        <w:rPr>
          <w:i/>
          <w:lang w:val="es-CO"/>
        </w:rPr>
        <w:lastRenderedPageBreak/>
        <w:t>cualquier tipo de inversión en cualquier sector de la economía.</w:t>
      </w:r>
      <w:r w:rsidR="003E7D32" w:rsidRPr="00D369AA">
        <w:rPr>
          <w:i/>
          <w:lang w:val="es-CO"/>
        </w:rPr>
        <w:t xml:space="preserve"> </w:t>
      </w:r>
      <w:r w:rsidRPr="00D369AA">
        <w:rPr>
          <w:i/>
          <w:lang w:val="es-CO"/>
        </w:rPr>
        <w:t>El término de duración de la sociedad es indefinido</w:t>
      </w:r>
      <w:r w:rsidR="00587BAF" w:rsidRPr="00D369AA">
        <w:rPr>
          <w:rStyle w:val="Refdenotaalpie"/>
          <w:i/>
          <w:lang w:val="es-CO"/>
        </w:rPr>
        <w:footnoteReference w:id="10"/>
      </w:r>
      <w:r w:rsidR="00750ACB" w:rsidRPr="00D369AA">
        <w:rPr>
          <w:i/>
          <w:lang w:val="es-CO"/>
        </w:rPr>
        <w:t>.</w:t>
      </w:r>
    </w:p>
    <w:p w14:paraId="3B568B25" w14:textId="77777777" w:rsidR="009A0D5A" w:rsidRPr="00D369AA" w:rsidRDefault="00750ACB" w:rsidP="008D31A1">
      <w:pPr>
        <w:pStyle w:val="Ttulo2"/>
        <w:rPr>
          <w:lang w:val="es-CO"/>
        </w:rPr>
      </w:pPr>
      <w:r w:rsidRPr="00D369AA">
        <w:rPr>
          <w:lang w:val="es-CO"/>
        </w:rPr>
        <w:t xml:space="preserve">Evolución de la </w:t>
      </w:r>
      <w:r w:rsidR="009A0D5A" w:rsidRPr="00D369AA">
        <w:rPr>
          <w:bCs/>
          <w:i/>
          <w:lang w:val="es-CO"/>
        </w:rPr>
        <w:t>EEB</w:t>
      </w:r>
    </w:p>
    <w:p w14:paraId="0224E363" w14:textId="2E93B0F5" w:rsidR="009A0D5A" w:rsidRPr="00D369AA" w:rsidRDefault="009A0D5A" w:rsidP="008D31A1">
      <w:pPr>
        <w:rPr>
          <w:lang w:val="es-CO"/>
        </w:rPr>
      </w:pPr>
      <w:r w:rsidRPr="00D369AA">
        <w:rPr>
          <w:lang w:val="es-CO"/>
        </w:rPr>
        <w:t>El Grupo Ene</w:t>
      </w:r>
      <w:r w:rsidR="0072580A" w:rsidRPr="00D369AA">
        <w:rPr>
          <w:lang w:val="es-CO"/>
        </w:rPr>
        <w:t xml:space="preserve">rgía de Bogotá es el resultado de </w:t>
      </w:r>
      <w:r w:rsidRPr="00D369AA">
        <w:rPr>
          <w:lang w:val="es-CO"/>
        </w:rPr>
        <w:t>una administración</w:t>
      </w:r>
      <w:r w:rsidR="003E7D32" w:rsidRPr="00D369AA">
        <w:rPr>
          <w:lang w:val="es-CO"/>
        </w:rPr>
        <w:t xml:space="preserve"> </w:t>
      </w:r>
      <w:r w:rsidR="00331E8D">
        <w:rPr>
          <w:lang w:val="es-CO"/>
        </w:rPr>
        <w:t xml:space="preserve">mediante un </w:t>
      </w:r>
      <w:r w:rsidRPr="00D369AA">
        <w:rPr>
          <w:lang w:val="es-CO"/>
        </w:rPr>
        <w:t>modelo</w:t>
      </w:r>
      <w:r w:rsidR="003E7D32" w:rsidRPr="00D369AA">
        <w:rPr>
          <w:lang w:val="es-CO"/>
        </w:rPr>
        <w:t xml:space="preserve"> </w:t>
      </w:r>
      <w:r w:rsidRPr="00D369AA">
        <w:rPr>
          <w:lang w:val="es-CO"/>
        </w:rPr>
        <w:t>público privado al que se llegó luego de sortear</w:t>
      </w:r>
      <w:r w:rsidR="003E7D32" w:rsidRPr="00D369AA">
        <w:rPr>
          <w:lang w:val="es-CO"/>
        </w:rPr>
        <w:t xml:space="preserve"> </w:t>
      </w:r>
      <w:r w:rsidRPr="00D369AA">
        <w:rPr>
          <w:lang w:val="es-CO"/>
        </w:rPr>
        <w:t xml:space="preserve">varias crisis. Su historia puede </w:t>
      </w:r>
      <w:r w:rsidR="0072580A" w:rsidRPr="00D369AA">
        <w:rPr>
          <w:lang w:val="es-CO"/>
        </w:rPr>
        <w:t xml:space="preserve">resumirse en </w:t>
      </w:r>
      <w:r w:rsidRPr="00D369AA">
        <w:rPr>
          <w:lang w:val="es-CO"/>
        </w:rPr>
        <w:t>tres etapas:</w:t>
      </w:r>
    </w:p>
    <w:p w14:paraId="1F491171" w14:textId="77777777" w:rsidR="00331E8D" w:rsidRDefault="00331E8D" w:rsidP="008D31A1">
      <w:pPr>
        <w:pStyle w:val="Subttulo"/>
        <w:rPr>
          <w:lang w:val="es-CO"/>
        </w:rPr>
      </w:pPr>
    </w:p>
    <w:p w14:paraId="5C33F161" w14:textId="77777777" w:rsidR="009A0D5A" w:rsidRPr="00D369AA" w:rsidRDefault="009A0D5A" w:rsidP="008D31A1">
      <w:pPr>
        <w:pStyle w:val="Subttulo"/>
        <w:rPr>
          <w:lang w:val="es-CO"/>
        </w:rPr>
      </w:pPr>
      <w:r w:rsidRPr="00D369AA">
        <w:rPr>
          <w:lang w:val="es-CO"/>
        </w:rPr>
        <w:t>1885 – 1995: El primer siglo</w:t>
      </w:r>
    </w:p>
    <w:p w14:paraId="4FBFFAB8" w14:textId="2C894ADF" w:rsidR="009A0D5A" w:rsidRPr="00D369AA" w:rsidRDefault="009A0D5A" w:rsidP="008D31A1">
      <w:pPr>
        <w:rPr>
          <w:lang w:val="es-CO"/>
        </w:rPr>
      </w:pPr>
      <w:r w:rsidRPr="00D369AA">
        <w:rPr>
          <w:lang w:val="es-CO"/>
        </w:rPr>
        <w:t>Comprende desde su creación, por los hermanos Samper- Brush, su desarrollo</w:t>
      </w:r>
      <w:r w:rsidR="003E7D32" w:rsidRPr="00D369AA">
        <w:rPr>
          <w:lang w:val="es-CO"/>
        </w:rPr>
        <w:t xml:space="preserve"> </w:t>
      </w:r>
      <w:r w:rsidRPr="00D369AA">
        <w:rPr>
          <w:lang w:val="es-CO"/>
        </w:rPr>
        <w:t>con inversiones en generación (Centrales</w:t>
      </w:r>
      <w:r w:rsidR="003E7D32" w:rsidRPr="00D369AA">
        <w:rPr>
          <w:lang w:val="es-CO"/>
        </w:rPr>
        <w:t xml:space="preserve"> </w:t>
      </w:r>
      <w:r w:rsidRPr="00D369AA">
        <w:rPr>
          <w:lang w:val="es-CO"/>
        </w:rPr>
        <w:t xml:space="preserve">Charquito I y II, El Salto I y II, Canoas, </w:t>
      </w:r>
      <w:proofErr w:type="spellStart"/>
      <w:r w:rsidRPr="00D369AA">
        <w:rPr>
          <w:lang w:val="es-CO"/>
        </w:rPr>
        <w:t>Laguneta</w:t>
      </w:r>
      <w:proofErr w:type="spellEnd"/>
      <w:r w:rsidRPr="00D369AA">
        <w:rPr>
          <w:lang w:val="es-CO"/>
        </w:rPr>
        <w:t xml:space="preserve">, Colegio, </w:t>
      </w:r>
      <w:proofErr w:type="spellStart"/>
      <w:r w:rsidRPr="00D369AA">
        <w:rPr>
          <w:lang w:val="es-CO"/>
        </w:rPr>
        <w:t>Termozipa</w:t>
      </w:r>
      <w:proofErr w:type="spellEnd"/>
      <w:r w:rsidRPr="00D369AA">
        <w:rPr>
          <w:lang w:val="es-CO"/>
        </w:rPr>
        <w:t xml:space="preserve"> y </w:t>
      </w:r>
      <w:proofErr w:type="spellStart"/>
      <w:r w:rsidRPr="00D369AA">
        <w:rPr>
          <w:lang w:val="es-CO"/>
        </w:rPr>
        <w:t>Guavio</w:t>
      </w:r>
      <w:proofErr w:type="spellEnd"/>
      <w:r w:rsidRPr="00D369AA">
        <w:rPr>
          <w:lang w:val="es-CO"/>
        </w:rPr>
        <w:t xml:space="preserve">) hasta convertirse en un operador </w:t>
      </w:r>
      <w:r w:rsidRPr="00D369AA">
        <w:rPr>
          <w:i/>
          <w:iCs/>
          <w:lang w:val="es-CO"/>
        </w:rPr>
        <w:t>integrado</w:t>
      </w:r>
      <w:r w:rsidRPr="00D369AA">
        <w:rPr>
          <w:lang w:val="es-CO"/>
        </w:rPr>
        <w:t xml:space="preserve"> de energía eléctrica para Bogotá y el centro del país. </w:t>
      </w:r>
    </w:p>
    <w:p w14:paraId="13024594" w14:textId="77777777" w:rsidR="009A0D5A" w:rsidRPr="00D369AA" w:rsidRDefault="009A0D5A" w:rsidP="008D31A1">
      <w:pPr>
        <w:rPr>
          <w:lang w:val="es-CO"/>
        </w:rPr>
      </w:pPr>
    </w:p>
    <w:p w14:paraId="59340559" w14:textId="77777777" w:rsidR="009A0D5A" w:rsidRPr="00D369AA" w:rsidRDefault="009A0D5A" w:rsidP="008D31A1">
      <w:pPr>
        <w:pStyle w:val="Subttulo"/>
        <w:rPr>
          <w:lang w:val="es-CO"/>
        </w:rPr>
      </w:pPr>
      <w:r w:rsidRPr="00D369AA">
        <w:rPr>
          <w:lang w:val="es-CO"/>
        </w:rPr>
        <w:t>1995 – 2015: Transformación</w:t>
      </w:r>
    </w:p>
    <w:p w14:paraId="038F4A85" w14:textId="2D92FBCE" w:rsidR="009A0D5A" w:rsidRPr="00D369AA" w:rsidRDefault="001E638F" w:rsidP="008D31A1">
      <w:pPr>
        <w:rPr>
          <w:bCs/>
          <w:lang w:val="es-CO"/>
        </w:rPr>
      </w:pPr>
      <w:r>
        <w:rPr>
          <w:bCs/>
          <w:lang w:val="es-CO"/>
        </w:rPr>
        <w:t>Durante esta etapa se presentan prob</w:t>
      </w:r>
      <w:r w:rsidR="009A0D5A" w:rsidRPr="00D369AA">
        <w:rPr>
          <w:bCs/>
          <w:lang w:val="es-CO"/>
        </w:rPr>
        <w:t xml:space="preserve">lemas administrativos y financieros que se evidenciaron con el retraso en la construcción de la central Hidroeléctrica del </w:t>
      </w:r>
      <w:proofErr w:type="spellStart"/>
      <w:r w:rsidR="009A0D5A" w:rsidRPr="00D369AA">
        <w:rPr>
          <w:bCs/>
          <w:lang w:val="es-CO"/>
        </w:rPr>
        <w:t>Guavio</w:t>
      </w:r>
      <w:proofErr w:type="spellEnd"/>
      <w:r w:rsidR="009A0D5A" w:rsidRPr="00D369AA">
        <w:rPr>
          <w:bCs/>
          <w:lang w:val="es-CO"/>
        </w:rPr>
        <w:t xml:space="preserve"> y</w:t>
      </w:r>
      <w:r w:rsidR="003E7D32" w:rsidRPr="00D369AA">
        <w:rPr>
          <w:bCs/>
          <w:lang w:val="es-CO"/>
        </w:rPr>
        <w:t xml:space="preserve"> </w:t>
      </w:r>
      <w:r w:rsidR="009A0D5A" w:rsidRPr="00D369AA">
        <w:rPr>
          <w:bCs/>
          <w:lang w:val="es-CO"/>
        </w:rPr>
        <w:t>llevaron a que la compañía prestara un servicio de energía deficiente. Así mismo la expedición de</w:t>
      </w:r>
      <w:r w:rsidR="003E7D32" w:rsidRPr="00D369AA">
        <w:rPr>
          <w:bCs/>
          <w:lang w:val="es-CO"/>
        </w:rPr>
        <w:t xml:space="preserve"> </w:t>
      </w:r>
      <w:r w:rsidR="009A0D5A" w:rsidRPr="00D369AA">
        <w:rPr>
          <w:rFonts w:eastAsia="Calibri" w:cs="Arial"/>
          <w:szCs w:val="24"/>
          <w:lang w:val="es-CO"/>
        </w:rPr>
        <w:t>las Leyes 142 y 143 de 1994, que definieron</w:t>
      </w:r>
      <w:r w:rsidR="003E7D32" w:rsidRPr="00D369AA">
        <w:rPr>
          <w:rFonts w:eastAsia="Calibri" w:cs="Arial"/>
          <w:szCs w:val="24"/>
          <w:lang w:val="es-CO"/>
        </w:rPr>
        <w:t xml:space="preserve"> </w:t>
      </w:r>
      <w:r w:rsidR="009A0D5A" w:rsidRPr="00D369AA">
        <w:rPr>
          <w:rFonts w:eastAsia="Calibri" w:cs="Arial"/>
          <w:szCs w:val="24"/>
          <w:lang w:val="es-CO"/>
        </w:rPr>
        <w:t>el régimen de los servicios públicos domiciliarios,</w:t>
      </w:r>
      <w:r w:rsidR="003E7D32" w:rsidRPr="00D369AA">
        <w:rPr>
          <w:rFonts w:eastAsia="Calibri" w:cs="Arial"/>
          <w:szCs w:val="24"/>
          <w:lang w:val="es-CO"/>
        </w:rPr>
        <w:t xml:space="preserve"> </w:t>
      </w:r>
      <w:r w:rsidR="009A0D5A" w:rsidRPr="00D369AA">
        <w:rPr>
          <w:rFonts w:eastAsia="Calibri" w:cs="Arial"/>
          <w:szCs w:val="24"/>
          <w:lang w:val="es-CO"/>
        </w:rPr>
        <w:t>abrieron el camino</w:t>
      </w:r>
      <w:r w:rsidR="003E7D32" w:rsidRPr="00D369AA">
        <w:rPr>
          <w:rFonts w:eastAsia="Calibri" w:cs="Arial"/>
          <w:szCs w:val="24"/>
          <w:lang w:val="es-CO"/>
        </w:rPr>
        <w:t xml:space="preserve"> </w:t>
      </w:r>
      <w:r w:rsidR="009A0D5A" w:rsidRPr="00D369AA">
        <w:rPr>
          <w:rFonts w:eastAsia="Calibri" w:cs="Arial"/>
          <w:szCs w:val="24"/>
          <w:lang w:val="es-CO"/>
        </w:rPr>
        <w:t>para superar esta crisis.</w:t>
      </w:r>
    </w:p>
    <w:p w14:paraId="2B2A8C69" w14:textId="2F6672B3" w:rsidR="009A0D5A" w:rsidRPr="00D369AA" w:rsidRDefault="009A0D5A" w:rsidP="008D31A1">
      <w:pPr>
        <w:rPr>
          <w:bCs/>
          <w:lang w:val="es-CO"/>
        </w:rPr>
      </w:pPr>
      <w:r w:rsidRPr="00D369AA">
        <w:rPr>
          <w:rFonts w:eastAsia="Calibri" w:cs="Arial"/>
          <w:szCs w:val="24"/>
          <w:lang w:val="es-CO"/>
        </w:rPr>
        <w:t>La expedición del Acuerdo 01 de 1996 del Concejo de Bogotá facilitó la conversión de la empresa a sociedad por acciones y de manera complementaria le permitió a la EEB solucionar la crisis financiera, mejorar la eficiencia de la gestión,</w:t>
      </w:r>
      <w:r w:rsidR="003E7D32" w:rsidRPr="00D369AA">
        <w:rPr>
          <w:rFonts w:eastAsia="Calibri" w:cs="Arial"/>
          <w:szCs w:val="24"/>
          <w:lang w:val="es-CO"/>
        </w:rPr>
        <w:t xml:space="preserve"> </w:t>
      </w:r>
      <w:r w:rsidRPr="00D369AA">
        <w:rPr>
          <w:rFonts w:eastAsia="Calibri" w:cs="Arial"/>
          <w:szCs w:val="24"/>
          <w:lang w:val="es-CO"/>
        </w:rPr>
        <w:t>superar el atraso de las inversiones en infraestructura eléctrica de transmisión y distribución, atender el crecimiento del consumo de energía y finalmente promover nuevos negocios.</w:t>
      </w:r>
    </w:p>
    <w:p w14:paraId="1A59658C" w14:textId="4BE34253" w:rsidR="009A0D5A" w:rsidRPr="00D369AA" w:rsidRDefault="009A0D5A" w:rsidP="008D31A1">
      <w:pPr>
        <w:rPr>
          <w:lang w:val="es-CO"/>
        </w:rPr>
      </w:pPr>
      <w:r w:rsidRPr="00D369AA">
        <w:rPr>
          <w:bCs/>
          <w:lang w:val="es-CO"/>
        </w:rPr>
        <w:t>Durante estos años,</w:t>
      </w:r>
      <w:r w:rsidR="003E7D32" w:rsidRPr="00D369AA">
        <w:rPr>
          <w:bCs/>
          <w:lang w:val="es-CO"/>
        </w:rPr>
        <w:t xml:space="preserve"> </w:t>
      </w:r>
      <w:r w:rsidR="00075308" w:rsidRPr="00D369AA">
        <w:rPr>
          <w:bCs/>
          <w:lang w:val="es-CO"/>
        </w:rPr>
        <w:t xml:space="preserve">utilizando el </w:t>
      </w:r>
      <w:r w:rsidR="00075308" w:rsidRPr="001E638F">
        <w:rPr>
          <w:bCs/>
          <w:lang w:val="es-CO"/>
        </w:rPr>
        <w:t>modelo público – privado</w:t>
      </w:r>
      <w:r w:rsidR="00075308" w:rsidRPr="00D369AA">
        <w:rPr>
          <w:bCs/>
          <w:lang w:val="es-CO"/>
        </w:rPr>
        <w:t xml:space="preserve">, </w:t>
      </w:r>
      <w:r w:rsidRPr="00D369AA">
        <w:rPr>
          <w:bCs/>
          <w:lang w:val="es-CO"/>
        </w:rPr>
        <w:t xml:space="preserve">se capitaliza EEB con recursos internacionales, se separan los negocios de distribución eléctrica, generación y transmisión y nacen las empresas </w:t>
      </w:r>
      <w:proofErr w:type="spellStart"/>
      <w:r w:rsidRPr="00D369AA">
        <w:rPr>
          <w:bCs/>
          <w:lang w:val="es-CO"/>
        </w:rPr>
        <w:t>Codensa</w:t>
      </w:r>
      <w:proofErr w:type="spellEnd"/>
      <w:r w:rsidRPr="00D369AA">
        <w:rPr>
          <w:bCs/>
          <w:lang w:val="es-CO"/>
        </w:rPr>
        <w:t xml:space="preserve"> y </w:t>
      </w:r>
      <w:proofErr w:type="spellStart"/>
      <w:r w:rsidRPr="00D369AA">
        <w:rPr>
          <w:bCs/>
          <w:lang w:val="es-CO"/>
        </w:rPr>
        <w:t>Emgesa</w:t>
      </w:r>
      <w:proofErr w:type="spellEnd"/>
      <w:r w:rsidRPr="00D369AA">
        <w:rPr>
          <w:bCs/>
          <w:lang w:val="es-CO"/>
        </w:rPr>
        <w:t xml:space="preserve">, cambios que </w:t>
      </w:r>
      <w:r w:rsidR="001E638F">
        <w:rPr>
          <w:bCs/>
          <w:lang w:val="es-CO"/>
        </w:rPr>
        <w:t>proporcionaron mayor</w:t>
      </w:r>
      <w:r w:rsidRPr="00D369AA">
        <w:rPr>
          <w:bCs/>
          <w:lang w:val="es-CO"/>
        </w:rPr>
        <w:t xml:space="preserve"> estabilidad y solidez financiera a la empresa al tiempo que se aument</w:t>
      </w:r>
      <w:r w:rsidR="001E638F">
        <w:rPr>
          <w:bCs/>
          <w:lang w:val="es-CO"/>
        </w:rPr>
        <w:t>ó</w:t>
      </w:r>
      <w:r w:rsidRPr="00D369AA">
        <w:rPr>
          <w:bCs/>
          <w:lang w:val="es-CO"/>
        </w:rPr>
        <w:t xml:space="preserve"> la productividad y la eficiencia en la cadena energética</w:t>
      </w:r>
      <w:r w:rsidR="00075308" w:rsidRPr="00D369AA">
        <w:rPr>
          <w:bCs/>
          <w:lang w:val="es-CO"/>
        </w:rPr>
        <w:t>.</w:t>
      </w:r>
      <w:r w:rsidRPr="00D369AA">
        <w:rPr>
          <w:bCs/>
          <w:lang w:val="es-CO"/>
        </w:rPr>
        <w:t xml:space="preserve"> </w:t>
      </w:r>
      <w:r w:rsidR="00075308" w:rsidRPr="00D369AA">
        <w:rPr>
          <w:bCs/>
          <w:lang w:val="es-CO"/>
        </w:rPr>
        <w:t xml:space="preserve">En el 2000 se gesta el Grupo Energía de Bogotá (GEB), holding financiero y energético que le </w:t>
      </w:r>
      <w:r w:rsidR="00075308" w:rsidRPr="00D369AA">
        <w:rPr>
          <w:bCs/>
          <w:lang w:val="es-CO"/>
        </w:rPr>
        <w:lastRenderedPageBreak/>
        <w:t xml:space="preserve">permitirá a la empresa </w:t>
      </w:r>
      <w:r w:rsidR="004863AF" w:rsidRPr="00D369AA">
        <w:rPr>
          <w:lang w:val="es-CO"/>
        </w:rPr>
        <w:t xml:space="preserve">a partir de 2002 </w:t>
      </w:r>
      <w:r w:rsidR="00075308" w:rsidRPr="00D369AA">
        <w:rPr>
          <w:lang w:val="es-CO"/>
        </w:rPr>
        <w:t xml:space="preserve">iniciar </w:t>
      </w:r>
      <w:r w:rsidRPr="00D369AA">
        <w:rPr>
          <w:lang w:val="es-CO"/>
        </w:rPr>
        <w:t>un proceso de diversificación e internacionalización que la lleva a entrar en el negocio de transporte y distribución de gas, así como en nuevas geografías: Perú, Guatemala y Brasil.</w:t>
      </w:r>
    </w:p>
    <w:p w14:paraId="04916DE3" w14:textId="07020F49" w:rsidR="009A0D5A" w:rsidRPr="00D369AA" w:rsidRDefault="004863AF" w:rsidP="008D31A1">
      <w:pPr>
        <w:rPr>
          <w:lang w:val="es-CO"/>
        </w:rPr>
      </w:pPr>
      <w:r w:rsidRPr="00D369AA">
        <w:rPr>
          <w:lang w:val="es-CO"/>
        </w:rPr>
        <w:t xml:space="preserve">En 2008, EEB se lista en la Bolsa de Valores de Colombia – BVC y </w:t>
      </w:r>
      <w:r w:rsidRPr="00D369AA">
        <w:rPr>
          <w:rFonts w:eastAsia="Calibri" w:cs="Arial"/>
          <w:lang w:val="es-CO"/>
        </w:rPr>
        <w:t>en el Registro Nacional de Valores y Emisores – RNVE</w:t>
      </w:r>
      <w:r w:rsidR="007A12BB" w:rsidRPr="00D369AA">
        <w:rPr>
          <w:rFonts w:eastAsia="Calibri" w:cs="Arial"/>
          <w:lang w:val="es-CO"/>
        </w:rPr>
        <w:t xml:space="preserve"> </w:t>
      </w:r>
      <w:r w:rsidR="007F5462" w:rsidRPr="00D369AA">
        <w:rPr>
          <w:lang w:val="es-CO"/>
        </w:rPr>
        <w:t>lo que le permite en 2011</w:t>
      </w:r>
      <w:r w:rsidR="001E638F">
        <w:rPr>
          <w:lang w:val="es-CO"/>
        </w:rPr>
        <w:t xml:space="preserve"> </w:t>
      </w:r>
      <w:r w:rsidR="007F5462" w:rsidRPr="00D369AA">
        <w:rPr>
          <w:lang w:val="es-CO"/>
        </w:rPr>
        <w:t xml:space="preserve">democratizar </w:t>
      </w:r>
      <w:r w:rsidR="009A0D5A" w:rsidRPr="00D369AA">
        <w:rPr>
          <w:lang w:val="es-CO"/>
        </w:rPr>
        <w:t>la acción</w:t>
      </w:r>
      <w:r w:rsidR="0072580A" w:rsidRPr="00D369AA">
        <w:rPr>
          <w:lang w:val="es-CO"/>
        </w:rPr>
        <w:t xml:space="preserve">, atrayendo </w:t>
      </w:r>
      <w:r w:rsidR="009A0D5A" w:rsidRPr="00D369AA">
        <w:rPr>
          <w:lang w:val="es-CO"/>
        </w:rPr>
        <w:t>como socios a fondos de inversión y público en general</w:t>
      </w:r>
      <w:r w:rsidR="007F5462" w:rsidRPr="00D369AA">
        <w:rPr>
          <w:lang w:val="es-CO"/>
        </w:rPr>
        <w:t xml:space="preserve">. Además, en este periodo </w:t>
      </w:r>
      <w:r w:rsidR="009A0D5A" w:rsidRPr="00D369AA">
        <w:rPr>
          <w:lang w:val="es-CO"/>
        </w:rPr>
        <w:t>se profundizó el modelo de internacionalización mediante alianzas e</w:t>
      </w:r>
      <w:r w:rsidR="0072580A" w:rsidRPr="00D369AA">
        <w:rPr>
          <w:lang w:val="es-CO"/>
        </w:rPr>
        <w:t xml:space="preserve">stratégicas para </w:t>
      </w:r>
      <w:r w:rsidR="009A0D5A" w:rsidRPr="00D369AA">
        <w:rPr>
          <w:lang w:val="es-CO"/>
        </w:rPr>
        <w:t>activos clave</w:t>
      </w:r>
      <w:r w:rsidR="00F7212E" w:rsidRPr="00D369AA">
        <w:rPr>
          <w:lang w:val="es-CO"/>
        </w:rPr>
        <w:t xml:space="preserve"> en los sectores de energía y gas</w:t>
      </w:r>
      <w:r w:rsidR="009A0D5A" w:rsidRPr="00D369AA">
        <w:rPr>
          <w:lang w:val="es-CO"/>
        </w:rPr>
        <w:t xml:space="preserve">. </w:t>
      </w:r>
    </w:p>
    <w:p w14:paraId="316DFA0D" w14:textId="7F4B93E1" w:rsidR="009A0D5A" w:rsidRPr="00D369AA" w:rsidRDefault="009A0D5A" w:rsidP="008D31A1">
      <w:pPr>
        <w:rPr>
          <w:lang w:val="es-CO"/>
        </w:rPr>
      </w:pPr>
      <w:r w:rsidRPr="001E638F">
        <w:rPr>
          <w:i/>
          <w:lang w:val="es-CO"/>
        </w:rPr>
        <w:t>Esta etapa se cierra con una visión del GEB como Administrador de Portafolio, donde éste posee inversiones con control y participaciones sin control en compañías filiales</w:t>
      </w:r>
      <w:r w:rsidR="001E638F">
        <w:rPr>
          <w:rStyle w:val="Refdenotaalpie"/>
          <w:i/>
          <w:lang w:val="es-CO"/>
        </w:rPr>
        <w:footnoteReference w:id="11"/>
      </w:r>
      <w:r w:rsidRPr="001E638F">
        <w:rPr>
          <w:i/>
          <w:lang w:val="es-CO"/>
        </w:rPr>
        <w:t>.</w:t>
      </w:r>
      <w:r w:rsidRPr="00D369AA">
        <w:rPr>
          <w:lang w:val="es-CO"/>
        </w:rPr>
        <w:t xml:space="preserve"> Si bien </w:t>
      </w:r>
      <w:r w:rsidR="007E5B0E">
        <w:rPr>
          <w:lang w:val="es-CO"/>
        </w:rPr>
        <w:t>este m</w:t>
      </w:r>
      <w:r w:rsidRPr="00D369AA">
        <w:rPr>
          <w:lang w:val="es-CO"/>
        </w:rPr>
        <w:t xml:space="preserve">odelo de Administrador de Portafolio le permitió al GEB crecer y consolidarse como un actor relevante en la cadena energética regional, este modelo </w:t>
      </w:r>
      <w:r w:rsidR="007E5B0E">
        <w:rPr>
          <w:lang w:val="es-CO"/>
        </w:rPr>
        <w:t xml:space="preserve">debe </w:t>
      </w:r>
      <w:r w:rsidR="00407425">
        <w:rPr>
          <w:lang w:val="es-CO"/>
        </w:rPr>
        <w:t xml:space="preserve">direccionarse hacia la construcción de una visión </w:t>
      </w:r>
      <w:r w:rsidRPr="00D369AA">
        <w:rPr>
          <w:lang w:val="es-CO"/>
        </w:rPr>
        <w:t xml:space="preserve">al año 2025. </w:t>
      </w:r>
    </w:p>
    <w:p w14:paraId="29D7C6AC" w14:textId="77777777" w:rsidR="00407425" w:rsidRDefault="00407425" w:rsidP="008D31A1">
      <w:pPr>
        <w:pStyle w:val="Subttulo"/>
        <w:rPr>
          <w:lang w:val="es-CO"/>
        </w:rPr>
      </w:pPr>
    </w:p>
    <w:p w14:paraId="26EFA06B" w14:textId="77777777" w:rsidR="009A0D5A" w:rsidRPr="00D369AA" w:rsidRDefault="009A0D5A" w:rsidP="008D31A1">
      <w:pPr>
        <w:pStyle w:val="Subttulo"/>
        <w:rPr>
          <w:lang w:val="es-CO"/>
        </w:rPr>
      </w:pPr>
      <w:r w:rsidRPr="00D369AA">
        <w:rPr>
          <w:lang w:val="es-CO"/>
        </w:rPr>
        <w:t>2016-2025: El Futuro</w:t>
      </w:r>
    </w:p>
    <w:p w14:paraId="51EA0136" w14:textId="69DBE607" w:rsidR="008044AC" w:rsidRPr="00D369AA" w:rsidRDefault="008044AC" w:rsidP="008D31A1">
      <w:pPr>
        <w:rPr>
          <w:rFonts w:cs="Arial"/>
          <w:szCs w:val="24"/>
          <w:lang w:val="es-CO"/>
        </w:rPr>
      </w:pPr>
      <w:r w:rsidRPr="00D369AA">
        <w:rPr>
          <w:rFonts w:cs="Arial"/>
          <w:szCs w:val="24"/>
          <w:lang w:val="es-CO"/>
        </w:rPr>
        <w:t>De acuerdo con la información suministrada por EEB, el Grupo Energía de Bogotá (GEB) redefinió su estrategia y busca consolidarse como uno de los grupos líderes en la</w:t>
      </w:r>
      <w:r w:rsidR="003E7D32" w:rsidRPr="00D369AA">
        <w:rPr>
          <w:rFonts w:cs="Arial"/>
          <w:szCs w:val="24"/>
          <w:lang w:val="es-CO"/>
        </w:rPr>
        <w:t xml:space="preserve"> </w:t>
      </w:r>
      <w:r w:rsidRPr="00D369AA">
        <w:rPr>
          <w:rFonts w:cs="Arial"/>
          <w:szCs w:val="24"/>
          <w:lang w:val="es-CO"/>
        </w:rPr>
        <w:t xml:space="preserve">cadena energética en la región, combinando energía y gas natural en forma articulada. </w:t>
      </w:r>
    </w:p>
    <w:p w14:paraId="193D5461" w14:textId="515B0FE7" w:rsidR="008044AC" w:rsidRPr="00D369AA" w:rsidRDefault="00C33D96" w:rsidP="008D31A1">
      <w:pPr>
        <w:rPr>
          <w:rFonts w:cs="Arial"/>
          <w:szCs w:val="24"/>
          <w:lang w:val="es-CO"/>
        </w:rPr>
      </w:pPr>
      <w:r w:rsidRPr="00D369AA">
        <w:rPr>
          <w:rFonts w:cs="Arial"/>
          <w:szCs w:val="24"/>
          <w:lang w:val="es-CO"/>
        </w:rPr>
        <w:t>Como marco en el desarrollo de la estrategia l</w:t>
      </w:r>
      <w:r w:rsidR="008044AC" w:rsidRPr="00D369AA">
        <w:rPr>
          <w:rFonts w:cs="Arial"/>
          <w:szCs w:val="24"/>
          <w:lang w:val="es-CO"/>
        </w:rPr>
        <w:t xml:space="preserve">a empresa identificó </w:t>
      </w:r>
      <w:r w:rsidRPr="00D369AA">
        <w:rPr>
          <w:rFonts w:cs="Arial"/>
          <w:szCs w:val="24"/>
          <w:lang w:val="es-CO"/>
        </w:rPr>
        <w:t xml:space="preserve">los siguientes </w:t>
      </w:r>
      <w:r w:rsidR="008044AC" w:rsidRPr="00D369AA">
        <w:rPr>
          <w:rFonts w:cs="Arial"/>
          <w:szCs w:val="24"/>
          <w:lang w:val="es-CO"/>
        </w:rPr>
        <w:t>desafíos para mantener la senda de crecimiento rentable y para seguir profundizando el modelo de gobierno público-privado del cual es referente regional</w:t>
      </w:r>
      <w:r w:rsidRPr="00D369AA">
        <w:rPr>
          <w:rFonts w:cs="Arial"/>
          <w:szCs w:val="24"/>
          <w:lang w:val="es-CO"/>
        </w:rPr>
        <w:t>:</w:t>
      </w:r>
    </w:p>
    <w:p w14:paraId="60DAC5F5" w14:textId="55C0AEFE" w:rsidR="008044AC" w:rsidRPr="00407425" w:rsidRDefault="008044AC" w:rsidP="008D31A1">
      <w:pPr>
        <w:pStyle w:val="Textoindependiente"/>
        <w:widowControl w:val="0"/>
        <w:numPr>
          <w:ilvl w:val="0"/>
          <w:numId w:val="32"/>
        </w:numPr>
        <w:tabs>
          <w:tab w:val="left" w:pos="833"/>
        </w:tabs>
        <w:spacing w:before="120" w:line="276" w:lineRule="exact"/>
        <w:ind w:left="833" w:right="112"/>
        <w:rPr>
          <w:rFonts w:ascii="Arial" w:hAnsi="Arial" w:cs="Arial"/>
          <w:i/>
          <w:lang w:val="es-CO"/>
        </w:rPr>
      </w:pPr>
      <w:r w:rsidRPr="00407425">
        <w:rPr>
          <w:rFonts w:ascii="Arial" w:hAnsi="Arial" w:cs="Arial"/>
          <w:i/>
          <w:lang w:val="es-CO"/>
        </w:rPr>
        <w:t>El fortalecimiento del gobierno corporativo y el proceso de toma de decisiones y rendición de cuentas</w:t>
      </w:r>
      <w:r w:rsidR="000C1D5E">
        <w:rPr>
          <w:rFonts w:ascii="Arial" w:hAnsi="Arial" w:cs="Arial"/>
          <w:i/>
          <w:lang w:val="es-CO"/>
        </w:rPr>
        <w:t>.</w:t>
      </w:r>
    </w:p>
    <w:p w14:paraId="43E93519" w14:textId="5C061CF7" w:rsidR="008044AC" w:rsidRPr="00407425" w:rsidRDefault="008044AC" w:rsidP="008D31A1">
      <w:pPr>
        <w:pStyle w:val="Textoindependiente"/>
        <w:widowControl w:val="0"/>
        <w:numPr>
          <w:ilvl w:val="0"/>
          <w:numId w:val="32"/>
        </w:numPr>
        <w:tabs>
          <w:tab w:val="left" w:pos="833"/>
        </w:tabs>
        <w:spacing w:before="120" w:line="276" w:lineRule="exact"/>
        <w:ind w:left="833" w:right="112"/>
        <w:rPr>
          <w:rFonts w:ascii="Arial" w:hAnsi="Arial" w:cs="Arial"/>
          <w:i/>
          <w:lang w:val="es-CO"/>
        </w:rPr>
      </w:pPr>
      <w:r w:rsidRPr="00407425">
        <w:rPr>
          <w:rFonts w:ascii="Arial" w:hAnsi="Arial" w:cs="Arial"/>
          <w:i/>
          <w:lang w:val="es-CO"/>
        </w:rPr>
        <w:t>El diseño explícito de un modelo de intervención corporativo de las compañías del grupo</w:t>
      </w:r>
      <w:r w:rsidR="000C1D5E">
        <w:rPr>
          <w:rFonts w:ascii="Arial" w:hAnsi="Arial" w:cs="Arial"/>
          <w:i/>
          <w:lang w:val="es-CO"/>
        </w:rPr>
        <w:t>.</w:t>
      </w:r>
    </w:p>
    <w:p w14:paraId="64A6EBE7" w14:textId="71920FA3" w:rsidR="008044AC" w:rsidRPr="00407425" w:rsidRDefault="008044AC" w:rsidP="008D31A1">
      <w:pPr>
        <w:pStyle w:val="Textoindependiente"/>
        <w:widowControl w:val="0"/>
        <w:numPr>
          <w:ilvl w:val="0"/>
          <w:numId w:val="32"/>
        </w:numPr>
        <w:tabs>
          <w:tab w:val="left" w:pos="833"/>
        </w:tabs>
        <w:spacing w:before="120" w:line="276" w:lineRule="exact"/>
        <w:ind w:left="833" w:right="112"/>
        <w:rPr>
          <w:rFonts w:ascii="Arial" w:hAnsi="Arial" w:cs="Arial"/>
          <w:i/>
          <w:lang w:val="es-CO"/>
        </w:rPr>
      </w:pPr>
      <w:r w:rsidRPr="00407425">
        <w:rPr>
          <w:rFonts w:ascii="Arial" w:hAnsi="Arial" w:cs="Arial"/>
          <w:i/>
          <w:lang w:val="es-CO"/>
        </w:rPr>
        <w:t>La efectividad administrativa interna del grupo en sus centros de responsabilidad corporativos</w:t>
      </w:r>
      <w:r w:rsidR="000C1D5E">
        <w:rPr>
          <w:rFonts w:ascii="Arial" w:hAnsi="Arial" w:cs="Arial"/>
          <w:i/>
          <w:lang w:val="es-CO"/>
        </w:rPr>
        <w:t>.</w:t>
      </w:r>
    </w:p>
    <w:p w14:paraId="72B4E55E" w14:textId="0B6ECD3D" w:rsidR="008044AC" w:rsidRDefault="008044AC" w:rsidP="008D31A1">
      <w:pPr>
        <w:pStyle w:val="Textoindependiente"/>
        <w:widowControl w:val="0"/>
        <w:numPr>
          <w:ilvl w:val="0"/>
          <w:numId w:val="32"/>
        </w:numPr>
        <w:tabs>
          <w:tab w:val="left" w:pos="833"/>
        </w:tabs>
        <w:spacing w:before="120" w:line="276" w:lineRule="exact"/>
        <w:ind w:left="833" w:right="112"/>
        <w:rPr>
          <w:rFonts w:ascii="Arial" w:hAnsi="Arial" w:cs="Arial"/>
          <w:i/>
          <w:lang w:val="es-CO"/>
        </w:rPr>
      </w:pPr>
      <w:r w:rsidRPr="00407425">
        <w:rPr>
          <w:rFonts w:ascii="Arial" w:hAnsi="Arial" w:cs="Arial"/>
          <w:i/>
          <w:lang w:val="es-CO"/>
        </w:rPr>
        <w:lastRenderedPageBreak/>
        <w:t>La construcción de un marco de desarrollo estratégico de largo plazo que profundice los negocios y mercados de mayor potencial y enfoque todos los esfuerzos organizacionales en la creación de valor de largo plazo</w:t>
      </w:r>
      <w:r w:rsidR="000C1D5E">
        <w:rPr>
          <w:rFonts w:ascii="Arial" w:hAnsi="Arial" w:cs="Arial"/>
          <w:i/>
          <w:lang w:val="es-CO"/>
        </w:rPr>
        <w:t>.</w:t>
      </w:r>
      <w:r w:rsidR="00407425">
        <w:rPr>
          <w:rStyle w:val="Refdenotaalpie"/>
          <w:rFonts w:ascii="Arial" w:hAnsi="Arial" w:cs="Arial"/>
          <w:i/>
          <w:lang w:val="es-CO"/>
        </w:rPr>
        <w:footnoteReference w:id="12"/>
      </w:r>
    </w:p>
    <w:p w14:paraId="4A1ADF1F" w14:textId="77777777" w:rsidR="00407425" w:rsidRPr="00407425" w:rsidRDefault="00407425" w:rsidP="00407425">
      <w:pPr>
        <w:pStyle w:val="Textoindependiente"/>
        <w:widowControl w:val="0"/>
        <w:tabs>
          <w:tab w:val="left" w:pos="833"/>
        </w:tabs>
        <w:spacing w:before="120" w:line="276" w:lineRule="exact"/>
        <w:ind w:left="833" w:right="112"/>
        <w:rPr>
          <w:rFonts w:ascii="Arial" w:hAnsi="Arial" w:cs="Arial"/>
          <w:i/>
          <w:lang w:val="es-CO"/>
        </w:rPr>
      </w:pPr>
    </w:p>
    <w:p w14:paraId="20D028EF" w14:textId="2AD0E2E3" w:rsidR="00262A5F" w:rsidRPr="00D369AA" w:rsidRDefault="00407425" w:rsidP="00262A5F">
      <w:pPr>
        <w:rPr>
          <w:lang w:val="es-CO"/>
        </w:rPr>
      </w:pPr>
      <w:r>
        <w:rPr>
          <w:lang w:val="es-CO"/>
        </w:rPr>
        <w:t>De este modo, a</w:t>
      </w:r>
      <w:r w:rsidR="00262A5F" w:rsidRPr="00D369AA">
        <w:rPr>
          <w:lang w:val="es-CO"/>
        </w:rPr>
        <w:t xml:space="preserve"> partir del año 2016, EEB </w:t>
      </w:r>
      <w:r>
        <w:rPr>
          <w:lang w:val="es-CO"/>
        </w:rPr>
        <w:t>espera dar</w:t>
      </w:r>
      <w:r w:rsidR="00262A5F" w:rsidRPr="00D369AA">
        <w:rPr>
          <w:lang w:val="es-CO"/>
        </w:rPr>
        <w:t xml:space="preserve"> el siguiente paso hacia la consolidación del Grupo con una estrategia basada en un modelo de </w:t>
      </w:r>
      <w:r w:rsidR="00262A5F" w:rsidRPr="00407425">
        <w:rPr>
          <w:lang w:val="es-CO"/>
        </w:rPr>
        <w:t>conector estratégico</w:t>
      </w:r>
      <w:r w:rsidR="00262A5F" w:rsidRPr="00D369AA">
        <w:rPr>
          <w:lang w:val="es-CO"/>
        </w:rPr>
        <w:t>, a través de la intervención más activa de las compañías</w:t>
      </w:r>
      <w:r>
        <w:rPr>
          <w:lang w:val="es-CO"/>
        </w:rPr>
        <w:t>.</w:t>
      </w:r>
    </w:p>
    <w:p w14:paraId="6CBF0DF2" w14:textId="77777777" w:rsidR="00262A5F" w:rsidRPr="00D369AA" w:rsidRDefault="00262A5F" w:rsidP="00262A5F">
      <w:pPr>
        <w:ind w:right="476"/>
        <w:rPr>
          <w:bCs/>
          <w:i/>
          <w:szCs w:val="24"/>
          <w:lang w:val="es-CO"/>
        </w:rPr>
      </w:pPr>
      <w:r w:rsidRPr="00D369AA">
        <w:rPr>
          <w:bCs/>
          <w:i/>
          <w:szCs w:val="24"/>
          <w:lang w:val="es-CO"/>
        </w:rPr>
        <w:t>La Junta Directiva de la Empresa de Energía de Bogotá S.A. ESP (EEB), en su sesión No. [1561] del 26 de septiembre de 2016 ha adoptado la nueva estrategia corporativa de la sociedad, con el objetivo de consolidarse como uno de los grupos empresariales líderes de la cadena energética en la región y uno de los pocos que combina energía eléctrica y gas natural de forma articulada, su estrategia se desarrollará en tres grupos estratégicos de negocio</w:t>
      </w:r>
      <w:r w:rsidRPr="00D369AA">
        <w:rPr>
          <w:rStyle w:val="Refdenotaalpie"/>
          <w:bCs/>
          <w:i/>
          <w:szCs w:val="24"/>
          <w:lang w:val="es-CO"/>
        </w:rPr>
        <w:footnoteReference w:id="13"/>
      </w:r>
      <w:r w:rsidRPr="00D369AA">
        <w:rPr>
          <w:bCs/>
          <w:i/>
          <w:szCs w:val="24"/>
          <w:lang w:val="es-CO"/>
        </w:rPr>
        <w:t xml:space="preserve">: </w:t>
      </w:r>
    </w:p>
    <w:p w14:paraId="3F8A85A4" w14:textId="77777777" w:rsidR="00262A5F" w:rsidRPr="00D369AA" w:rsidRDefault="00262A5F" w:rsidP="001F6790">
      <w:pPr>
        <w:shd w:val="clear" w:color="auto" w:fill="FFFFFF"/>
        <w:textAlignment w:val="baseline"/>
        <w:rPr>
          <w:bCs/>
          <w:szCs w:val="24"/>
          <w:lang w:val="es-CO"/>
        </w:rPr>
      </w:pPr>
    </w:p>
    <w:p w14:paraId="4035B6A0" w14:textId="5119D73E" w:rsidR="00530517" w:rsidRPr="00D369AA" w:rsidRDefault="00530517" w:rsidP="00530517">
      <w:pPr>
        <w:pStyle w:val="Epgrafe"/>
        <w:rPr>
          <w:rFonts w:eastAsia="Calibri" w:cs="Arial"/>
          <w:i w:val="0"/>
          <w:iCs/>
          <w:szCs w:val="24"/>
          <w:lang w:val="es-CO"/>
        </w:rPr>
      </w:pPr>
      <w:bookmarkStart w:id="1" w:name="_Toc464137702"/>
      <w:bookmarkStart w:id="2" w:name="_Toc464211481"/>
      <w:r w:rsidRPr="00D369AA">
        <w:rPr>
          <w:rFonts w:eastAsia="Calibri" w:cs="Arial"/>
          <w:i w:val="0"/>
          <w:iCs/>
          <w:szCs w:val="24"/>
          <w:lang w:val="es-CO"/>
        </w:rPr>
        <w:t xml:space="preserve"> Estrategia Corporativa</w:t>
      </w:r>
      <w:bookmarkEnd w:id="1"/>
      <w:bookmarkEnd w:id="2"/>
    </w:p>
    <w:p w14:paraId="67ABEDFE" w14:textId="77777777" w:rsidR="00530517" w:rsidRPr="00D369AA" w:rsidRDefault="00530517" w:rsidP="00530517">
      <w:pPr>
        <w:keepNext/>
        <w:rPr>
          <w:rFonts w:eastAsia="Calibri" w:cs="Arial"/>
          <w:szCs w:val="24"/>
          <w:lang w:val="es-CO"/>
        </w:rPr>
      </w:pPr>
      <w:r w:rsidRPr="00D369AA">
        <w:rPr>
          <w:rFonts w:cs="Arial"/>
          <w:noProof/>
          <w:szCs w:val="24"/>
          <w:lang w:val="es-CO" w:eastAsia="es-CO"/>
        </w:rPr>
        <w:drawing>
          <wp:inline distT="0" distB="0" distL="0" distR="0" wp14:anchorId="0BF34EF2" wp14:editId="10284C92">
            <wp:extent cx="5607170" cy="238319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462"/>
                    <a:stretch/>
                  </pic:blipFill>
                  <pic:spPr bwMode="auto">
                    <a:xfrm>
                      <a:off x="0" y="0"/>
                      <a:ext cx="5612130" cy="2385299"/>
                    </a:xfrm>
                    <a:prstGeom prst="rect">
                      <a:avLst/>
                    </a:prstGeom>
                    <a:noFill/>
                    <a:ln>
                      <a:noFill/>
                    </a:ln>
                    <a:extLst>
                      <a:ext uri="{53640926-AAD7-44D8-BBD7-CCE9431645EC}">
                        <a14:shadowObscured xmlns:a14="http://schemas.microsoft.com/office/drawing/2010/main"/>
                      </a:ext>
                    </a:extLst>
                  </pic:spPr>
                </pic:pic>
              </a:graphicData>
            </a:graphic>
          </wp:inline>
        </w:drawing>
      </w:r>
    </w:p>
    <w:p w14:paraId="49D60942" w14:textId="77777777" w:rsidR="006D21A7" w:rsidRPr="00D369AA" w:rsidRDefault="00530517" w:rsidP="00530517">
      <w:pPr>
        <w:pStyle w:val="Citadestacada"/>
        <w:rPr>
          <w:lang w:val="es-CO"/>
        </w:rPr>
      </w:pPr>
      <w:r w:rsidRPr="00D369AA">
        <w:rPr>
          <w:lang w:val="es-CO"/>
        </w:rPr>
        <w:t>Fuente: Estudios Técnicos PA - 472. Pg. 83.</w:t>
      </w:r>
    </w:p>
    <w:p w14:paraId="332DF69A" w14:textId="13ED3310" w:rsidR="00AA3C25" w:rsidRPr="00D369AA" w:rsidRDefault="00AA3C25" w:rsidP="00AA3C25">
      <w:pPr>
        <w:ind w:right="51"/>
        <w:rPr>
          <w:bCs/>
          <w:szCs w:val="24"/>
          <w:lang w:val="es-CO"/>
        </w:rPr>
      </w:pPr>
      <w:r w:rsidRPr="00D369AA">
        <w:rPr>
          <w:bCs/>
          <w:szCs w:val="24"/>
          <w:lang w:val="es-CO"/>
        </w:rPr>
        <w:lastRenderedPageBreak/>
        <w:t>A continuación se describe</w:t>
      </w:r>
      <w:r w:rsidR="0072580A" w:rsidRPr="00D369AA">
        <w:rPr>
          <w:bCs/>
          <w:szCs w:val="24"/>
          <w:lang w:val="es-CO"/>
        </w:rPr>
        <w:t>n</w:t>
      </w:r>
      <w:r w:rsidRPr="00D369AA">
        <w:rPr>
          <w:bCs/>
          <w:szCs w:val="24"/>
          <w:lang w:val="es-CO"/>
        </w:rPr>
        <w:t xml:space="preserve"> las actividades de cada una de las empresas que conforman el Grupo Energía de Bogot</w:t>
      </w:r>
      <w:r w:rsidR="00875135" w:rsidRPr="00D369AA">
        <w:rPr>
          <w:bCs/>
          <w:szCs w:val="24"/>
          <w:lang w:val="es-CO"/>
        </w:rPr>
        <w:t>á</w:t>
      </w:r>
      <w:r w:rsidRPr="00D369AA">
        <w:rPr>
          <w:bCs/>
          <w:szCs w:val="24"/>
          <w:lang w:val="es-CO"/>
        </w:rPr>
        <w:t xml:space="preserve"> bajo la </w:t>
      </w:r>
      <w:r w:rsidR="00032111" w:rsidRPr="00D369AA">
        <w:rPr>
          <w:bCs/>
          <w:szCs w:val="24"/>
          <w:lang w:val="es-CO"/>
        </w:rPr>
        <w:t xml:space="preserve">nueva </w:t>
      </w:r>
      <w:r w:rsidR="00D369AA" w:rsidRPr="00D369AA">
        <w:rPr>
          <w:bCs/>
          <w:szCs w:val="24"/>
          <w:lang w:val="es-CO"/>
        </w:rPr>
        <w:t>configuración</w:t>
      </w:r>
      <w:r w:rsidRPr="00D369AA">
        <w:rPr>
          <w:bCs/>
          <w:szCs w:val="24"/>
          <w:lang w:val="es-CO"/>
        </w:rPr>
        <w:t xml:space="preserve"> y que evidencia la fortaleza que posee el GEB </w:t>
      </w:r>
      <w:r w:rsidR="00032111" w:rsidRPr="00D369AA">
        <w:rPr>
          <w:bCs/>
          <w:szCs w:val="24"/>
          <w:lang w:val="es-CO"/>
        </w:rPr>
        <w:t xml:space="preserve">para seguir creciendo en los negocios de </w:t>
      </w:r>
      <w:r w:rsidRPr="00D369AA">
        <w:rPr>
          <w:bCs/>
          <w:szCs w:val="24"/>
          <w:lang w:val="es-CO"/>
        </w:rPr>
        <w:t>generación</w:t>
      </w:r>
      <w:r w:rsidR="00032111" w:rsidRPr="00D369AA">
        <w:rPr>
          <w:bCs/>
          <w:szCs w:val="24"/>
          <w:lang w:val="es-CO"/>
        </w:rPr>
        <w:t xml:space="preserve"> de energía</w:t>
      </w:r>
      <w:r w:rsidRPr="00D369AA">
        <w:rPr>
          <w:bCs/>
          <w:szCs w:val="24"/>
          <w:lang w:val="es-CO"/>
        </w:rPr>
        <w:t>, transmisión</w:t>
      </w:r>
      <w:r w:rsidR="00032111" w:rsidRPr="00D369AA">
        <w:rPr>
          <w:bCs/>
          <w:szCs w:val="24"/>
          <w:lang w:val="es-CO"/>
        </w:rPr>
        <w:t xml:space="preserve"> y </w:t>
      </w:r>
      <w:r w:rsidRPr="00D369AA">
        <w:rPr>
          <w:bCs/>
          <w:szCs w:val="24"/>
          <w:lang w:val="es-CO"/>
        </w:rPr>
        <w:t xml:space="preserve">distribución </w:t>
      </w:r>
      <w:r w:rsidR="00032111" w:rsidRPr="00D369AA">
        <w:rPr>
          <w:bCs/>
          <w:szCs w:val="24"/>
          <w:lang w:val="es-CO"/>
        </w:rPr>
        <w:t xml:space="preserve">de energía eléctrica </w:t>
      </w:r>
      <w:r w:rsidRPr="00D369AA">
        <w:rPr>
          <w:bCs/>
          <w:szCs w:val="24"/>
          <w:lang w:val="es-CO"/>
        </w:rPr>
        <w:t>y</w:t>
      </w:r>
      <w:r w:rsidR="00875135" w:rsidRPr="00D369AA">
        <w:rPr>
          <w:bCs/>
          <w:szCs w:val="24"/>
          <w:lang w:val="es-CO"/>
        </w:rPr>
        <w:t xml:space="preserve"> </w:t>
      </w:r>
      <w:r w:rsidR="00032111" w:rsidRPr="00D369AA">
        <w:rPr>
          <w:bCs/>
          <w:szCs w:val="24"/>
          <w:lang w:val="es-CO"/>
        </w:rPr>
        <w:t>transporte</w:t>
      </w:r>
      <w:r w:rsidR="00875135" w:rsidRPr="00D369AA">
        <w:rPr>
          <w:bCs/>
          <w:szCs w:val="24"/>
          <w:lang w:val="es-CO"/>
        </w:rPr>
        <w:t xml:space="preserve">, distribución y comercialización </w:t>
      </w:r>
      <w:r w:rsidRPr="00D369AA">
        <w:rPr>
          <w:bCs/>
          <w:szCs w:val="24"/>
          <w:lang w:val="es-CO"/>
        </w:rPr>
        <w:t>de gas natural.</w:t>
      </w:r>
    </w:p>
    <w:p w14:paraId="055A52AF" w14:textId="77777777" w:rsidR="00C33D96" w:rsidRPr="00D369AA" w:rsidRDefault="00C33D96" w:rsidP="00A25FB4">
      <w:pPr>
        <w:ind w:right="476"/>
        <w:rPr>
          <w:bCs/>
          <w:i/>
          <w:szCs w:val="24"/>
          <w:lang w:val="es-CO"/>
        </w:rPr>
      </w:pPr>
    </w:p>
    <w:p w14:paraId="7522A3CA" w14:textId="5CD4EE8C" w:rsidR="001A720F" w:rsidRPr="00D369AA" w:rsidRDefault="001A720F" w:rsidP="001A720F">
      <w:pPr>
        <w:pStyle w:val="Epgrafe"/>
        <w:rPr>
          <w:rFonts w:eastAsia="Calibri" w:cs="Arial"/>
          <w:i w:val="0"/>
          <w:iCs/>
          <w:szCs w:val="24"/>
          <w:lang w:val="es-CO"/>
        </w:rPr>
      </w:pPr>
      <w:r w:rsidRPr="00D369AA">
        <w:rPr>
          <w:rFonts w:eastAsia="Calibri" w:cs="Arial"/>
          <w:i w:val="0"/>
          <w:iCs/>
          <w:szCs w:val="24"/>
          <w:lang w:val="es-CO"/>
        </w:rPr>
        <w:t>Grupos Estratégicos de Negocio - GEB</w:t>
      </w:r>
    </w:p>
    <w:p w14:paraId="4CF280A1" w14:textId="77777777" w:rsidR="0085737E" w:rsidRPr="00D369AA" w:rsidRDefault="0085737E" w:rsidP="0085737E">
      <w:pPr>
        <w:ind w:right="476"/>
        <w:jc w:val="center"/>
        <w:rPr>
          <w:rFonts w:cs="Arial"/>
          <w:i/>
          <w:sz w:val="20"/>
          <w:lang w:val="es-CO"/>
        </w:rPr>
      </w:pPr>
      <w:r w:rsidRPr="00D369AA">
        <w:rPr>
          <w:rFonts w:cs="Arial"/>
          <w:i/>
          <w:noProof/>
          <w:sz w:val="20"/>
          <w:lang w:val="es-CO" w:eastAsia="es-CO"/>
        </w:rPr>
        <w:drawing>
          <wp:inline distT="0" distB="0" distL="0" distR="0" wp14:anchorId="7AF77BE2" wp14:editId="03589028">
            <wp:extent cx="3641817" cy="2633980"/>
            <wp:effectExtent l="19050" t="19050" r="15875" b="139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4468" cy="2643130"/>
                    </a:xfrm>
                    <a:prstGeom prst="rect">
                      <a:avLst/>
                    </a:prstGeom>
                    <a:noFill/>
                    <a:ln w="19050">
                      <a:solidFill>
                        <a:schemeClr val="tx1"/>
                      </a:solidFill>
                    </a:ln>
                  </pic:spPr>
                </pic:pic>
              </a:graphicData>
            </a:graphic>
          </wp:inline>
        </w:drawing>
      </w:r>
    </w:p>
    <w:p w14:paraId="0E3D9142" w14:textId="26D91084" w:rsidR="0085737E" w:rsidRPr="00D369AA" w:rsidRDefault="003E7D32" w:rsidP="0085737E">
      <w:pPr>
        <w:ind w:left="709" w:right="476" w:firstLine="11"/>
        <w:rPr>
          <w:rFonts w:cs="Arial"/>
          <w:i/>
          <w:sz w:val="20"/>
          <w:lang w:val="es-CO"/>
        </w:rPr>
      </w:pPr>
      <w:r w:rsidRPr="00D369AA">
        <w:rPr>
          <w:bCs/>
          <w:sz w:val="16"/>
          <w:szCs w:val="16"/>
          <w:lang w:val="es-CO"/>
        </w:rPr>
        <w:t xml:space="preserve"> </w:t>
      </w:r>
      <w:r w:rsidR="0085737E" w:rsidRPr="00D369AA">
        <w:rPr>
          <w:bCs/>
          <w:sz w:val="16"/>
          <w:szCs w:val="16"/>
          <w:lang w:val="es-CO"/>
        </w:rPr>
        <w:t>Fuente: http://www.grupoenergiadebogota.com/</w:t>
      </w:r>
    </w:p>
    <w:p w14:paraId="6AFA529D" w14:textId="77777777" w:rsidR="0085737E" w:rsidRPr="00D369AA" w:rsidRDefault="0085737E" w:rsidP="0085737E">
      <w:pPr>
        <w:pStyle w:val="Prrafodelista"/>
        <w:ind w:left="720" w:right="51"/>
        <w:rPr>
          <w:lang w:val="es-CO"/>
        </w:rPr>
      </w:pPr>
    </w:p>
    <w:p w14:paraId="20402F5F" w14:textId="4670C8E6" w:rsidR="0085737E" w:rsidRPr="00D369AA" w:rsidRDefault="0085737E" w:rsidP="0085737E">
      <w:pPr>
        <w:pStyle w:val="Ttulo3"/>
        <w:rPr>
          <w:lang w:val="es-CO"/>
        </w:rPr>
      </w:pPr>
      <w:r w:rsidRPr="00D369AA">
        <w:rPr>
          <w:lang w:val="es-CO"/>
        </w:rPr>
        <w:t>Soluciones Energéticas Urbanas (SEU)</w:t>
      </w:r>
      <w:r w:rsidRPr="00D369AA">
        <w:rPr>
          <w:rStyle w:val="Refdenotaalpie"/>
          <w:b w:val="0"/>
          <w:bCs w:val="0"/>
          <w:i w:val="0"/>
          <w:szCs w:val="24"/>
          <w:lang w:val="es-CO"/>
        </w:rPr>
        <w:t xml:space="preserve"> </w:t>
      </w:r>
    </w:p>
    <w:p w14:paraId="3D81480F" w14:textId="5A940061" w:rsidR="0085737E" w:rsidRPr="00D369AA" w:rsidRDefault="0085737E" w:rsidP="0085737E">
      <w:pPr>
        <w:shd w:val="clear" w:color="auto" w:fill="FFFFFF"/>
        <w:ind w:left="255"/>
        <w:textAlignment w:val="baseline"/>
        <w:rPr>
          <w:bCs/>
          <w:i/>
          <w:szCs w:val="24"/>
          <w:lang w:val="es-CO"/>
        </w:rPr>
      </w:pPr>
      <w:r w:rsidRPr="00D369AA">
        <w:rPr>
          <w:bCs/>
          <w:i/>
          <w:szCs w:val="24"/>
          <w:lang w:val="es-CO"/>
        </w:rPr>
        <w:t>Este grupo de negocios tiene como foco desarrollar y operar la infraestructura necesaria para atender la demanda de energía eléctrica y gas natural de las grandes ciudades, con alto consumo energético y sus áreas de influencia (hoy, Bogotá y Lima), a través de compañías como</w:t>
      </w:r>
      <w:r w:rsidR="003E7D32" w:rsidRPr="00D369AA">
        <w:rPr>
          <w:bCs/>
          <w:i/>
          <w:szCs w:val="24"/>
          <w:lang w:val="es-CO"/>
        </w:rPr>
        <w:t xml:space="preserve"> </w:t>
      </w:r>
      <w:hyperlink r:id="rId14" w:tgtFrame="_blank" w:history="1">
        <w:proofErr w:type="spellStart"/>
        <w:r w:rsidRPr="00D369AA">
          <w:rPr>
            <w:bCs/>
            <w:i/>
            <w:szCs w:val="24"/>
            <w:lang w:val="es-CO"/>
          </w:rPr>
          <w:t>Codensa</w:t>
        </w:r>
        <w:proofErr w:type="spellEnd"/>
      </w:hyperlink>
      <w:r w:rsidRPr="00D369AA">
        <w:rPr>
          <w:bCs/>
          <w:i/>
          <w:szCs w:val="24"/>
          <w:lang w:val="es-CO"/>
        </w:rPr>
        <w:t>, </w:t>
      </w:r>
      <w:proofErr w:type="spellStart"/>
      <w:r w:rsidR="00C93CBD">
        <w:fldChar w:fldCharType="begin"/>
      </w:r>
      <w:r w:rsidR="00C93CBD">
        <w:instrText xml:space="preserve"> HYPERLINK "http://www.grupoenergiadebogota.com/nuestras-empresas/empresas-controladas/calidda" \t "_blank" </w:instrText>
      </w:r>
      <w:r w:rsidR="00C93CBD">
        <w:fldChar w:fldCharType="separate"/>
      </w:r>
      <w:r w:rsidRPr="00D369AA">
        <w:rPr>
          <w:bCs/>
          <w:i/>
          <w:szCs w:val="24"/>
          <w:lang w:val="es-CO"/>
        </w:rPr>
        <w:t>Calidda</w:t>
      </w:r>
      <w:proofErr w:type="spellEnd"/>
      <w:r w:rsidR="00C93CBD">
        <w:rPr>
          <w:bCs/>
          <w:i/>
          <w:szCs w:val="24"/>
          <w:lang w:val="es-CO"/>
        </w:rPr>
        <w:fldChar w:fldCharType="end"/>
      </w:r>
      <w:r w:rsidRPr="00D369AA">
        <w:rPr>
          <w:bCs/>
          <w:i/>
          <w:szCs w:val="24"/>
          <w:lang w:val="es-CO"/>
        </w:rPr>
        <w:t>, </w:t>
      </w:r>
      <w:hyperlink r:id="rId15" w:tgtFrame="_blank" w:history="1">
        <w:r w:rsidRPr="00D369AA">
          <w:rPr>
            <w:bCs/>
            <w:i/>
            <w:szCs w:val="24"/>
            <w:lang w:val="es-CO"/>
          </w:rPr>
          <w:t>Gas Natural</w:t>
        </w:r>
      </w:hyperlink>
      <w:r w:rsidRPr="00D369AA">
        <w:rPr>
          <w:bCs/>
          <w:i/>
          <w:szCs w:val="24"/>
          <w:lang w:val="es-CO"/>
        </w:rPr>
        <w:t> y </w:t>
      </w:r>
      <w:proofErr w:type="spellStart"/>
      <w:r w:rsidR="00C93CBD">
        <w:fldChar w:fldCharType="begin"/>
      </w:r>
      <w:r w:rsidR="00C93CBD">
        <w:instrText xml:space="preserve"> HYPERLINK "http://www.grupoenergiadebogota.com/nuestras-empresas/empresas-controladas/contugas" \t "_blank" </w:instrText>
      </w:r>
      <w:r w:rsidR="00C93CBD">
        <w:fldChar w:fldCharType="separate"/>
      </w:r>
      <w:r w:rsidRPr="00D369AA">
        <w:rPr>
          <w:bCs/>
          <w:i/>
          <w:szCs w:val="24"/>
          <w:lang w:val="es-CO"/>
        </w:rPr>
        <w:t>Contugas</w:t>
      </w:r>
      <w:proofErr w:type="spellEnd"/>
      <w:r w:rsidR="00C93CBD">
        <w:rPr>
          <w:bCs/>
          <w:i/>
          <w:szCs w:val="24"/>
          <w:lang w:val="es-CO"/>
        </w:rPr>
        <w:fldChar w:fldCharType="end"/>
      </w:r>
      <w:r w:rsidRPr="00D369AA">
        <w:rPr>
          <w:bCs/>
          <w:i/>
          <w:szCs w:val="24"/>
          <w:lang w:val="es-CO"/>
        </w:rPr>
        <w:t>.</w:t>
      </w:r>
      <w:r w:rsidR="00032111" w:rsidRPr="00D369AA">
        <w:rPr>
          <w:rStyle w:val="Refdenotaalpie"/>
          <w:b/>
          <w:bCs/>
          <w:i/>
          <w:szCs w:val="24"/>
          <w:lang w:val="es-CO"/>
        </w:rPr>
        <w:t xml:space="preserve"> </w:t>
      </w:r>
      <w:r w:rsidR="00032111" w:rsidRPr="00D369AA">
        <w:rPr>
          <w:rStyle w:val="Refdenotaalpie"/>
          <w:b/>
          <w:bCs/>
          <w:i/>
          <w:szCs w:val="24"/>
          <w:lang w:val="es-CO"/>
        </w:rPr>
        <w:footnoteReference w:id="14"/>
      </w:r>
    </w:p>
    <w:p w14:paraId="22F639EB" w14:textId="77777777" w:rsidR="0085737E" w:rsidRPr="00D369AA" w:rsidRDefault="0085737E" w:rsidP="0085737E">
      <w:pPr>
        <w:rPr>
          <w:lang w:val="es-CO"/>
        </w:rPr>
      </w:pPr>
    </w:p>
    <w:p w14:paraId="5B18AC22" w14:textId="77777777" w:rsidR="0085737E" w:rsidRPr="00D369AA" w:rsidRDefault="0085737E" w:rsidP="0085737E">
      <w:pPr>
        <w:pStyle w:val="Prrafodelista"/>
        <w:ind w:left="720" w:right="51"/>
        <w:rPr>
          <w:rFonts w:cs="Arial"/>
          <w:i/>
          <w:lang w:val="es-CO"/>
        </w:rPr>
      </w:pPr>
      <w:proofErr w:type="spellStart"/>
      <w:r w:rsidRPr="00D369AA">
        <w:rPr>
          <w:rFonts w:cs="Arial"/>
          <w:b/>
          <w:i/>
          <w:lang w:val="es-CO"/>
        </w:rPr>
        <w:lastRenderedPageBreak/>
        <w:t>Codensa</w:t>
      </w:r>
      <w:proofErr w:type="spellEnd"/>
      <w:r w:rsidRPr="00D369AA">
        <w:rPr>
          <w:rFonts w:cs="Arial"/>
          <w:b/>
          <w:i/>
          <w:lang w:val="es-CO"/>
        </w:rPr>
        <w:t>:</w:t>
      </w:r>
      <w:r w:rsidRPr="00D369AA">
        <w:rPr>
          <w:lang w:val="es-CO"/>
        </w:rPr>
        <w:t xml:space="preserve"> </w:t>
      </w:r>
      <w:r w:rsidRPr="00D369AA">
        <w:rPr>
          <w:rFonts w:cs="Arial"/>
          <w:i/>
          <w:lang w:val="es-CO"/>
        </w:rPr>
        <w:t>Empresa colombiana, dedicada a la distribución y comercialización de energía eléctrica, líder en el mercado nacional con el 24% de la participación total.</w:t>
      </w:r>
    </w:p>
    <w:p w14:paraId="5C90844B" w14:textId="77777777" w:rsidR="0085737E" w:rsidRPr="00D369AA" w:rsidRDefault="0085737E" w:rsidP="0085737E">
      <w:pPr>
        <w:pStyle w:val="Prrafodelista"/>
        <w:ind w:left="720" w:right="51"/>
        <w:rPr>
          <w:rFonts w:cs="Arial"/>
          <w:i/>
          <w:lang w:val="es-CO"/>
        </w:rPr>
      </w:pPr>
      <w:r w:rsidRPr="00D369AA">
        <w:rPr>
          <w:rFonts w:cs="Arial"/>
          <w:i/>
          <w:lang w:val="es-CO"/>
        </w:rPr>
        <w:t>Fue creada en 1997 como resultado del proceso de capitalización de la Empresa de Energía de Bogotá.</w:t>
      </w:r>
    </w:p>
    <w:p w14:paraId="2F301953" w14:textId="77777777" w:rsidR="001B0FCF" w:rsidRPr="00D369AA" w:rsidRDefault="001B0FCF" w:rsidP="0085737E">
      <w:pPr>
        <w:pStyle w:val="Prrafodelista"/>
        <w:ind w:left="720" w:right="51"/>
        <w:jc w:val="center"/>
        <w:rPr>
          <w:rFonts w:cs="Arial"/>
          <w:b/>
          <w:i/>
          <w:lang w:val="es-CO"/>
        </w:rPr>
      </w:pPr>
    </w:p>
    <w:p w14:paraId="63484417" w14:textId="7A281B19" w:rsidR="001B0FCF" w:rsidRPr="00D369AA" w:rsidRDefault="001B0FCF" w:rsidP="001B0FCF">
      <w:pPr>
        <w:pStyle w:val="Epgrafe"/>
        <w:rPr>
          <w:lang w:val="es-CO"/>
        </w:rPr>
      </w:pPr>
      <w:proofErr w:type="spellStart"/>
      <w:r w:rsidRPr="00D369AA">
        <w:rPr>
          <w:lang w:val="es-CO"/>
        </w:rPr>
        <w:t>Codensa</w:t>
      </w:r>
      <w:proofErr w:type="spellEnd"/>
      <w:r w:rsidRPr="00D369AA">
        <w:rPr>
          <w:lang w:val="es-CO"/>
        </w:rPr>
        <w:t xml:space="preserve"> S.A. E.S.P.</w:t>
      </w:r>
    </w:p>
    <w:p w14:paraId="6669165F" w14:textId="77777777" w:rsidR="0085737E" w:rsidRPr="00D369AA" w:rsidRDefault="0085737E" w:rsidP="001B0FCF">
      <w:pPr>
        <w:pStyle w:val="Epgrafe"/>
        <w:rPr>
          <w:rFonts w:cs="Arial"/>
          <w:b w:val="0"/>
          <w:i w:val="0"/>
          <w:lang w:val="es-CO"/>
        </w:rPr>
      </w:pPr>
      <w:r w:rsidRPr="00D369AA">
        <w:rPr>
          <w:rFonts w:cs="Arial"/>
          <w:b w:val="0"/>
          <w:i w:val="0"/>
          <w:noProof/>
          <w:lang w:val="es-CO" w:eastAsia="es-CO"/>
        </w:rPr>
        <w:drawing>
          <wp:inline distT="0" distB="0" distL="0" distR="0" wp14:anchorId="779EF62A" wp14:editId="2856ACD5">
            <wp:extent cx="3281393" cy="3567008"/>
            <wp:effectExtent l="19050" t="19050" r="14605" b="146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597" cy="3572665"/>
                    </a:xfrm>
                    <a:prstGeom prst="rect">
                      <a:avLst/>
                    </a:prstGeom>
                    <a:noFill/>
                    <a:ln>
                      <a:solidFill>
                        <a:schemeClr val="tx1"/>
                      </a:solidFill>
                    </a:ln>
                  </pic:spPr>
                </pic:pic>
              </a:graphicData>
            </a:graphic>
          </wp:inline>
        </w:drawing>
      </w:r>
    </w:p>
    <w:p w14:paraId="688C298E" w14:textId="126D41A7" w:rsidR="0085737E" w:rsidRPr="00D369AA" w:rsidRDefault="0085737E" w:rsidP="0085737E">
      <w:pPr>
        <w:pStyle w:val="Citadestacada"/>
        <w:rPr>
          <w:b/>
          <w:i/>
          <w:lang w:val="es-CO"/>
        </w:rPr>
      </w:pPr>
      <w:r w:rsidRPr="00D369AA">
        <w:rPr>
          <w:lang w:val="es-CO"/>
        </w:rPr>
        <w:t xml:space="preserve">Fuente: </w:t>
      </w:r>
      <w:r w:rsidR="0041714A" w:rsidRPr="0041714A">
        <w:rPr>
          <w:lang w:val="es-CO"/>
        </w:rPr>
        <w:t>http://www.grupoenergiadebogota.com/grupos-estrategicos/soluciones-energeticas-urbanas2/codensa</w:t>
      </w:r>
    </w:p>
    <w:p w14:paraId="64230DC4" w14:textId="77777777" w:rsidR="0085737E" w:rsidRPr="00D369AA" w:rsidRDefault="0085737E" w:rsidP="0085737E">
      <w:pPr>
        <w:rPr>
          <w:lang w:val="es-CO"/>
        </w:rPr>
      </w:pPr>
    </w:p>
    <w:p w14:paraId="2FD40899" w14:textId="5A2D5B2C" w:rsidR="0085737E" w:rsidRPr="00D369AA" w:rsidRDefault="0085737E" w:rsidP="0085737E">
      <w:pPr>
        <w:pStyle w:val="Prrafodelista"/>
        <w:ind w:left="720" w:right="51"/>
        <w:rPr>
          <w:i/>
          <w:lang w:val="es-CO"/>
        </w:rPr>
      </w:pPr>
      <w:proofErr w:type="spellStart"/>
      <w:r w:rsidRPr="00D369AA">
        <w:rPr>
          <w:b/>
          <w:i/>
          <w:lang w:val="es-CO"/>
        </w:rPr>
        <w:t>Calidda</w:t>
      </w:r>
      <w:proofErr w:type="spellEnd"/>
      <w:r w:rsidRPr="00D369AA">
        <w:rPr>
          <w:b/>
          <w:i/>
          <w:lang w:val="es-CO"/>
        </w:rPr>
        <w:t xml:space="preserve"> (Gas Natural de Lima y Callao)</w:t>
      </w:r>
      <w:r w:rsidRPr="00D369AA">
        <w:rPr>
          <w:b/>
          <w:lang w:val="es-CO"/>
        </w:rPr>
        <w:t>:</w:t>
      </w:r>
      <w:r w:rsidRPr="00D369AA">
        <w:rPr>
          <w:lang w:val="es-CO"/>
        </w:rPr>
        <w:t xml:space="preserve"> </w:t>
      </w:r>
      <w:r w:rsidRPr="00D369AA">
        <w:rPr>
          <w:bCs/>
          <w:i/>
          <w:szCs w:val="24"/>
          <w:lang w:val="es-CO"/>
        </w:rPr>
        <w:t xml:space="preserve">El objeto social de </w:t>
      </w:r>
      <w:proofErr w:type="spellStart"/>
      <w:r w:rsidRPr="00D369AA">
        <w:rPr>
          <w:bCs/>
          <w:i/>
          <w:szCs w:val="24"/>
          <w:lang w:val="es-CO"/>
        </w:rPr>
        <w:t>Calidda</w:t>
      </w:r>
      <w:proofErr w:type="spellEnd"/>
      <w:r w:rsidRPr="00D369AA">
        <w:rPr>
          <w:bCs/>
          <w:i/>
          <w:szCs w:val="24"/>
          <w:lang w:val="es-CO"/>
        </w:rPr>
        <w:t xml:space="preserve"> es la distribución de gas natural por red de ductos, también realiza</w:t>
      </w:r>
      <w:r w:rsidR="003E7D32" w:rsidRPr="00D369AA">
        <w:rPr>
          <w:bCs/>
          <w:i/>
          <w:szCs w:val="24"/>
          <w:lang w:val="es-CO"/>
        </w:rPr>
        <w:t xml:space="preserve"> </w:t>
      </w:r>
      <w:r w:rsidRPr="00D369AA">
        <w:rPr>
          <w:bCs/>
          <w:i/>
          <w:szCs w:val="24"/>
          <w:lang w:val="es-CO"/>
        </w:rPr>
        <w:t xml:space="preserve">comercialización y el suministro de equipos y artefactos, la prestación o realización de servicios de operación, construcción y mantenimiento y otras actividades vinculadas a los hidrocarburos y su distribución </w:t>
      </w:r>
    </w:p>
    <w:p w14:paraId="745A9ABD" w14:textId="77777777" w:rsidR="0085737E" w:rsidRPr="00D369AA" w:rsidRDefault="0085737E" w:rsidP="0085737E">
      <w:pPr>
        <w:pStyle w:val="Prrafodelista"/>
        <w:ind w:left="720" w:right="51"/>
        <w:rPr>
          <w:lang w:val="es-CO"/>
        </w:rPr>
      </w:pPr>
    </w:p>
    <w:p w14:paraId="3E34DAFF" w14:textId="2FF5982A" w:rsidR="0085737E" w:rsidRPr="00D369AA" w:rsidRDefault="0085737E" w:rsidP="0085737E">
      <w:pPr>
        <w:pStyle w:val="Epgrafe"/>
        <w:rPr>
          <w:b w:val="0"/>
          <w:lang w:val="es-CO"/>
        </w:rPr>
      </w:pPr>
      <w:r w:rsidRPr="00D369AA">
        <w:rPr>
          <w:lang w:val="es-CO"/>
        </w:rPr>
        <w:lastRenderedPageBreak/>
        <w:t xml:space="preserve">Gas </w:t>
      </w:r>
      <w:r w:rsidR="00032111" w:rsidRPr="00D369AA">
        <w:rPr>
          <w:lang w:val="es-CO"/>
        </w:rPr>
        <w:t xml:space="preserve">Natural </w:t>
      </w:r>
      <w:r w:rsidRPr="00D369AA">
        <w:rPr>
          <w:lang w:val="es-CO"/>
        </w:rPr>
        <w:t>de Lima y Callao S.A. (</w:t>
      </w:r>
      <w:proofErr w:type="spellStart"/>
      <w:r w:rsidRPr="00D369AA">
        <w:rPr>
          <w:lang w:val="es-CO"/>
        </w:rPr>
        <w:t>Calidda</w:t>
      </w:r>
      <w:proofErr w:type="spellEnd"/>
      <w:r w:rsidRPr="00D369AA">
        <w:rPr>
          <w:lang w:val="es-CO"/>
        </w:rPr>
        <w:t>)</w:t>
      </w:r>
    </w:p>
    <w:p w14:paraId="0CC2507E" w14:textId="77777777" w:rsidR="0085737E" w:rsidRPr="00D369AA" w:rsidRDefault="0085737E" w:rsidP="0085737E">
      <w:pPr>
        <w:pStyle w:val="Prrafodelista"/>
        <w:ind w:left="720" w:right="51"/>
        <w:jc w:val="center"/>
        <w:rPr>
          <w:lang w:val="es-CO"/>
        </w:rPr>
      </w:pPr>
      <w:r w:rsidRPr="00D369AA">
        <w:rPr>
          <w:noProof/>
          <w:lang w:val="es-CO" w:eastAsia="es-CO"/>
        </w:rPr>
        <w:drawing>
          <wp:inline distT="0" distB="0" distL="0" distR="0" wp14:anchorId="20313FB9" wp14:editId="1C66559B">
            <wp:extent cx="3810000" cy="3374775"/>
            <wp:effectExtent l="19050" t="19050" r="19050" b="165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1398" cy="3384871"/>
                    </a:xfrm>
                    <a:prstGeom prst="rect">
                      <a:avLst/>
                    </a:prstGeom>
                    <a:noFill/>
                    <a:ln w="22225">
                      <a:solidFill>
                        <a:schemeClr val="tx1"/>
                      </a:solidFill>
                    </a:ln>
                  </pic:spPr>
                </pic:pic>
              </a:graphicData>
            </a:graphic>
          </wp:inline>
        </w:drawing>
      </w:r>
    </w:p>
    <w:p w14:paraId="15969BD0" w14:textId="486B5BE1" w:rsidR="0085737E" w:rsidRPr="00D369AA" w:rsidRDefault="0085737E" w:rsidP="0085737E">
      <w:pPr>
        <w:pStyle w:val="Citadestacada"/>
        <w:rPr>
          <w:rFonts w:cs="Arial"/>
          <w:i/>
          <w:sz w:val="20"/>
          <w:lang w:val="es-CO"/>
        </w:rPr>
      </w:pPr>
      <w:r w:rsidRPr="00D369AA">
        <w:rPr>
          <w:lang w:val="es-CO"/>
        </w:rPr>
        <w:t>Fuente:</w:t>
      </w:r>
      <w:r w:rsidR="0041714A">
        <w:rPr>
          <w:lang w:val="es-CO"/>
        </w:rPr>
        <w:t xml:space="preserve"> </w:t>
      </w:r>
      <w:r w:rsidR="0041714A" w:rsidRPr="0041714A">
        <w:rPr>
          <w:lang w:val="es-CO"/>
        </w:rPr>
        <w:t>http://www.grupoenergiadebogota.com/grupos-estrategicos/soluciones-energeticas-urbanas2/calidda</w:t>
      </w:r>
    </w:p>
    <w:p w14:paraId="4DE42A37" w14:textId="77777777" w:rsidR="0085737E" w:rsidRPr="00D369AA" w:rsidRDefault="0085737E" w:rsidP="0085737E">
      <w:pPr>
        <w:ind w:right="476"/>
        <w:rPr>
          <w:rFonts w:cs="Arial"/>
          <w:i/>
          <w:sz w:val="20"/>
          <w:lang w:val="es-CO"/>
        </w:rPr>
      </w:pPr>
    </w:p>
    <w:p w14:paraId="45346DE6" w14:textId="77777777" w:rsidR="0085737E" w:rsidRPr="00D369AA" w:rsidRDefault="0085737E" w:rsidP="0085737E">
      <w:pPr>
        <w:pStyle w:val="Prrafodelista"/>
        <w:ind w:left="720" w:right="51"/>
        <w:rPr>
          <w:lang w:val="es-CO"/>
        </w:rPr>
      </w:pPr>
    </w:p>
    <w:p w14:paraId="0768FC4E" w14:textId="77777777" w:rsidR="0085737E" w:rsidRPr="00D369AA" w:rsidRDefault="0085737E" w:rsidP="0085737E">
      <w:pPr>
        <w:pStyle w:val="Prrafodelista"/>
        <w:ind w:left="720" w:right="51"/>
        <w:rPr>
          <w:b/>
          <w:i/>
          <w:lang w:val="es-CO"/>
        </w:rPr>
      </w:pPr>
      <w:r w:rsidRPr="00D369AA">
        <w:rPr>
          <w:b/>
          <w:i/>
          <w:lang w:val="es-CO"/>
        </w:rPr>
        <w:t>Gas Natural Fenosa S.A. E</w:t>
      </w:r>
      <w:r w:rsidR="001B0FCF" w:rsidRPr="00D369AA">
        <w:rPr>
          <w:b/>
          <w:i/>
          <w:lang w:val="es-CO"/>
        </w:rPr>
        <w:t>.</w:t>
      </w:r>
      <w:r w:rsidRPr="00D369AA">
        <w:rPr>
          <w:b/>
          <w:i/>
          <w:lang w:val="es-CO"/>
        </w:rPr>
        <w:t>S</w:t>
      </w:r>
      <w:r w:rsidR="001B0FCF" w:rsidRPr="00D369AA">
        <w:rPr>
          <w:b/>
          <w:i/>
          <w:lang w:val="es-CO"/>
        </w:rPr>
        <w:t>.</w:t>
      </w:r>
      <w:r w:rsidRPr="00D369AA">
        <w:rPr>
          <w:b/>
          <w:i/>
          <w:lang w:val="es-CO"/>
        </w:rPr>
        <w:t>P</w:t>
      </w:r>
      <w:r w:rsidR="001B0FCF" w:rsidRPr="00D369AA">
        <w:rPr>
          <w:b/>
          <w:i/>
          <w:lang w:val="es-CO"/>
        </w:rPr>
        <w:t>.</w:t>
      </w:r>
    </w:p>
    <w:p w14:paraId="61A3F774" w14:textId="77777777" w:rsidR="0085737E" w:rsidRPr="00D369AA" w:rsidRDefault="0085737E" w:rsidP="0085737E">
      <w:pPr>
        <w:pStyle w:val="Prrafodelista"/>
        <w:ind w:left="720" w:right="51"/>
        <w:rPr>
          <w:bCs/>
          <w:i/>
          <w:szCs w:val="24"/>
          <w:lang w:val="es-CO"/>
        </w:rPr>
      </w:pPr>
      <w:r w:rsidRPr="00D369AA">
        <w:rPr>
          <w:bCs/>
          <w:i/>
          <w:szCs w:val="24"/>
          <w:lang w:val="es-CO"/>
        </w:rPr>
        <w:t>El objeto de esta empresa es la distribución y comercialización de gas natural, así como la ejecución de las actividades de exploración, producción, generación, transporte y/o transmisión, distribución y comercialización de cualquier tipo de energía</w:t>
      </w:r>
      <w:r w:rsidRPr="00D369AA">
        <w:rPr>
          <w:rStyle w:val="Refdenotaalpie"/>
          <w:bCs/>
          <w:i/>
          <w:szCs w:val="24"/>
          <w:lang w:val="es-CO"/>
        </w:rPr>
        <w:footnoteReference w:id="15"/>
      </w:r>
      <w:r w:rsidRPr="00D369AA">
        <w:rPr>
          <w:bCs/>
          <w:i/>
          <w:szCs w:val="24"/>
          <w:lang w:val="es-CO"/>
        </w:rPr>
        <w:t>.</w:t>
      </w:r>
    </w:p>
    <w:p w14:paraId="73D69808" w14:textId="77777777" w:rsidR="0085737E" w:rsidRPr="00D369AA" w:rsidRDefault="0085737E" w:rsidP="0085737E">
      <w:pPr>
        <w:pStyle w:val="Prrafodelista"/>
        <w:ind w:left="720" w:right="51"/>
        <w:rPr>
          <w:bCs/>
          <w:i/>
          <w:szCs w:val="24"/>
          <w:lang w:val="es-CO"/>
        </w:rPr>
      </w:pPr>
    </w:p>
    <w:p w14:paraId="0A935F59" w14:textId="7BDB62DD" w:rsidR="0085737E" w:rsidRPr="00D369AA" w:rsidRDefault="0085737E" w:rsidP="0085737E">
      <w:pPr>
        <w:pStyle w:val="Epgrafe"/>
        <w:rPr>
          <w:lang w:val="es-CO"/>
        </w:rPr>
      </w:pPr>
      <w:r w:rsidRPr="00D369AA">
        <w:rPr>
          <w:lang w:val="es-CO"/>
        </w:rPr>
        <w:lastRenderedPageBreak/>
        <w:t>Gas Natural Fenosa S.A. ESP</w:t>
      </w:r>
    </w:p>
    <w:p w14:paraId="52BD974C" w14:textId="77777777" w:rsidR="0085737E" w:rsidRPr="00D369AA" w:rsidRDefault="0085737E" w:rsidP="0085737E">
      <w:pPr>
        <w:pStyle w:val="Prrafodelista"/>
        <w:ind w:left="720" w:right="51"/>
        <w:jc w:val="center"/>
        <w:rPr>
          <w:bCs/>
          <w:i/>
          <w:szCs w:val="24"/>
          <w:lang w:val="es-CO"/>
        </w:rPr>
      </w:pPr>
      <w:r w:rsidRPr="00D369AA">
        <w:rPr>
          <w:bCs/>
          <w:i/>
          <w:noProof/>
          <w:szCs w:val="24"/>
          <w:lang w:val="es-CO" w:eastAsia="es-CO"/>
        </w:rPr>
        <w:drawing>
          <wp:inline distT="0" distB="0" distL="0" distR="0" wp14:anchorId="1CEED408" wp14:editId="1148FDA4">
            <wp:extent cx="3438525" cy="3483515"/>
            <wp:effectExtent l="19050" t="19050" r="9525" b="222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765" cy="3494902"/>
                    </a:xfrm>
                    <a:prstGeom prst="rect">
                      <a:avLst/>
                    </a:prstGeom>
                    <a:noFill/>
                    <a:ln w="22225">
                      <a:solidFill>
                        <a:schemeClr val="tx1"/>
                      </a:solidFill>
                    </a:ln>
                  </pic:spPr>
                </pic:pic>
              </a:graphicData>
            </a:graphic>
          </wp:inline>
        </w:drawing>
      </w:r>
    </w:p>
    <w:p w14:paraId="4E6220C4" w14:textId="698584C5" w:rsidR="0085737E" w:rsidRPr="00D369AA" w:rsidRDefault="0085737E" w:rsidP="0085737E">
      <w:pPr>
        <w:pStyle w:val="Citadestacada"/>
        <w:rPr>
          <w:i/>
          <w:szCs w:val="24"/>
          <w:lang w:val="es-CO"/>
        </w:rPr>
      </w:pPr>
      <w:r w:rsidRPr="00D369AA">
        <w:rPr>
          <w:lang w:val="es-CO"/>
        </w:rPr>
        <w:t xml:space="preserve">Fuente: </w:t>
      </w:r>
      <w:r w:rsidR="0041714A" w:rsidRPr="0041714A">
        <w:rPr>
          <w:lang w:val="es-CO"/>
        </w:rPr>
        <w:t>http://www.grupoenergiadebogota.com/grupos-estrategicos/soluciones-energeticas-urbanas2/gas-natural</w:t>
      </w:r>
    </w:p>
    <w:p w14:paraId="258FD719" w14:textId="77777777" w:rsidR="0085737E" w:rsidRPr="00D369AA" w:rsidRDefault="0085737E" w:rsidP="0085737E">
      <w:pPr>
        <w:pStyle w:val="Prrafodelista"/>
        <w:ind w:left="720" w:right="51"/>
        <w:rPr>
          <w:bCs/>
          <w:szCs w:val="24"/>
          <w:lang w:val="es-CO"/>
        </w:rPr>
      </w:pPr>
    </w:p>
    <w:p w14:paraId="1A3B9008" w14:textId="77777777" w:rsidR="0085737E" w:rsidRPr="00D369AA" w:rsidRDefault="0085737E" w:rsidP="0085737E">
      <w:pPr>
        <w:pStyle w:val="Prrafodelista"/>
        <w:ind w:left="720" w:right="51"/>
        <w:rPr>
          <w:b/>
          <w:i/>
          <w:lang w:val="es-CO"/>
        </w:rPr>
      </w:pPr>
      <w:proofErr w:type="spellStart"/>
      <w:r w:rsidRPr="00D369AA">
        <w:rPr>
          <w:b/>
          <w:i/>
          <w:lang w:val="es-CO"/>
        </w:rPr>
        <w:t>Contugas</w:t>
      </w:r>
      <w:proofErr w:type="spellEnd"/>
      <w:r w:rsidRPr="00D369AA">
        <w:rPr>
          <w:b/>
          <w:i/>
          <w:lang w:val="es-CO"/>
        </w:rPr>
        <w:t xml:space="preserve"> S.A.C.</w:t>
      </w:r>
    </w:p>
    <w:p w14:paraId="7A11545A" w14:textId="77777777" w:rsidR="0085737E" w:rsidRPr="00D369AA" w:rsidRDefault="0085737E" w:rsidP="0085737E">
      <w:pPr>
        <w:pStyle w:val="Prrafodelista"/>
        <w:ind w:left="720" w:right="51"/>
        <w:rPr>
          <w:bCs/>
          <w:i/>
          <w:szCs w:val="24"/>
          <w:lang w:val="es-CO"/>
        </w:rPr>
      </w:pPr>
      <w:r w:rsidRPr="00D369AA">
        <w:rPr>
          <w:bCs/>
          <w:i/>
          <w:szCs w:val="24"/>
          <w:lang w:val="es-CO"/>
        </w:rPr>
        <w:t xml:space="preserve">El objeto social de </w:t>
      </w:r>
      <w:proofErr w:type="spellStart"/>
      <w:r w:rsidRPr="00D369AA">
        <w:rPr>
          <w:bCs/>
          <w:i/>
          <w:szCs w:val="24"/>
          <w:lang w:val="es-CO"/>
        </w:rPr>
        <w:t>Contugas</w:t>
      </w:r>
      <w:proofErr w:type="spellEnd"/>
      <w:r w:rsidRPr="00D369AA">
        <w:rPr>
          <w:bCs/>
          <w:i/>
          <w:szCs w:val="24"/>
          <w:lang w:val="es-CO"/>
        </w:rPr>
        <w:t xml:space="preserve"> es la generación, transmisión, distribución y comercialización de energía, incluido el gas y combustibles en todas sus formas</w:t>
      </w:r>
      <w:r w:rsidRPr="00D369AA">
        <w:rPr>
          <w:rStyle w:val="Refdenotaalpie"/>
          <w:bCs/>
          <w:i/>
          <w:szCs w:val="24"/>
          <w:lang w:val="es-CO"/>
        </w:rPr>
        <w:footnoteReference w:id="16"/>
      </w:r>
      <w:r w:rsidRPr="00D369AA">
        <w:rPr>
          <w:bCs/>
          <w:i/>
          <w:szCs w:val="24"/>
          <w:lang w:val="es-CO"/>
        </w:rPr>
        <w:t>.</w:t>
      </w:r>
    </w:p>
    <w:p w14:paraId="2DA20E3C" w14:textId="2A6CAFCC" w:rsidR="001B0FCF" w:rsidRPr="00D369AA" w:rsidRDefault="001B0FCF" w:rsidP="001B0FCF">
      <w:pPr>
        <w:pStyle w:val="Epgrafe"/>
        <w:rPr>
          <w:bCs w:val="0"/>
          <w:szCs w:val="24"/>
          <w:lang w:val="es-CO"/>
        </w:rPr>
      </w:pPr>
      <w:proofErr w:type="spellStart"/>
      <w:r w:rsidRPr="00D369AA">
        <w:rPr>
          <w:lang w:val="es-CO"/>
        </w:rPr>
        <w:lastRenderedPageBreak/>
        <w:t>Contugas</w:t>
      </w:r>
      <w:proofErr w:type="spellEnd"/>
      <w:r w:rsidRPr="00D369AA">
        <w:rPr>
          <w:lang w:val="es-CO"/>
        </w:rPr>
        <w:t xml:space="preserve"> S.A.C.</w:t>
      </w:r>
    </w:p>
    <w:p w14:paraId="3D08EC5D" w14:textId="77777777" w:rsidR="00553CD5" w:rsidRPr="00D369AA" w:rsidRDefault="00553CD5" w:rsidP="00907EB5">
      <w:pPr>
        <w:pStyle w:val="Prrafodelista"/>
        <w:spacing w:after="0"/>
        <w:ind w:left="720" w:right="51"/>
        <w:jc w:val="center"/>
        <w:rPr>
          <w:bCs/>
          <w:i/>
          <w:szCs w:val="24"/>
          <w:lang w:val="es-CO"/>
        </w:rPr>
      </w:pPr>
      <w:r w:rsidRPr="00D369AA">
        <w:rPr>
          <w:noProof/>
          <w:lang w:val="es-CO" w:eastAsia="es-CO"/>
        </w:rPr>
        <w:drawing>
          <wp:inline distT="0" distB="0" distL="0" distR="0" wp14:anchorId="6EB60FBC" wp14:editId="6BC9A3A2">
            <wp:extent cx="3895725" cy="2645410"/>
            <wp:effectExtent l="19050" t="19050" r="28575"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6597" cy="2646002"/>
                    </a:xfrm>
                    <a:prstGeom prst="rect">
                      <a:avLst/>
                    </a:prstGeom>
                    <a:noFill/>
                    <a:ln>
                      <a:solidFill>
                        <a:schemeClr val="tx1"/>
                      </a:solidFill>
                    </a:ln>
                  </pic:spPr>
                </pic:pic>
              </a:graphicData>
            </a:graphic>
          </wp:inline>
        </w:drawing>
      </w:r>
    </w:p>
    <w:p w14:paraId="1A607A16" w14:textId="77777777" w:rsidR="0085737E" w:rsidRPr="00D369AA" w:rsidRDefault="0085737E" w:rsidP="00907EB5">
      <w:pPr>
        <w:pStyle w:val="Prrafodelista"/>
        <w:spacing w:after="0"/>
        <w:ind w:left="720" w:right="51"/>
        <w:jc w:val="center"/>
        <w:rPr>
          <w:bCs/>
          <w:i/>
          <w:szCs w:val="24"/>
          <w:lang w:val="es-CO"/>
        </w:rPr>
      </w:pPr>
      <w:r w:rsidRPr="00D369AA">
        <w:rPr>
          <w:bCs/>
          <w:i/>
          <w:noProof/>
          <w:szCs w:val="24"/>
          <w:lang w:val="es-CO" w:eastAsia="es-CO"/>
        </w:rPr>
        <w:drawing>
          <wp:inline distT="0" distB="0" distL="0" distR="0" wp14:anchorId="3837420A" wp14:editId="1C8E8746">
            <wp:extent cx="3886200" cy="570865"/>
            <wp:effectExtent l="19050" t="19050" r="19050" b="196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8076" cy="587299"/>
                    </a:xfrm>
                    <a:prstGeom prst="rect">
                      <a:avLst/>
                    </a:prstGeom>
                    <a:noFill/>
                    <a:ln w="22225">
                      <a:solidFill>
                        <a:schemeClr val="tx1"/>
                      </a:solidFill>
                    </a:ln>
                  </pic:spPr>
                </pic:pic>
              </a:graphicData>
            </a:graphic>
          </wp:inline>
        </w:drawing>
      </w:r>
    </w:p>
    <w:p w14:paraId="696C9880" w14:textId="0FAB7537" w:rsidR="0085737E" w:rsidRPr="00D369AA" w:rsidRDefault="00974598" w:rsidP="00974598">
      <w:pPr>
        <w:pStyle w:val="Citadestacada"/>
        <w:rPr>
          <w:lang w:val="es-CO"/>
        </w:rPr>
      </w:pPr>
      <w:r>
        <w:rPr>
          <w:lang w:val="es-CO"/>
        </w:rPr>
        <w:t xml:space="preserve">                 Fuente:</w:t>
      </w:r>
      <w:r w:rsidR="0041714A">
        <w:rPr>
          <w:lang w:val="es-CO"/>
        </w:rPr>
        <w:t xml:space="preserve"> </w:t>
      </w:r>
      <w:r w:rsidR="0041714A" w:rsidRPr="0041714A">
        <w:rPr>
          <w:lang w:val="es-CO"/>
        </w:rPr>
        <w:t>http://www.grupoenergiadebogota.com/grupos-estrategicos/soluciones-energeticas-urbanas2/contugas</w:t>
      </w:r>
    </w:p>
    <w:p w14:paraId="0E03C940" w14:textId="6DE3C5A4" w:rsidR="0041714A" w:rsidRDefault="0041714A" w:rsidP="0041714A">
      <w:pPr>
        <w:pStyle w:val="Ttulo3"/>
      </w:pPr>
      <w:r w:rsidRPr="0041714A">
        <w:t>Interconexión para el Desarrollo de Mercados</w:t>
      </w:r>
      <w:r>
        <w:t xml:space="preserve"> (IDM)</w:t>
      </w:r>
    </w:p>
    <w:p w14:paraId="06234E81" w14:textId="424C671B" w:rsidR="0085737E" w:rsidRPr="00D369AA" w:rsidRDefault="0085737E" w:rsidP="0085737E">
      <w:pPr>
        <w:pStyle w:val="NormalWeb"/>
        <w:shd w:val="clear" w:color="auto" w:fill="FFFFFF"/>
        <w:spacing w:after="0"/>
        <w:ind w:left="255"/>
        <w:textAlignment w:val="baseline"/>
        <w:rPr>
          <w:rFonts w:ascii="Arial" w:hAnsi="Arial"/>
          <w:bCs/>
          <w:i/>
          <w:color w:val="000000"/>
          <w:sz w:val="24"/>
          <w:szCs w:val="24"/>
          <w:lang w:eastAsia="es-ES"/>
        </w:rPr>
      </w:pPr>
      <w:r w:rsidRPr="00D369AA">
        <w:rPr>
          <w:rFonts w:ascii="Arial" w:hAnsi="Arial"/>
          <w:bCs/>
          <w:i/>
          <w:color w:val="000000"/>
          <w:sz w:val="24"/>
          <w:szCs w:val="24"/>
          <w:lang w:eastAsia="es-ES"/>
        </w:rPr>
        <w:t xml:space="preserve">Es el grupo de negocios encargado de conectar las fuentes de generación energética con los grandes centros de consumo y los grandes usuarios. Este eje de negocios tiene el objetivo de consolidar una </w:t>
      </w:r>
      <w:proofErr w:type="spellStart"/>
      <w:r w:rsidRPr="00D369AA">
        <w:rPr>
          <w:rFonts w:ascii="Arial" w:hAnsi="Arial"/>
          <w:bCs/>
          <w:i/>
          <w:color w:val="000000"/>
          <w:sz w:val="24"/>
          <w:szCs w:val="24"/>
          <w:lang w:eastAsia="es-ES"/>
        </w:rPr>
        <w:t>multilatina</w:t>
      </w:r>
      <w:proofErr w:type="spellEnd"/>
      <w:r w:rsidRPr="00D369AA">
        <w:rPr>
          <w:rFonts w:ascii="Arial" w:hAnsi="Arial"/>
          <w:bCs/>
          <w:i/>
          <w:color w:val="000000"/>
          <w:sz w:val="24"/>
          <w:szCs w:val="24"/>
          <w:lang w:eastAsia="es-ES"/>
        </w:rPr>
        <w:t xml:space="preserve"> de transmisión de energía eléctrica </w:t>
      </w:r>
      <w:hyperlink r:id="rId21" w:tgtFrame="_blank" w:history="1">
        <w:r w:rsidRPr="00D369AA">
          <w:rPr>
            <w:rFonts w:ascii="Arial" w:hAnsi="Arial"/>
            <w:bCs/>
            <w:i/>
            <w:color w:val="000000"/>
            <w:sz w:val="24"/>
            <w:szCs w:val="24"/>
            <w:lang w:eastAsia="es-ES"/>
          </w:rPr>
          <w:t>Empresa de Energía de Bogotá</w:t>
        </w:r>
      </w:hyperlink>
      <w:r w:rsidRPr="00D369AA">
        <w:rPr>
          <w:rFonts w:ascii="Arial" w:hAnsi="Arial"/>
          <w:bCs/>
          <w:i/>
          <w:color w:val="000000"/>
          <w:sz w:val="24"/>
          <w:szCs w:val="24"/>
          <w:lang w:eastAsia="es-ES"/>
        </w:rPr>
        <w:t>, </w:t>
      </w:r>
      <w:proofErr w:type="spellStart"/>
      <w:r w:rsidR="00C93CBD">
        <w:fldChar w:fldCharType="begin"/>
      </w:r>
      <w:r w:rsidR="00C93CBD">
        <w:instrText xml:space="preserve"> HYPERLINK "http://www.grupoenergiadebogota.com/nuestras-empresas/empresas-controladas/trecsa" \t "_blank" </w:instrText>
      </w:r>
      <w:r w:rsidR="00C93CBD">
        <w:fldChar w:fldCharType="separate"/>
      </w:r>
      <w:r w:rsidRPr="00D369AA">
        <w:rPr>
          <w:rFonts w:ascii="Arial" w:hAnsi="Arial"/>
          <w:bCs/>
          <w:i/>
          <w:color w:val="000000"/>
          <w:sz w:val="24"/>
          <w:szCs w:val="24"/>
          <w:lang w:eastAsia="es-ES"/>
        </w:rPr>
        <w:t>Trecsa</w:t>
      </w:r>
      <w:proofErr w:type="spellEnd"/>
      <w:r w:rsidR="00C93CBD">
        <w:rPr>
          <w:rFonts w:ascii="Arial" w:hAnsi="Arial"/>
          <w:bCs/>
          <w:i/>
          <w:color w:val="000000"/>
          <w:sz w:val="24"/>
          <w:szCs w:val="24"/>
          <w:lang w:eastAsia="es-ES"/>
        </w:rPr>
        <w:fldChar w:fldCharType="end"/>
      </w:r>
      <w:r w:rsidRPr="00D369AA">
        <w:rPr>
          <w:rFonts w:ascii="Arial" w:hAnsi="Arial"/>
          <w:bCs/>
          <w:i/>
          <w:color w:val="000000"/>
          <w:sz w:val="24"/>
          <w:szCs w:val="24"/>
          <w:lang w:eastAsia="es-ES"/>
        </w:rPr>
        <w:t> y </w:t>
      </w:r>
      <w:hyperlink r:id="rId22" w:tgtFrame="_blank" w:history="1">
        <w:r w:rsidRPr="00D369AA">
          <w:rPr>
            <w:rFonts w:ascii="Arial" w:hAnsi="Arial"/>
            <w:bCs/>
            <w:i/>
            <w:color w:val="000000"/>
            <w:sz w:val="24"/>
            <w:szCs w:val="24"/>
            <w:lang w:eastAsia="es-ES"/>
          </w:rPr>
          <w:t>GEBBRAS</w:t>
        </w:r>
      </w:hyperlink>
      <w:r w:rsidRPr="00D369AA">
        <w:rPr>
          <w:rFonts w:ascii="Arial" w:hAnsi="Arial"/>
          <w:bCs/>
          <w:i/>
          <w:color w:val="000000"/>
          <w:sz w:val="24"/>
          <w:szCs w:val="24"/>
          <w:lang w:eastAsia="es-ES"/>
        </w:rPr>
        <w:t> y fortalecer el proceso de consolidación y crecimiento de la mayor transportadora de gas de Colombia, </w:t>
      </w:r>
      <w:hyperlink r:id="rId23" w:tgtFrame="_blank" w:history="1">
        <w:r w:rsidRPr="00D369AA">
          <w:rPr>
            <w:rFonts w:ascii="Arial" w:hAnsi="Arial"/>
            <w:bCs/>
            <w:i/>
            <w:color w:val="000000"/>
            <w:sz w:val="24"/>
            <w:szCs w:val="24"/>
            <w:lang w:eastAsia="es-ES"/>
          </w:rPr>
          <w:t>TGI</w:t>
        </w:r>
      </w:hyperlink>
      <w:r w:rsidRPr="00D369AA">
        <w:rPr>
          <w:rFonts w:ascii="Arial" w:hAnsi="Arial"/>
          <w:bCs/>
          <w:i/>
          <w:color w:val="000000"/>
          <w:sz w:val="24"/>
          <w:szCs w:val="24"/>
          <w:lang w:eastAsia="es-ES"/>
        </w:rPr>
        <w:t>.</w:t>
      </w:r>
      <w:r w:rsidR="00032111" w:rsidRPr="00D369AA">
        <w:rPr>
          <w:rStyle w:val="Refdenotaalpie"/>
          <w:b/>
          <w:bCs/>
          <w:i/>
          <w:szCs w:val="24"/>
        </w:rPr>
        <w:t xml:space="preserve"> </w:t>
      </w:r>
      <w:r w:rsidR="00032111" w:rsidRPr="00D369AA">
        <w:rPr>
          <w:rStyle w:val="Refdenotaalpie"/>
          <w:b/>
          <w:bCs/>
          <w:i/>
          <w:szCs w:val="24"/>
        </w:rPr>
        <w:footnoteReference w:id="17"/>
      </w:r>
    </w:p>
    <w:p w14:paraId="0A2DABA0" w14:textId="77777777" w:rsidR="0085737E" w:rsidRDefault="0085737E" w:rsidP="00552CAA">
      <w:pPr>
        <w:ind w:right="51"/>
        <w:rPr>
          <w:rFonts w:cs="Arial"/>
          <w:b/>
          <w:i/>
          <w:lang w:val="es-CO"/>
        </w:rPr>
      </w:pPr>
    </w:p>
    <w:p w14:paraId="54E3F1DB" w14:textId="77777777" w:rsidR="005D7BD5" w:rsidRDefault="005D7BD5" w:rsidP="00552CAA">
      <w:pPr>
        <w:ind w:right="51"/>
        <w:rPr>
          <w:rFonts w:cs="Arial"/>
          <w:b/>
          <w:i/>
          <w:lang w:val="es-CO"/>
        </w:rPr>
      </w:pPr>
    </w:p>
    <w:p w14:paraId="47C23121" w14:textId="77777777" w:rsidR="005D7BD5" w:rsidRPr="00552CAA" w:rsidRDefault="005D7BD5" w:rsidP="00552CAA">
      <w:pPr>
        <w:ind w:right="51"/>
        <w:rPr>
          <w:rFonts w:cs="Arial"/>
          <w:b/>
          <w:i/>
          <w:lang w:val="es-CO"/>
        </w:rPr>
      </w:pPr>
    </w:p>
    <w:p w14:paraId="151DD778" w14:textId="0A9029CB" w:rsidR="0085737E" w:rsidRPr="00D369AA" w:rsidRDefault="00907EB5" w:rsidP="0085737E">
      <w:pPr>
        <w:pStyle w:val="Prrafodelista"/>
        <w:ind w:left="720" w:right="51"/>
        <w:rPr>
          <w:rFonts w:cs="Arial"/>
          <w:b/>
          <w:i/>
          <w:lang w:val="es-CO"/>
        </w:rPr>
      </w:pPr>
      <w:r w:rsidRPr="00D369AA">
        <w:rPr>
          <w:rFonts w:cs="Arial"/>
          <w:b/>
          <w:i/>
          <w:lang w:val="es-CO"/>
        </w:rPr>
        <w:lastRenderedPageBreak/>
        <w:t xml:space="preserve">Negocio de transmisión en Colombia de la </w:t>
      </w:r>
      <w:r w:rsidR="0085737E" w:rsidRPr="00D369AA">
        <w:rPr>
          <w:rFonts w:cs="Arial"/>
          <w:b/>
          <w:i/>
          <w:lang w:val="es-CO"/>
        </w:rPr>
        <w:t>Empresa de Energía de Bogotá S.A. ESP</w:t>
      </w:r>
    </w:p>
    <w:p w14:paraId="34DFCEDE" w14:textId="77777777" w:rsidR="0085737E" w:rsidRPr="00D369AA" w:rsidRDefault="0085737E" w:rsidP="0085737E">
      <w:pPr>
        <w:pStyle w:val="Prrafodelista"/>
        <w:ind w:left="720" w:right="51"/>
        <w:rPr>
          <w:rFonts w:cs="Arial"/>
          <w:i/>
          <w:lang w:val="es-CO"/>
        </w:rPr>
      </w:pPr>
      <w:r w:rsidRPr="00D369AA">
        <w:rPr>
          <w:rFonts w:cs="Arial"/>
          <w:i/>
          <w:lang w:val="es-CO"/>
        </w:rPr>
        <w:t xml:space="preserve">Es la segunda empresa en transmisión de electricidad en Colombia, con una participación en el mercado del 12.5%. Cuenta con 1.504 km de circuitos a 230 </w:t>
      </w:r>
      <w:proofErr w:type="spellStart"/>
      <w:r w:rsidRPr="00D369AA">
        <w:rPr>
          <w:rFonts w:cs="Arial"/>
          <w:i/>
          <w:lang w:val="es-CO"/>
        </w:rPr>
        <w:t>kV</w:t>
      </w:r>
      <w:proofErr w:type="spellEnd"/>
      <w:r w:rsidR="00B1659C" w:rsidRPr="00D369AA">
        <w:rPr>
          <w:rFonts w:cs="Arial"/>
          <w:i/>
          <w:lang w:val="es-CO"/>
        </w:rPr>
        <w:t>,</w:t>
      </w:r>
      <w:r w:rsidRPr="00D369AA">
        <w:rPr>
          <w:rFonts w:cs="Arial"/>
          <w:i/>
          <w:lang w:val="es-CO"/>
        </w:rPr>
        <w:t xml:space="preserve"> activos en 17 subestaciones y la disponibilidad del sistema de transmisión a 31 de diciembre del 2015 fue del 99,93%, superior a la meta fijada por la CREG.</w:t>
      </w:r>
      <w:r w:rsidRPr="00D369AA">
        <w:rPr>
          <w:rStyle w:val="Refdenotaalpie"/>
          <w:rFonts w:cs="Arial"/>
          <w:bCs/>
          <w:i/>
          <w:szCs w:val="24"/>
          <w:lang w:val="es-CO"/>
        </w:rPr>
        <w:t xml:space="preserve"> </w:t>
      </w:r>
      <w:r w:rsidRPr="00D369AA">
        <w:rPr>
          <w:rStyle w:val="Refdenotaalpie"/>
          <w:rFonts w:cs="Arial"/>
          <w:bCs/>
          <w:i/>
          <w:szCs w:val="24"/>
          <w:lang w:val="es-CO"/>
        </w:rPr>
        <w:footnoteReference w:id="18"/>
      </w:r>
    </w:p>
    <w:p w14:paraId="40C1F802" w14:textId="77777777" w:rsidR="0085737E" w:rsidRPr="00D369AA" w:rsidRDefault="0085737E" w:rsidP="0085737E">
      <w:pPr>
        <w:pStyle w:val="Prrafodelista"/>
        <w:ind w:left="720" w:right="51"/>
        <w:rPr>
          <w:i/>
          <w:u w:val="single"/>
          <w:lang w:val="es-CO"/>
        </w:rPr>
      </w:pPr>
    </w:p>
    <w:p w14:paraId="6C544AED" w14:textId="77777777" w:rsidR="0085737E" w:rsidRPr="00D369AA" w:rsidRDefault="0085737E" w:rsidP="0085737E">
      <w:pPr>
        <w:pStyle w:val="Prrafodelista"/>
        <w:ind w:left="720" w:right="51"/>
        <w:rPr>
          <w:b/>
          <w:i/>
          <w:lang w:val="es-CO"/>
        </w:rPr>
      </w:pPr>
      <w:r w:rsidRPr="00D369AA">
        <w:rPr>
          <w:b/>
          <w:i/>
          <w:lang w:val="es-CO"/>
        </w:rPr>
        <w:t>Transportadora de Gas Internacional S.A. E</w:t>
      </w:r>
      <w:r w:rsidR="001B0FCF" w:rsidRPr="00D369AA">
        <w:rPr>
          <w:b/>
          <w:i/>
          <w:lang w:val="es-CO"/>
        </w:rPr>
        <w:t>.</w:t>
      </w:r>
      <w:r w:rsidRPr="00D369AA">
        <w:rPr>
          <w:b/>
          <w:i/>
          <w:lang w:val="es-CO"/>
        </w:rPr>
        <w:t>S</w:t>
      </w:r>
      <w:r w:rsidR="001B0FCF" w:rsidRPr="00D369AA">
        <w:rPr>
          <w:b/>
          <w:i/>
          <w:lang w:val="es-CO"/>
        </w:rPr>
        <w:t>.</w:t>
      </w:r>
      <w:r w:rsidRPr="00D369AA">
        <w:rPr>
          <w:b/>
          <w:i/>
          <w:lang w:val="es-CO"/>
        </w:rPr>
        <w:t>P</w:t>
      </w:r>
      <w:r w:rsidR="001B0FCF" w:rsidRPr="00D369AA">
        <w:rPr>
          <w:b/>
          <w:i/>
          <w:lang w:val="es-CO"/>
        </w:rPr>
        <w:t>.</w:t>
      </w:r>
      <w:r w:rsidRPr="00D369AA">
        <w:rPr>
          <w:b/>
          <w:i/>
          <w:lang w:val="es-CO"/>
        </w:rPr>
        <w:t xml:space="preserve"> </w:t>
      </w:r>
      <w:r w:rsidR="00553CD5" w:rsidRPr="00D369AA">
        <w:rPr>
          <w:b/>
          <w:i/>
          <w:lang w:val="es-CO"/>
        </w:rPr>
        <w:t xml:space="preserve">- </w:t>
      </w:r>
      <w:r w:rsidRPr="00D369AA">
        <w:rPr>
          <w:b/>
          <w:i/>
          <w:lang w:val="es-CO"/>
        </w:rPr>
        <w:t>TGI</w:t>
      </w:r>
    </w:p>
    <w:p w14:paraId="78CB5D01" w14:textId="77777777" w:rsidR="0085737E" w:rsidRPr="00D369AA" w:rsidRDefault="0085737E" w:rsidP="0085737E">
      <w:pPr>
        <w:pStyle w:val="Prrafodelista"/>
        <w:ind w:left="720" w:right="51"/>
        <w:rPr>
          <w:bCs/>
          <w:i/>
          <w:szCs w:val="24"/>
          <w:lang w:val="es-CO"/>
        </w:rPr>
      </w:pPr>
      <w:r w:rsidRPr="00D369AA">
        <w:rPr>
          <w:bCs/>
          <w:i/>
          <w:szCs w:val="24"/>
          <w:lang w:val="es-CO"/>
        </w:rPr>
        <w:t>El objeto social de TGI es la planeación, organización, diseño, construcción, expansión, ampliación, mantenimiento, operación y explotación comercial de los sistemas de transporte de gas natural propios y de los sistemas de hidrocarburos en todas sus formas. También podrá explotar comercialmente la capacidad de los gasoductos de propiedad de terceros por los cuales se pague una tarifa de disponibilidad</w:t>
      </w:r>
      <w:r w:rsidRPr="00D369AA">
        <w:rPr>
          <w:rStyle w:val="Refdenotaalpie"/>
          <w:bCs/>
          <w:i/>
          <w:szCs w:val="24"/>
          <w:lang w:val="es-CO"/>
        </w:rPr>
        <w:footnoteReference w:id="19"/>
      </w:r>
      <w:r w:rsidRPr="00D369AA">
        <w:rPr>
          <w:bCs/>
          <w:i/>
          <w:szCs w:val="24"/>
          <w:lang w:val="es-CO"/>
        </w:rPr>
        <w:t>.</w:t>
      </w:r>
    </w:p>
    <w:p w14:paraId="42694DD6" w14:textId="77777777" w:rsidR="0085737E" w:rsidRPr="00D369AA" w:rsidRDefault="0085737E" w:rsidP="0085737E">
      <w:pPr>
        <w:pStyle w:val="Prrafodelista"/>
        <w:ind w:left="720" w:right="51"/>
        <w:rPr>
          <w:bCs/>
          <w:szCs w:val="24"/>
          <w:lang w:val="es-CO"/>
        </w:rPr>
      </w:pPr>
    </w:p>
    <w:p w14:paraId="5CDBD3B9" w14:textId="26A0F429" w:rsidR="001B0FCF" w:rsidRPr="00D369AA" w:rsidRDefault="001B0FCF" w:rsidP="001B0FCF">
      <w:pPr>
        <w:pStyle w:val="Epgrafe"/>
        <w:rPr>
          <w:bCs w:val="0"/>
          <w:szCs w:val="24"/>
          <w:lang w:val="es-CO"/>
        </w:rPr>
      </w:pPr>
      <w:r w:rsidRPr="00D369AA">
        <w:rPr>
          <w:lang w:val="es-CO"/>
        </w:rPr>
        <w:lastRenderedPageBreak/>
        <w:t>Transportadora de Gas Internacional S.A. E.S.P. - TGI</w:t>
      </w:r>
    </w:p>
    <w:p w14:paraId="785636E5" w14:textId="77777777" w:rsidR="0085737E" w:rsidRPr="00D369AA" w:rsidRDefault="0085737E" w:rsidP="0085737E">
      <w:pPr>
        <w:pStyle w:val="Prrafodelista"/>
        <w:ind w:left="720" w:right="51"/>
        <w:jc w:val="center"/>
        <w:rPr>
          <w:bCs/>
          <w:szCs w:val="24"/>
          <w:lang w:val="es-CO"/>
        </w:rPr>
      </w:pPr>
      <w:r w:rsidRPr="00D369AA">
        <w:rPr>
          <w:bCs/>
          <w:noProof/>
          <w:szCs w:val="24"/>
          <w:lang w:val="es-CO" w:eastAsia="es-CO"/>
        </w:rPr>
        <w:drawing>
          <wp:inline distT="0" distB="0" distL="0" distR="0" wp14:anchorId="3A18E3A0" wp14:editId="7FE2B21B">
            <wp:extent cx="3734575" cy="2867025"/>
            <wp:effectExtent l="19050" t="19050" r="184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689" cy="2880931"/>
                    </a:xfrm>
                    <a:prstGeom prst="rect">
                      <a:avLst/>
                    </a:prstGeom>
                    <a:noFill/>
                    <a:ln w="22225">
                      <a:solidFill>
                        <a:schemeClr val="tx1"/>
                      </a:solidFill>
                    </a:ln>
                  </pic:spPr>
                </pic:pic>
              </a:graphicData>
            </a:graphic>
          </wp:inline>
        </w:drawing>
      </w:r>
    </w:p>
    <w:p w14:paraId="1E84F577" w14:textId="77777777" w:rsidR="0085737E" w:rsidRPr="00D369AA" w:rsidRDefault="0085737E" w:rsidP="0085737E">
      <w:pPr>
        <w:pStyle w:val="Citadestacada"/>
        <w:rPr>
          <w:lang w:val="es-CO"/>
        </w:rPr>
      </w:pPr>
      <w:r w:rsidRPr="00D369AA">
        <w:rPr>
          <w:lang w:val="es-CO"/>
        </w:rPr>
        <w:t>Fuente: http://www.grupoenergiadebogota.com/index.php/grupos-estrategicos/interconexion-para-el-desarrollo-de-mercados/tgi</w:t>
      </w:r>
    </w:p>
    <w:p w14:paraId="6DC99CE3" w14:textId="77777777" w:rsidR="0085737E" w:rsidRPr="00D369AA" w:rsidRDefault="0085737E" w:rsidP="0085737E">
      <w:pPr>
        <w:ind w:right="51"/>
        <w:rPr>
          <w:bCs/>
          <w:szCs w:val="24"/>
          <w:lang w:val="es-CO"/>
        </w:rPr>
      </w:pPr>
    </w:p>
    <w:p w14:paraId="6A949551" w14:textId="77777777" w:rsidR="0085737E" w:rsidRPr="00D369AA" w:rsidRDefault="0085737E" w:rsidP="0085737E">
      <w:pPr>
        <w:pStyle w:val="Prrafodelista"/>
        <w:ind w:left="720" w:right="51"/>
        <w:rPr>
          <w:rFonts w:cs="Arial"/>
          <w:b/>
          <w:i/>
          <w:lang w:val="es-CO"/>
        </w:rPr>
      </w:pPr>
      <w:r w:rsidRPr="00D369AA">
        <w:rPr>
          <w:rFonts w:cs="Arial"/>
          <w:b/>
          <w:i/>
          <w:lang w:val="es-CO"/>
        </w:rPr>
        <w:t>Transportadora de Energía de Centroamérica S.A.</w:t>
      </w:r>
    </w:p>
    <w:p w14:paraId="61313125" w14:textId="77777777" w:rsidR="0085737E" w:rsidRPr="00D369AA" w:rsidRDefault="0085737E" w:rsidP="0085737E">
      <w:pPr>
        <w:pStyle w:val="Prrafodelista"/>
        <w:ind w:left="720" w:right="51"/>
        <w:rPr>
          <w:rFonts w:cs="Arial"/>
          <w:i/>
          <w:lang w:val="es-CO"/>
        </w:rPr>
      </w:pPr>
      <w:r w:rsidRPr="00D369AA">
        <w:rPr>
          <w:rFonts w:cs="Arial"/>
          <w:i/>
          <w:lang w:val="es-CO"/>
        </w:rPr>
        <w:t>Empresa que presta servicios de transmisión de energía y actividades asociadas en Guatemala y Centro América. TRECSA brinda a clientes del sector público y privado servicios de construcción, operación, ingeniería, estudios eléctricos y gerencia de proyectos de transmisión de energía.</w:t>
      </w:r>
      <w:r w:rsidRPr="00D369AA">
        <w:rPr>
          <w:rStyle w:val="Refdenotaalpie"/>
          <w:rFonts w:cs="Arial"/>
          <w:bCs/>
          <w:i/>
          <w:szCs w:val="24"/>
          <w:lang w:val="es-CO"/>
        </w:rPr>
        <w:t xml:space="preserve"> </w:t>
      </w:r>
      <w:r w:rsidRPr="00D369AA">
        <w:rPr>
          <w:rStyle w:val="Refdenotaalpie"/>
          <w:rFonts w:cs="Arial"/>
          <w:bCs/>
          <w:i/>
          <w:szCs w:val="24"/>
          <w:lang w:val="es-CO"/>
        </w:rPr>
        <w:footnoteReference w:id="20"/>
      </w:r>
    </w:p>
    <w:p w14:paraId="5EC9C0B6" w14:textId="07C39493" w:rsidR="0085737E" w:rsidRPr="00D369AA" w:rsidRDefault="001B0FCF" w:rsidP="001B0FCF">
      <w:pPr>
        <w:pStyle w:val="Epgrafe"/>
        <w:rPr>
          <w:rFonts w:cs="Arial"/>
          <w:bCs w:val="0"/>
          <w:szCs w:val="24"/>
          <w:lang w:val="es-CO"/>
        </w:rPr>
      </w:pPr>
      <w:r w:rsidRPr="00D369AA">
        <w:rPr>
          <w:lang w:val="es-CO"/>
        </w:rPr>
        <w:lastRenderedPageBreak/>
        <w:t>Transportadora de Energía de Centroamérica S.A.</w:t>
      </w:r>
    </w:p>
    <w:p w14:paraId="7CF2E606" w14:textId="77777777" w:rsidR="0085737E" w:rsidRPr="00D369AA" w:rsidRDefault="0085737E" w:rsidP="0085737E">
      <w:pPr>
        <w:ind w:right="51"/>
        <w:jc w:val="center"/>
        <w:rPr>
          <w:rFonts w:cs="Arial"/>
          <w:bCs/>
          <w:szCs w:val="24"/>
          <w:lang w:val="es-CO"/>
        </w:rPr>
      </w:pPr>
      <w:r w:rsidRPr="00D369AA">
        <w:rPr>
          <w:rFonts w:cs="Arial"/>
          <w:bCs/>
          <w:noProof/>
          <w:szCs w:val="24"/>
          <w:lang w:val="es-CO" w:eastAsia="es-CO"/>
        </w:rPr>
        <w:drawing>
          <wp:inline distT="0" distB="0" distL="0" distR="0" wp14:anchorId="494214B0" wp14:editId="07207384">
            <wp:extent cx="3804363" cy="3400425"/>
            <wp:effectExtent l="19050" t="19050" r="2476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4363" cy="3400425"/>
                    </a:xfrm>
                    <a:prstGeom prst="rect">
                      <a:avLst/>
                    </a:prstGeom>
                    <a:noFill/>
                    <a:ln w="12700">
                      <a:solidFill>
                        <a:schemeClr val="tx1"/>
                      </a:solidFill>
                    </a:ln>
                  </pic:spPr>
                </pic:pic>
              </a:graphicData>
            </a:graphic>
          </wp:inline>
        </w:drawing>
      </w:r>
    </w:p>
    <w:p w14:paraId="0D6F6134" w14:textId="68DE403E" w:rsidR="0085737E" w:rsidRPr="00D369AA" w:rsidRDefault="0085737E" w:rsidP="0085737E">
      <w:pPr>
        <w:pStyle w:val="Citadestacada"/>
        <w:rPr>
          <w:szCs w:val="24"/>
          <w:lang w:val="es-CO"/>
        </w:rPr>
      </w:pPr>
      <w:r w:rsidRPr="00D369AA">
        <w:rPr>
          <w:lang w:val="es-CO"/>
        </w:rPr>
        <w:t xml:space="preserve">Fuente: </w:t>
      </w:r>
      <w:r w:rsidR="006D02A5" w:rsidRPr="006D02A5">
        <w:rPr>
          <w:lang w:val="es-CO"/>
        </w:rPr>
        <w:t>http://www.grupoenergiadebogota.com/grupos-estrategicos/interconexion-para-el-desarrollo-de-mercados2/trecsa</w:t>
      </w:r>
    </w:p>
    <w:p w14:paraId="029DC1BE" w14:textId="77777777" w:rsidR="005D7BD5" w:rsidRDefault="005D7BD5" w:rsidP="0085737E">
      <w:pPr>
        <w:pStyle w:val="Prrafodelista"/>
        <w:ind w:left="720" w:right="51"/>
        <w:rPr>
          <w:rFonts w:cs="Arial"/>
          <w:b/>
          <w:i/>
          <w:lang w:val="es-CO"/>
        </w:rPr>
      </w:pPr>
    </w:p>
    <w:p w14:paraId="791E3CD5" w14:textId="77777777" w:rsidR="005D7BD5" w:rsidRDefault="005D7BD5" w:rsidP="0085737E">
      <w:pPr>
        <w:pStyle w:val="Prrafodelista"/>
        <w:ind w:left="720" w:right="51"/>
        <w:rPr>
          <w:rFonts w:cs="Arial"/>
          <w:b/>
          <w:i/>
          <w:lang w:val="es-CO"/>
        </w:rPr>
      </w:pPr>
    </w:p>
    <w:p w14:paraId="04F0C676" w14:textId="77777777" w:rsidR="0085737E" w:rsidRPr="00D369AA" w:rsidRDefault="0085737E" w:rsidP="0085737E">
      <w:pPr>
        <w:pStyle w:val="Prrafodelista"/>
        <w:ind w:left="720" w:right="51"/>
        <w:rPr>
          <w:rFonts w:cs="Arial"/>
          <w:b/>
          <w:i/>
          <w:lang w:val="es-CO"/>
        </w:rPr>
      </w:pPr>
      <w:r w:rsidRPr="00D369AA">
        <w:rPr>
          <w:rFonts w:cs="Arial"/>
          <w:b/>
          <w:i/>
          <w:lang w:val="es-CO"/>
        </w:rPr>
        <w:t>GEBBRAS</w:t>
      </w:r>
    </w:p>
    <w:p w14:paraId="23FA43AF" w14:textId="77777777" w:rsidR="0085737E" w:rsidRPr="00D369AA" w:rsidRDefault="0085737E" w:rsidP="0085737E">
      <w:pPr>
        <w:pStyle w:val="Prrafodelista"/>
        <w:ind w:left="720" w:right="51"/>
        <w:rPr>
          <w:rStyle w:val="Refdenotaalpie"/>
          <w:rFonts w:cs="Arial"/>
          <w:bCs/>
          <w:i/>
          <w:szCs w:val="24"/>
          <w:lang w:val="es-CO"/>
        </w:rPr>
      </w:pPr>
      <w:r w:rsidRPr="00D369AA">
        <w:rPr>
          <w:rFonts w:cs="Arial"/>
          <w:i/>
          <w:lang w:val="es-CO"/>
        </w:rPr>
        <w:t>Es un vehículo de inversión en transmisión de energía eléctrica a través de la cual se manejan cuatro concesiones en operación comercial: MGE, TER, TSP y GOT con 1.094 kilómetros de red y 15 subestaciones</w:t>
      </w:r>
      <w:r w:rsidRPr="00D369AA">
        <w:rPr>
          <w:rFonts w:cs="Arial"/>
          <w:lang w:val="es-CO"/>
        </w:rPr>
        <w:t>.</w:t>
      </w:r>
      <w:r w:rsidRPr="00D369AA">
        <w:rPr>
          <w:rStyle w:val="Refdenotaalpie"/>
          <w:rFonts w:cs="Arial"/>
          <w:bCs/>
          <w:i/>
          <w:szCs w:val="24"/>
          <w:lang w:val="es-CO"/>
        </w:rPr>
        <w:t xml:space="preserve"> </w:t>
      </w:r>
      <w:r w:rsidRPr="00D369AA">
        <w:rPr>
          <w:rStyle w:val="Refdenotaalpie"/>
          <w:rFonts w:cs="Arial"/>
          <w:bCs/>
          <w:i/>
          <w:szCs w:val="24"/>
          <w:lang w:val="es-CO"/>
        </w:rPr>
        <w:footnoteReference w:id="21"/>
      </w:r>
    </w:p>
    <w:p w14:paraId="3FDAB272" w14:textId="75279069" w:rsidR="000B0229" w:rsidRPr="00D369AA" w:rsidRDefault="000B0229" w:rsidP="000B0229">
      <w:pPr>
        <w:pStyle w:val="Epgrafe"/>
        <w:rPr>
          <w:rFonts w:cs="Arial"/>
          <w:lang w:val="es-CO"/>
        </w:rPr>
      </w:pPr>
      <w:r w:rsidRPr="00D369AA">
        <w:rPr>
          <w:lang w:val="es-CO"/>
        </w:rPr>
        <w:lastRenderedPageBreak/>
        <w:t>GEBBRAS</w:t>
      </w:r>
    </w:p>
    <w:p w14:paraId="43FC9B0D" w14:textId="77777777" w:rsidR="0085737E" w:rsidRPr="00D369AA" w:rsidRDefault="0085737E" w:rsidP="0085737E">
      <w:pPr>
        <w:jc w:val="center"/>
        <w:rPr>
          <w:rFonts w:cs="Arial"/>
          <w:lang w:val="es-CO"/>
        </w:rPr>
      </w:pPr>
      <w:r w:rsidRPr="00D369AA">
        <w:rPr>
          <w:rFonts w:cs="Arial"/>
          <w:noProof/>
          <w:lang w:val="es-CO" w:eastAsia="es-CO"/>
        </w:rPr>
        <w:drawing>
          <wp:inline distT="0" distB="0" distL="0" distR="0" wp14:anchorId="02FC3EB0" wp14:editId="21FD8E1A">
            <wp:extent cx="3105745" cy="2686050"/>
            <wp:effectExtent l="19050" t="19050" r="19050"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745" cy="2686050"/>
                    </a:xfrm>
                    <a:prstGeom prst="rect">
                      <a:avLst/>
                    </a:prstGeom>
                    <a:noFill/>
                    <a:ln>
                      <a:solidFill>
                        <a:schemeClr val="tx1"/>
                      </a:solidFill>
                    </a:ln>
                  </pic:spPr>
                </pic:pic>
              </a:graphicData>
            </a:graphic>
          </wp:inline>
        </w:drawing>
      </w:r>
    </w:p>
    <w:p w14:paraId="4CD5212E" w14:textId="109BFB85" w:rsidR="0085737E" w:rsidRPr="00D369AA" w:rsidRDefault="0085737E" w:rsidP="0085737E">
      <w:pPr>
        <w:pStyle w:val="Citadestacada"/>
        <w:rPr>
          <w:szCs w:val="24"/>
          <w:lang w:val="es-CO"/>
        </w:rPr>
      </w:pPr>
      <w:r w:rsidRPr="00D369AA">
        <w:rPr>
          <w:lang w:val="es-CO"/>
        </w:rPr>
        <w:t>Fuente.:</w:t>
      </w:r>
      <w:r w:rsidR="006D02A5" w:rsidRPr="006D02A5">
        <w:t xml:space="preserve"> </w:t>
      </w:r>
      <w:r w:rsidR="006D02A5" w:rsidRPr="006D02A5">
        <w:rPr>
          <w:lang w:val="es-CO"/>
        </w:rPr>
        <w:t>http://www.grupoenergiadebogota.com/grupos-estrategicos/interconexion-para-el-desarrollo-de-mercados2/gebbras</w:t>
      </w:r>
    </w:p>
    <w:p w14:paraId="2766CB49" w14:textId="77777777" w:rsidR="0085737E" w:rsidRPr="00D369AA" w:rsidRDefault="0085737E" w:rsidP="0085737E">
      <w:pPr>
        <w:ind w:right="51"/>
        <w:rPr>
          <w:rFonts w:cs="Arial"/>
          <w:b/>
          <w:bCs/>
          <w:i/>
          <w:szCs w:val="24"/>
          <w:lang w:val="es-CO"/>
        </w:rPr>
      </w:pPr>
    </w:p>
    <w:p w14:paraId="2D9186BD" w14:textId="77777777" w:rsidR="0085737E" w:rsidRPr="00D369AA" w:rsidRDefault="0085737E" w:rsidP="0085737E">
      <w:pPr>
        <w:pStyle w:val="Ttulo3"/>
        <w:rPr>
          <w:lang w:val="es-CO"/>
        </w:rPr>
      </w:pPr>
      <w:r w:rsidRPr="00D369AA">
        <w:rPr>
          <w:lang w:val="es-CO"/>
        </w:rPr>
        <w:t>Generación de Baja Emisión (GBE)</w:t>
      </w:r>
    </w:p>
    <w:p w14:paraId="42EAC49F" w14:textId="77777777" w:rsidR="0085737E" w:rsidRPr="00D369AA" w:rsidRDefault="0085737E" w:rsidP="0085737E">
      <w:pPr>
        <w:shd w:val="clear" w:color="auto" w:fill="FFFFFF"/>
        <w:ind w:left="255"/>
        <w:textAlignment w:val="baseline"/>
        <w:rPr>
          <w:bCs/>
          <w:i/>
          <w:szCs w:val="24"/>
          <w:lang w:val="es-CO"/>
        </w:rPr>
      </w:pPr>
      <w:r w:rsidRPr="00D369AA">
        <w:rPr>
          <w:bCs/>
          <w:i/>
          <w:szCs w:val="24"/>
          <w:lang w:val="es-CO"/>
        </w:rPr>
        <w:t>Negocio que hoy se enfoca en Colombia y tiene como objetivo, además de soportar la consolidación de la posición actual de </w:t>
      </w:r>
      <w:proofErr w:type="spellStart"/>
      <w:r w:rsidR="00C93CBD">
        <w:fldChar w:fldCharType="begin"/>
      </w:r>
      <w:r w:rsidR="00C93CBD">
        <w:instrText xml:space="preserve"> HYPERLINK "http://www.grupoenergiadebogota.com/nuestras-empresas/empresas-participadas/emgesa" \t "_blank" </w:instrText>
      </w:r>
      <w:r w:rsidR="00C93CBD">
        <w:fldChar w:fldCharType="separate"/>
      </w:r>
      <w:r w:rsidRPr="00D369AA">
        <w:rPr>
          <w:b/>
          <w:bCs/>
          <w:i/>
          <w:szCs w:val="24"/>
          <w:lang w:val="es-CO"/>
        </w:rPr>
        <w:t>Emgesa</w:t>
      </w:r>
      <w:proofErr w:type="spellEnd"/>
      <w:r w:rsidR="00C93CBD">
        <w:rPr>
          <w:b/>
          <w:bCs/>
          <w:i/>
          <w:szCs w:val="24"/>
          <w:lang w:val="es-CO"/>
        </w:rPr>
        <w:fldChar w:fldCharType="end"/>
      </w:r>
      <w:r w:rsidRPr="00D369AA">
        <w:rPr>
          <w:bCs/>
          <w:i/>
          <w:szCs w:val="24"/>
          <w:lang w:val="es-CO"/>
        </w:rPr>
        <w:t>, la de buscar nuevas oportunidades en energías renovables en países donde se esté dando la transición de la matriz energética a esta fuente de generación sostenible y de baja emisión.</w:t>
      </w:r>
      <w:r w:rsidR="00032111" w:rsidRPr="00D369AA">
        <w:rPr>
          <w:rStyle w:val="Refdenotaalpie"/>
          <w:b/>
          <w:bCs/>
          <w:i/>
          <w:szCs w:val="24"/>
          <w:lang w:val="es-CO"/>
        </w:rPr>
        <w:t xml:space="preserve"> </w:t>
      </w:r>
      <w:r w:rsidR="00032111" w:rsidRPr="00D369AA">
        <w:rPr>
          <w:rStyle w:val="Refdenotaalpie"/>
          <w:b/>
          <w:bCs/>
          <w:i/>
          <w:szCs w:val="24"/>
          <w:lang w:val="es-CO"/>
        </w:rPr>
        <w:footnoteReference w:id="22"/>
      </w:r>
    </w:p>
    <w:p w14:paraId="00B9D34E" w14:textId="77777777" w:rsidR="0085737E" w:rsidRPr="00D369AA" w:rsidRDefault="0085737E" w:rsidP="0085737E">
      <w:pPr>
        <w:ind w:right="51"/>
        <w:rPr>
          <w:rFonts w:cs="Arial"/>
          <w:bCs/>
          <w:szCs w:val="24"/>
          <w:lang w:val="es-CO"/>
        </w:rPr>
      </w:pPr>
    </w:p>
    <w:p w14:paraId="40848974" w14:textId="073E4F99" w:rsidR="0085737E" w:rsidRPr="00552CAA" w:rsidRDefault="0085737E" w:rsidP="00552CAA">
      <w:pPr>
        <w:ind w:right="51"/>
        <w:rPr>
          <w:rFonts w:cs="Arial"/>
          <w:bCs/>
          <w:szCs w:val="24"/>
          <w:lang w:val="es-CO"/>
        </w:rPr>
      </w:pPr>
      <w:proofErr w:type="spellStart"/>
      <w:r w:rsidRPr="00D369AA">
        <w:rPr>
          <w:rFonts w:cs="Arial"/>
          <w:b/>
          <w:bCs/>
          <w:szCs w:val="24"/>
          <w:lang w:val="es-CO"/>
        </w:rPr>
        <w:t>Emgesa</w:t>
      </w:r>
      <w:proofErr w:type="spellEnd"/>
    </w:p>
    <w:p w14:paraId="3799F870" w14:textId="77777777" w:rsidR="0085737E" w:rsidRPr="00D369AA" w:rsidRDefault="0085737E" w:rsidP="0085737E">
      <w:pPr>
        <w:ind w:left="708" w:right="51"/>
        <w:rPr>
          <w:rFonts w:cs="Arial"/>
          <w:bCs/>
          <w:i/>
          <w:szCs w:val="24"/>
          <w:lang w:val="es-CO"/>
        </w:rPr>
      </w:pPr>
      <w:r w:rsidRPr="00D369AA">
        <w:rPr>
          <w:rFonts w:cs="Arial"/>
          <w:bCs/>
          <w:i/>
          <w:szCs w:val="24"/>
          <w:lang w:val="es-CO"/>
        </w:rPr>
        <w:t xml:space="preserve">Compañía colombiana dedicada a la generación de energía eléctrica y comercialización en el Mercado No Regulado. Fue creada en 1997 como </w:t>
      </w:r>
      <w:r w:rsidRPr="00D369AA">
        <w:rPr>
          <w:rFonts w:cs="Arial"/>
          <w:bCs/>
          <w:i/>
          <w:szCs w:val="24"/>
          <w:lang w:val="es-CO"/>
        </w:rPr>
        <w:lastRenderedPageBreak/>
        <w:t>resultado del proceso de capitalización de la Empresa de Energía de Bogotá</w:t>
      </w:r>
      <w:r w:rsidRPr="00D369AA">
        <w:rPr>
          <w:rFonts w:cs="Arial"/>
          <w:bCs/>
          <w:szCs w:val="24"/>
          <w:lang w:val="es-CO"/>
        </w:rPr>
        <w:t>.</w:t>
      </w:r>
      <w:r w:rsidRPr="00D369AA">
        <w:rPr>
          <w:rStyle w:val="Refdenotaalpie"/>
          <w:rFonts w:cs="Arial"/>
          <w:bCs/>
          <w:i/>
          <w:szCs w:val="24"/>
          <w:lang w:val="es-CO"/>
        </w:rPr>
        <w:t xml:space="preserve"> </w:t>
      </w:r>
      <w:r w:rsidRPr="00D369AA">
        <w:rPr>
          <w:rStyle w:val="Refdenotaalpie"/>
          <w:rFonts w:cs="Arial"/>
          <w:bCs/>
          <w:i/>
          <w:szCs w:val="24"/>
          <w:lang w:val="es-CO"/>
        </w:rPr>
        <w:footnoteReference w:id="23"/>
      </w:r>
    </w:p>
    <w:p w14:paraId="57D8A163" w14:textId="09DBF127" w:rsidR="000B0229" w:rsidRPr="00D369AA" w:rsidRDefault="000B0229" w:rsidP="000B0229">
      <w:pPr>
        <w:pStyle w:val="Epgrafe"/>
        <w:rPr>
          <w:rFonts w:cs="Arial"/>
          <w:bCs w:val="0"/>
          <w:szCs w:val="24"/>
          <w:lang w:val="es-CO"/>
        </w:rPr>
      </w:pPr>
      <w:proofErr w:type="spellStart"/>
      <w:r w:rsidRPr="00D369AA">
        <w:rPr>
          <w:lang w:val="es-CO"/>
        </w:rPr>
        <w:t>Emgesa</w:t>
      </w:r>
      <w:proofErr w:type="spellEnd"/>
    </w:p>
    <w:p w14:paraId="2CB4308D" w14:textId="77777777" w:rsidR="0085737E" w:rsidRPr="00D369AA" w:rsidRDefault="0085737E" w:rsidP="0085737E">
      <w:pPr>
        <w:ind w:right="51"/>
        <w:jc w:val="center"/>
        <w:rPr>
          <w:rFonts w:cs="Arial"/>
          <w:bCs/>
          <w:szCs w:val="24"/>
          <w:lang w:val="es-CO"/>
        </w:rPr>
      </w:pPr>
      <w:r w:rsidRPr="00D369AA">
        <w:rPr>
          <w:rFonts w:cs="Arial"/>
          <w:bCs/>
          <w:noProof/>
          <w:szCs w:val="24"/>
          <w:lang w:val="es-CO" w:eastAsia="es-CO"/>
        </w:rPr>
        <w:drawing>
          <wp:inline distT="0" distB="0" distL="0" distR="0" wp14:anchorId="17413CB7" wp14:editId="3CC2E49D">
            <wp:extent cx="3324225" cy="37725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3772579"/>
                    </a:xfrm>
                    <a:prstGeom prst="rect">
                      <a:avLst/>
                    </a:prstGeom>
                    <a:noFill/>
                    <a:ln>
                      <a:noFill/>
                    </a:ln>
                  </pic:spPr>
                </pic:pic>
              </a:graphicData>
            </a:graphic>
          </wp:inline>
        </w:drawing>
      </w:r>
    </w:p>
    <w:p w14:paraId="399DD57A" w14:textId="33E805C0" w:rsidR="0085737E" w:rsidRDefault="0085737E" w:rsidP="00552CAA">
      <w:pPr>
        <w:pStyle w:val="Citadestacada"/>
        <w:rPr>
          <w:lang w:val="es-CO"/>
        </w:rPr>
      </w:pPr>
      <w:r w:rsidRPr="00D369AA">
        <w:rPr>
          <w:rFonts w:cs="Arial"/>
          <w:szCs w:val="16"/>
          <w:lang w:val="es-CO"/>
        </w:rPr>
        <w:t>Fuente</w:t>
      </w:r>
      <w:r w:rsidRPr="00D369AA">
        <w:rPr>
          <w:lang w:val="es-CO"/>
        </w:rPr>
        <w:t xml:space="preserve">: </w:t>
      </w:r>
      <w:r w:rsidR="006D02A5" w:rsidRPr="006D02A5">
        <w:rPr>
          <w:lang w:val="es-CO"/>
        </w:rPr>
        <w:t>http://www.grupoenergiadebogota.com/grupos-estrategicos/generacion-de-baja-emision2/emgesa</w:t>
      </w:r>
    </w:p>
    <w:p w14:paraId="613CBF98" w14:textId="77777777" w:rsidR="00552CAA" w:rsidRPr="00552CAA" w:rsidRDefault="00552CAA" w:rsidP="00552CAA">
      <w:pPr>
        <w:rPr>
          <w:rFonts w:eastAsia="Calibri"/>
          <w:lang w:val="es-CO"/>
        </w:rPr>
      </w:pPr>
    </w:p>
    <w:p w14:paraId="771388C7" w14:textId="77777777" w:rsidR="00AB3E49" w:rsidRPr="00D369AA" w:rsidRDefault="00AB3E49" w:rsidP="008D31A1">
      <w:pPr>
        <w:pStyle w:val="Ttulo2"/>
        <w:rPr>
          <w:lang w:val="es-CO"/>
        </w:rPr>
      </w:pPr>
      <w:r w:rsidRPr="00D369AA">
        <w:rPr>
          <w:lang w:val="es-CO"/>
        </w:rPr>
        <w:t>Desinversiones</w:t>
      </w:r>
    </w:p>
    <w:p w14:paraId="437323DE" w14:textId="3661CDFB" w:rsidR="00570525" w:rsidRPr="00D369AA" w:rsidRDefault="00570525" w:rsidP="008D31A1">
      <w:pPr>
        <w:rPr>
          <w:lang w:val="es-CO"/>
        </w:rPr>
      </w:pPr>
      <w:r w:rsidRPr="00D369AA">
        <w:rPr>
          <w:lang w:val="es-CO"/>
        </w:rPr>
        <w:t>De acuerdo con lo</w:t>
      </w:r>
      <w:r w:rsidR="006D21A7" w:rsidRPr="00D369AA">
        <w:rPr>
          <w:lang w:val="es-CO"/>
        </w:rPr>
        <w:t xml:space="preserve"> plasmado en la exposición de motivos del</w:t>
      </w:r>
      <w:r w:rsidRPr="00D369AA">
        <w:rPr>
          <w:lang w:val="es-CO"/>
        </w:rPr>
        <w:t xml:space="preserve"> proyecto de acuerdo en estudio, la nueva configuración por grupos estratégic</w:t>
      </w:r>
      <w:r w:rsidR="00050F59" w:rsidRPr="00D369AA">
        <w:rPr>
          <w:lang w:val="es-CO"/>
        </w:rPr>
        <w:t xml:space="preserve">os de negocio de GEB evidencia </w:t>
      </w:r>
      <w:r w:rsidRPr="00D369AA">
        <w:rPr>
          <w:lang w:val="es-CO"/>
        </w:rPr>
        <w:t>la importancia de</w:t>
      </w:r>
      <w:r w:rsidR="00B115AF" w:rsidRPr="00D369AA">
        <w:rPr>
          <w:lang w:val="es-CO"/>
        </w:rPr>
        <w:t xml:space="preserve"> revisar</w:t>
      </w:r>
      <w:r w:rsidRPr="00D369AA">
        <w:rPr>
          <w:lang w:val="es-CO"/>
        </w:rPr>
        <w:t xml:space="preserve"> los activos que no se ajustan a la estrategia de la Compañía, </w:t>
      </w:r>
      <w:r w:rsidR="00B115AF" w:rsidRPr="00D369AA">
        <w:rPr>
          <w:lang w:val="es-CO"/>
        </w:rPr>
        <w:t xml:space="preserve">su alineación con </w:t>
      </w:r>
      <w:r w:rsidRPr="00D369AA">
        <w:rPr>
          <w:lang w:val="es-CO"/>
        </w:rPr>
        <w:t>los planes</w:t>
      </w:r>
      <w:r w:rsidR="00B115AF" w:rsidRPr="00D369AA">
        <w:rPr>
          <w:lang w:val="es-CO"/>
        </w:rPr>
        <w:t xml:space="preserve"> específicos </w:t>
      </w:r>
      <w:r w:rsidRPr="00D369AA">
        <w:rPr>
          <w:lang w:val="es-CO"/>
        </w:rPr>
        <w:t xml:space="preserve">a desarrollar en cada compañía y las inversiones que por tener un bajo </w:t>
      </w:r>
      <w:r w:rsidR="007E1836" w:rsidRPr="00D369AA">
        <w:rPr>
          <w:lang w:val="es-CO"/>
        </w:rPr>
        <w:t xml:space="preserve">o carente </w:t>
      </w:r>
      <w:r w:rsidRPr="00D369AA">
        <w:rPr>
          <w:lang w:val="es-CO"/>
        </w:rPr>
        <w:t xml:space="preserve">alineamiento con el </w:t>
      </w:r>
      <w:r w:rsidRPr="00D369AA">
        <w:rPr>
          <w:lang w:val="es-CO"/>
        </w:rPr>
        <w:lastRenderedPageBreak/>
        <w:t>tema dominante y la estrategia corporativa del grupo</w:t>
      </w:r>
      <w:r w:rsidR="007E1836" w:rsidRPr="00D369AA">
        <w:rPr>
          <w:lang w:val="es-CO"/>
        </w:rPr>
        <w:t xml:space="preserve"> requieren una evaluación especial de </w:t>
      </w:r>
      <w:r w:rsidRPr="00D369AA">
        <w:rPr>
          <w:lang w:val="es-CO"/>
        </w:rPr>
        <w:t xml:space="preserve">la participación en ellas. </w:t>
      </w:r>
    </w:p>
    <w:p w14:paraId="6630327A" w14:textId="0268893D" w:rsidR="00570525" w:rsidRPr="00D369AA" w:rsidRDefault="00570525" w:rsidP="008D31A1">
      <w:pPr>
        <w:rPr>
          <w:lang w:val="es-CO"/>
        </w:rPr>
      </w:pPr>
      <w:r w:rsidRPr="00D369AA">
        <w:rPr>
          <w:lang w:val="es-CO"/>
        </w:rPr>
        <w:t xml:space="preserve">Así mismo indica, que en la medida en que el plan estratégico persigue la concentración en tres Grupos Estratégicos de Negocio en donde EEB es líder, se evaluó la posibilidad de efectuar un proceso de desinversión en aquellos activos no controlados y que no se encuentran alineados con los tres pilares mencionados, los cuales, </w:t>
      </w:r>
      <w:r w:rsidRPr="00C93A32">
        <w:rPr>
          <w:i/>
          <w:lang w:val="es-CO"/>
        </w:rPr>
        <w:t>si bien resultan atractivos para los inversionistas del mercado público de valores, no se constituyen como una inversión estratégica para el G</w:t>
      </w:r>
      <w:r w:rsidR="00DE1ACA" w:rsidRPr="00C93A32">
        <w:rPr>
          <w:i/>
          <w:lang w:val="es-CO"/>
        </w:rPr>
        <w:t>EB</w:t>
      </w:r>
      <w:r w:rsidR="00C93A32">
        <w:rPr>
          <w:rStyle w:val="Refdenotaalpie"/>
          <w:i/>
          <w:lang w:val="es-CO"/>
        </w:rPr>
        <w:footnoteReference w:id="24"/>
      </w:r>
      <w:r w:rsidRPr="00D369AA">
        <w:rPr>
          <w:lang w:val="es-CO"/>
        </w:rPr>
        <w:t>.</w:t>
      </w:r>
    </w:p>
    <w:p w14:paraId="5F67CB60" w14:textId="77777777" w:rsidR="003F74FE" w:rsidRPr="003F74FE" w:rsidRDefault="000516B3" w:rsidP="003F74FE">
      <w:pPr>
        <w:rPr>
          <w:i/>
          <w:lang w:val="es-CO"/>
        </w:rPr>
      </w:pPr>
      <w:r w:rsidRPr="003F74FE">
        <w:rPr>
          <w:lang w:val="es-CO"/>
        </w:rPr>
        <w:t xml:space="preserve">Según </w:t>
      </w:r>
      <w:r w:rsidR="007A3B14" w:rsidRPr="003F74FE">
        <w:rPr>
          <w:lang w:val="es-CO"/>
        </w:rPr>
        <w:t xml:space="preserve">información suministrada por </w:t>
      </w:r>
      <w:r w:rsidR="00942710" w:rsidRPr="003F74FE">
        <w:rPr>
          <w:lang w:val="es-CO"/>
        </w:rPr>
        <w:t>EEB</w:t>
      </w:r>
      <w:r w:rsidR="007A3B14" w:rsidRPr="003F74FE">
        <w:rPr>
          <w:lang w:val="es-CO"/>
        </w:rPr>
        <w:t>,</w:t>
      </w:r>
      <w:r w:rsidR="003F74FE">
        <w:rPr>
          <w:lang w:val="es-CO"/>
        </w:rPr>
        <w:t xml:space="preserve"> </w:t>
      </w:r>
      <w:r w:rsidR="003F74FE" w:rsidRPr="003F74FE">
        <w:rPr>
          <w:i/>
          <w:lang w:val="es-CO"/>
        </w:rPr>
        <w:t>los criterios de evaluación para definir si una inversión se encuentra alineada o no con la estrategia corporativa se pueden enumerar como los siguientes:</w:t>
      </w:r>
    </w:p>
    <w:p w14:paraId="2BF20A67" w14:textId="77777777" w:rsidR="003F74FE" w:rsidRPr="003F74FE" w:rsidRDefault="003F74FE" w:rsidP="003F74FE">
      <w:pPr>
        <w:rPr>
          <w:i/>
          <w:lang w:val="es-CO"/>
        </w:rPr>
      </w:pPr>
    </w:p>
    <w:p w14:paraId="7F85D3CD" w14:textId="25A20D11" w:rsidR="003F74FE" w:rsidRPr="003F74FE" w:rsidRDefault="003F74FE" w:rsidP="003F74FE">
      <w:pPr>
        <w:pStyle w:val="Prrafodelista"/>
        <w:numPr>
          <w:ilvl w:val="0"/>
          <w:numId w:val="42"/>
        </w:numPr>
        <w:suppressAutoHyphens w:val="0"/>
        <w:spacing w:after="0"/>
        <w:rPr>
          <w:i/>
          <w:lang w:val="es-CO"/>
        </w:rPr>
      </w:pPr>
      <w:r w:rsidRPr="003F74FE">
        <w:rPr>
          <w:i/>
          <w:lang w:val="es-CO"/>
        </w:rPr>
        <w:t>Alineación con el tema dominante</w:t>
      </w:r>
      <w:r w:rsidR="001B1E2A">
        <w:rPr>
          <w:i/>
          <w:lang w:val="es-CO"/>
        </w:rPr>
        <w:t xml:space="preserve"> la estrategia corporativa y del liderazgo del </w:t>
      </w:r>
      <w:r w:rsidRPr="003F74FE">
        <w:rPr>
          <w:i/>
          <w:lang w:val="es-CO"/>
        </w:rPr>
        <w:t xml:space="preserve"> GEB: negocios en la cadena energética de baja emisión, enfocados en ejes region</w:t>
      </w:r>
      <w:r w:rsidRPr="003F74FE">
        <w:rPr>
          <w:i/>
          <w:lang w:val="es-CO"/>
        </w:rPr>
        <w:t>a</w:t>
      </w:r>
      <w:r w:rsidRPr="003F74FE">
        <w:rPr>
          <w:i/>
          <w:lang w:val="es-CO"/>
        </w:rPr>
        <w:t>les de alto consumo y que conectan grandes operadores.</w:t>
      </w:r>
    </w:p>
    <w:p w14:paraId="4A9888B7" w14:textId="77777777" w:rsidR="003F74FE" w:rsidRPr="003F74FE" w:rsidRDefault="003F74FE" w:rsidP="003F74FE">
      <w:pPr>
        <w:pStyle w:val="Prrafodelista"/>
        <w:suppressAutoHyphens w:val="0"/>
        <w:spacing w:after="0"/>
        <w:ind w:left="720"/>
        <w:rPr>
          <w:i/>
          <w:lang w:val="es-CO"/>
        </w:rPr>
      </w:pPr>
    </w:p>
    <w:p w14:paraId="21433336" w14:textId="77777777" w:rsidR="003F74FE" w:rsidRPr="003F74FE" w:rsidRDefault="003F74FE" w:rsidP="00E2214F">
      <w:pPr>
        <w:pStyle w:val="Prrafodelista"/>
        <w:numPr>
          <w:ilvl w:val="0"/>
          <w:numId w:val="42"/>
        </w:numPr>
        <w:suppressAutoHyphens w:val="0"/>
        <w:spacing w:after="0"/>
        <w:rPr>
          <w:i/>
          <w:lang w:val="es-CO"/>
        </w:rPr>
      </w:pPr>
      <w:r w:rsidRPr="003F74FE">
        <w:rPr>
          <w:i/>
          <w:lang w:val="es-CO"/>
        </w:rPr>
        <w:t>Bajos niveles de riesgo en la inversión, institucionalidad regulatoria y juríd</w:t>
      </w:r>
      <w:r w:rsidRPr="003F74FE">
        <w:rPr>
          <w:i/>
          <w:lang w:val="es-CO"/>
        </w:rPr>
        <w:t>i</w:t>
      </w:r>
      <w:r w:rsidRPr="003F74FE">
        <w:rPr>
          <w:i/>
          <w:lang w:val="es-CO"/>
        </w:rPr>
        <w:t>ca confiable y negocios Intensivos en Capital que por definición crean a</w:t>
      </w:r>
      <w:r w:rsidRPr="003F74FE">
        <w:rPr>
          <w:i/>
          <w:lang w:val="es-CO"/>
        </w:rPr>
        <w:t>m</w:t>
      </w:r>
      <w:r w:rsidRPr="003F74FE">
        <w:rPr>
          <w:i/>
          <w:lang w:val="es-CO"/>
        </w:rPr>
        <w:t>bientes competitivos más estables.</w:t>
      </w:r>
    </w:p>
    <w:p w14:paraId="500A6A4D" w14:textId="77777777" w:rsidR="003F74FE" w:rsidRPr="003F74FE" w:rsidRDefault="003F74FE" w:rsidP="003F74FE">
      <w:pPr>
        <w:pStyle w:val="Prrafodelista"/>
        <w:rPr>
          <w:i/>
          <w:lang w:val="es-CO"/>
        </w:rPr>
      </w:pPr>
    </w:p>
    <w:p w14:paraId="38EC8D42" w14:textId="77777777" w:rsidR="003F74FE" w:rsidRPr="003F74FE" w:rsidRDefault="003F74FE" w:rsidP="003F74FE">
      <w:pPr>
        <w:pStyle w:val="Prrafodelista"/>
        <w:numPr>
          <w:ilvl w:val="0"/>
          <w:numId w:val="42"/>
        </w:numPr>
        <w:suppressAutoHyphens w:val="0"/>
        <w:spacing w:after="0"/>
        <w:ind w:hanging="357"/>
        <w:rPr>
          <w:i/>
          <w:lang w:val="es-CO"/>
        </w:rPr>
      </w:pPr>
      <w:r w:rsidRPr="003F74FE">
        <w:rPr>
          <w:i/>
          <w:lang w:val="es-CO"/>
        </w:rPr>
        <w:t>Demografías en crecimiento y geografías con buena institucionalidad: d</w:t>
      </w:r>
      <w:r w:rsidRPr="003F74FE">
        <w:rPr>
          <w:i/>
          <w:lang w:val="es-CO"/>
        </w:rPr>
        <w:t>e</w:t>
      </w:r>
      <w:r w:rsidRPr="003F74FE">
        <w:rPr>
          <w:i/>
          <w:lang w:val="es-CO"/>
        </w:rPr>
        <w:t>mografías en expansión, (mega-ciudades y grandes áreas metropolitanas en expansión) o geografías con enorme potencial de desarrollo e instituci</w:t>
      </w:r>
      <w:r w:rsidRPr="003F74FE">
        <w:rPr>
          <w:i/>
          <w:lang w:val="es-CO"/>
        </w:rPr>
        <w:t>o</w:t>
      </w:r>
      <w:r w:rsidRPr="003F74FE">
        <w:rPr>
          <w:i/>
          <w:lang w:val="es-CO"/>
        </w:rPr>
        <w:t>nalidad regulatoria, política y empresarial sólida.</w:t>
      </w:r>
    </w:p>
    <w:p w14:paraId="5C8F933E" w14:textId="77777777" w:rsidR="003F74FE" w:rsidRPr="003F74FE" w:rsidRDefault="003F74FE" w:rsidP="003F74FE">
      <w:pPr>
        <w:pStyle w:val="Prrafodelista"/>
        <w:rPr>
          <w:i/>
          <w:lang w:val="es-CO"/>
        </w:rPr>
      </w:pPr>
    </w:p>
    <w:p w14:paraId="1F509739" w14:textId="65F3FF21" w:rsidR="007A3B14" w:rsidRPr="003F74FE" w:rsidRDefault="003F74FE" w:rsidP="003F74FE">
      <w:pPr>
        <w:pStyle w:val="Prrafodelista"/>
        <w:numPr>
          <w:ilvl w:val="0"/>
          <w:numId w:val="42"/>
        </w:numPr>
        <w:suppressAutoHyphens w:val="0"/>
        <w:spacing w:after="0"/>
        <w:ind w:hanging="357"/>
        <w:rPr>
          <w:i/>
          <w:lang w:val="es-CO"/>
        </w:rPr>
      </w:pPr>
      <w:r w:rsidRPr="003F74FE">
        <w:rPr>
          <w:i/>
          <w:lang w:val="es-CO"/>
        </w:rPr>
        <w:t>Inversiones alineadas con el Código de Gobierno Corporativo del GEB, con estándares de transparencia y reputación del más alto nivel y ausencia de conflictos de intereses con otras compañías del grupo</w:t>
      </w:r>
      <w:r w:rsidR="00416797" w:rsidRPr="003F74FE">
        <w:rPr>
          <w:rStyle w:val="Refdenotaalpie"/>
          <w:i/>
          <w:lang w:val="es-CO"/>
        </w:rPr>
        <w:footnoteReference w:id="25"/>
      </w:r>
      <w:r w:rsidR="007A3B14" w:rsidRPr="003F74FE">
        <w:rPr>
          <w:i/>
          <w:lang w:val="es-CO"/>
        </w:rPr>
        <w:t>.</w:t>
      </w:r>
    </w:p>
    <w:p w14:paraId="71C62FCF" w14:textId="77777777" w:rsidR="007A3B14" w:rsidRPr="00D369AA" w:rsidRDefault="007A3B14" w:rsidP="008D31A1">
      <w:pPr>
        <w:rPr>
          <w:lang w:val="es-CO"/>
        </w:rPr>
      </w:pPr>
    </w:p>
    <w:p w14:paraId="5B250AB0" w14:textId="77777777" w:rsidR="00F32F81" w:rsidRPr="00D369AA" w:rsidRDefault="00F32F81" w:rsidP="008D31A1">
      <w:pPr>
        <w:rPr>
          <w:lang w:val="es-CO"/>
        </w:rPr>
      </w:pPr>
      <w:r w:rsidRPr="00D369AA">
        <w:rPr>
          <w:lang w:val="es-CO"/>
        </w:rPr>
        <w:t xml:space="preserve">A continuación, se muestra el resumen de justificaciones para la realización de la recomposición ya mencionada. </w:t>
      </w:r>
    </w:p>
    <w:p w14:paraId="3717F0C2" w14:textId="77777777" w:rsidR="00F32F81" w:rsidRPr="00D369AA" w:rsidRDefault="00F32F81" w:rsidP="008D31A1">
      <w:pPr>
        <w:rPr>
          <w:i/>
          <w:iCs/>
          <w:color w:val="44546A"/>
          <w:lang w:val="es-CO"/>
        </w:rPr>
      </w:pPr>
    </w:p>
    <w:p w14:paraId="2C7C0EC1" w14:textId="412CE68E" w:rsidR="00F32F81" w:rsidRDefault="00F32F81" w:rsidP="001C4279">
      <w:pPr>
        <w:pStyle w:val="Epgrafe"/>
        <w:rPr>
          <w:rFonts w:eastAsia="Calibri" w:cs="Arial"/>
          <w:i w:val="0"/>
          <w:iCs/>
          <w:szCs w:val="24"/>
          <w:lang w:val="es-CO"/>
        </w:rPr>
      </w:pPr>
      <w:bookmarkStart w:id="3" w:name="_Toc464211518"/>
      <w:r w:rsidRPr="00D369AA">
        <w:rPr>
          <w:rFonts w:eastAsia="Calibri" w:cs="Arial"/>
          <w:i w:val="0"/>
          <w:iCs/>
          <w:szCs w:val="24"/>
          <w:lang w:val="es-CO"/>
        </w:rPr>
        <w:t>Activos no alineados con la estrategia de EEB</w:t>
      </w:r>
      <w:bookmarkEnd w:id="3"/>
    </w:p>
    <w:tbl>
      <w:tblPr>
        <w:tblStyle w:val="Tablaconcuadrcula"/>
        <w:tblW w:w="0" w:type="auto"/>
        <w:jc w:val="center"/>
        <w:tblLook w:val="04A0" w:firstRow="1" w:lastRow="0" w:firstColumn="1" w:lastColumn="0" w:noHBand="0" w:noVBand="1"/>
      </w:tblPr>
      <w:tblGrid>
        <w:gridCol w:w="2575"/>
        <w:gridCol w:w="5075"/>
      </w:tblGrid>
      <w:tr w:rsidR="00167D8D" w14:paraId="4065AF26" w14:textId="77777777" w:rsidTr="00167D8D">
        <w:trPr>
          <w:jc w:val="center"/>
        </w:trPr>
        <w:tc>
          <w:tcPr>
            <w:tcW w:w="2575" w:type="dxa"/>
          </w:tcPr>
          <w:p w14:paraId="1C14ECD3" w14:textId="7589C324" w:rsidR="00167D8D" w:rsidRPr="002D0598" w:rsidRDefault="00167D8D" w:rsidP="002D0598">
            <w:pPr>
              <w:jc w:val="center"/>
              <w:rPr>
                <w:rFonts w:eastAsia="Calibri"/>
                <w:b/>
                <w:lang w:val="es-CO"/>
              </w:rPr>
            </w:pPr>
            <w:r>
              <w:rPr>
                <w:rFonts w:eastAsia="Calibri"/>
                <w:b/>
                <w:lang w:val="es-CO"/>
              </w:rPr>
              <w:t>ACTIVO</w:t>
            </w:r>
          </w:p>
        </w:tc>
        <w:tc>
          <w:tcPr>
            <w:tcW w:w="5075" w:type="dxa"/>
          </w:tcPr>
          <w:p w14:paraId="69CE140C" w14:textId="41103876" w:rsidR="00167D8D" w:rsidRPr="002D0598" w:rsidRDefault="00167D8D" w:rsidP="002D0598">
            <w:pPr>
              <w:jc w:val="center"/>
              <w:rPr>
                <w:rFonts w:eastAsia="Calibri"/>
                <w:b/>
                <w:lang w:val="es-CO"/>
              </w:rPr>
            </w:pPr>
            <w:r w:rsidRPr="002D0598">
              <w:rPr>
                <w:rFonts w:eastAsia="Calibri"/>
                <w:b/>
                <w:lang w:val="es-CO"/>
              </w:rPr>
              <w:t>JUSTIFICACION</w:t>
            </w:r>
          </w:p>
        </w:tc>
      </w:tr>
      <w:tr w:rsidR="00167D8D" w14:paraId="0AF985AD" w14:textId="77777777" w:rsidTr="00167D8D">
        <w:trPr>
          <w:jc w:val="center"/>
        </w:trPr>
        <w:tc>
          <w:tcPr>
            <w:tcW w:w="2575" w:type="dxa"/>
          </w:tcPr>
          <w:p w14:paraId="7F6E3466" w14:textId="77777777" w:rsidR="00167D8D" w:rsidRPr="00D369AA" w:rsidRDefault="00167D8D" w:rsidP="00167D8D">
            <w:pPr>
              <w:spacing w:after="0"/>
              <w:ind w:left="-50"/>
              <w:jc w:val="center"/>
              <w:rPr>
                <w:rFonts w:cs="Arial"/>
                <w:sz w:val="20"/>
                <w:szCs w:val="24"/>
                <w:lang w:val="es-CO" w:eastAsia="es-CO"/>
              </w:rPr>
            </w:pPr>
            <w:r w:rsidRPr="00D369AA">
              <w:rPr>
                <w:rFonts w:cs="Arial"/>
                <w:noProof/>
                <w:sz w:val="20"/>
                <w:szCs w:val="24"/>
                <w:lang w:val="es-CO" w:eastAsia="es-CO"/>
              </w:rPr>
              <w:drawing>
                <wp:inline distT="0" distB="0" distL="0" distR="0" wp14:anchorId="5D99A93C" wp14:editId="6AFE58BB">
                  <wp:extent cx="1529715" cy="33718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529715" cy="337185"/>
                          </a:xfrm>
                          <a:prstGeom prst="rect">
                            <a:avLst/>
                          </a:prstGeom>
                          <a:noFill/>
                          <a:ln>
                            <a:noFill/>
                          </a:ln>
                          <a:effectLst/>
                          <a:extLst/>
                        </pic:spPr>
                      </pic:pic>
                    </a:graphicData>
                  </a:graphic>
                </wp:inline>
              </w:drawing>
            </w:r>
          </w:p>
          <w:p w14:paraId="41DD307B" w14:textId="77777777" w:rsidR="00167D8D" w:rsidRPr="00D369AA" w:rsidRDefault="00167D8D" w:rsidP="00167D8D">
            <w:pPr>
              <w:spacing w:after="0"/>
              <w:jc w:val="center"/>
              <w:rPr>
                <w:rFonts w:cs="Arial"/>
                <w:sz w:val="20"/>
                <w:szCs w:val="24"/>
                <w:lang w:val="es-CO" w:eastAsia="es-CO"/>
              </w:rPr>
            </w:pPr>
            <w:r w:rsidRPr="00D369AA">
              <w:rPr>
                <w:rFonts w:cs="Arial"/>
                <w:noProof/>
                <w:sz w:val="20"/>
                <w:szCs w:val="24"/>
                <w:lang w:val="es-CO" w:eastAsia="es-CO"/>
              </w:rPr>
              <mc:AlternateContent>
                <mc:Choice Requires="wps">
                  <w:drawing>
                    <wp:inline distT="0" distB="0" distL="0" distR="0" wp14:anchorId="3A9EFA64" wp14:editId="7FF89CED">
                      <wp:extent cx="618490" cy="276860"/>
                      <wp:effectExtent l="0" t="0" r="3810" b="4445"/>
                      <wp:docPr id="1" name="6 CuadroTexto"/>
                      <wp:cNvGraphicFramePr/>
                      <a:graphic xmlns:a="http://schemas.openxmlformats.org/drawingml/2006/main">
                        <a:graphicData uri="http://schemas.microsoft.com/office/word/2010/wordprocessingShape">
                          <wps:wsp>
                            <wps:cNvSpPr txBox="1"/>
                            <wps:spPr>
                              <a:xfrm>
                                <a:off x="0" y="0"/>
                                <a:ext cx="6184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37AA" w14:textId="77777777" w:rsidR="00E2214F" w:rsidRPr="00167D8D" w:rsidRDefault="00E2214F" w:rsidP="00167D8D">
                                  <w:pPr>
                                    <w:pStyle w:val="NormalWeb"/>
                                    <w:spacing w:after="0"/>
                                    <w:jc w:val="center"/>
                                    <w:rPr>
                                      <w:rFonts w:ascii="Arial" w:hAnsi="Arial" w:cs="Arial"/>
                                      <w:color w:val="000000"/>
                                      <w:szCs w:val="24"/>
                                    </w:rPr>
                                  </w:pPr>
                                  <w:r w:rsidRPr="00167D8D">
                                    <w:rPr>
                                      <w:rFonts w:ascii="Arial" w:hAnsi="Arial" w:cs="Arial"/>
                                      <w:color w:val="000000"/>
                                      <w:szCs w:val="24"/>
                                    </w:rPr>
                                    <w:t>15.6%</w:t>
                                  </w:r>
                                </w:p>
                                <w:p w14:paraId="767A1DAA" w14:textId="3FB89F81" w:rsidR="00E2214F" w:rsidRPr="00167D8D" w:rsidRDefault="00E2214F" w:rsidP="00167D8D">
                                  <w:pPr>
                                    <w:pStyle w:val="NormalWeb"/>
                                    <w:spacing w:after="0"/>
                                    <w:jc w:val="center"/>
                                    <w:rPr>
                                      <w:rFonts w:ascii="Arial" w:hAnsi="Arial" w:cs="Arial"/>
                                      <w:color w:val="000000"/>
                                      <w:szCs w:val="24"/>
                                    </w:rPr>
                                  </w:pPr>
                                  <w:r w:rsidRPr="00167D8D">
                                    <w:rPr>
                                      <w:rFonts w:ascii="Arial" w:hAnsi="Arial" w:cs="Arial"/>
                                      <w:color w:val="000000"/>
                                      <w:szCs w:val="24"/>
                                    </w:rPr>
                                    <w:t>177</w:t>
                                  </w:r>
                                  <w:r>
                                    <w:rPr>
                                      <w:rFonts w:ascii="Arial" w:hAnsi="Arial" w:cs="Arial"/>
                                      <w:color w:val="000000"/>
                                      <w:szCs w:val="24"/>
                                    </w:rPr>
                                    <w:t>.</w:t>
                                  </w:r>
                                  <w:r w:rsidRPr="00167D8D">
                                    <w:rPr>
                                      <w:rFonts w:ascii="Arial" w:hAnsi="Arial" w:cs="Arial"/>
                                      <w:color w:val="000000"/>
                                      <w:szCs w:val="24"/>
                                    </w:rPr>
                                    <w:t>464</w:t>
                                  </w:r>
                                  <w:r>
                                    <w:rPr>
                                      <w:rFonts w:ascii="Arial" w:hAnsi="Arial" w:cs="Arial"/>
                                      <w:color w:val="000000"/>
                                      <w:szCs w:val="24"/>
                                    </w:rPr>
                                    <w:t>.</w:t>
                                  </w:r>
                                  <w:r w:rsidRPr="00167D8D">
                                    <w:rPr>
                                      <w:rFonts w:ascii="Arial" w:hAnsi="Arial" w:cs="Arial"/>
                                      <w:color w:val="000000"/>
                                      <w:szCs w:val="24"/>
                                    </w:rPr>
                                    <w:t>263 acciones</w:t>
                                  </w:r>
                                </w:p>
                              </w:txbxContent>
                            </wps:txbx>
                            <wps:bodyPr wrap="none" lIns="0" tIns="0" rIns="0" bIns="0">
                              <a:spAutoFit/>
                            </wps:bodyPr>
                          </wps:wsp>
                        </a:graphicData>
                      </a:graphic>
                    </wp:inline>
                  </w:drawing>
                </mc:Choice>
                <mc:Fallback>
                  <w:pict>
                    <v:shapetype id="_x0000_t202" coordsize="21600,21600" o:spt="202" path="m,l,21600r21600,l21600,xe">
                      <v:stroke joinstyle="miter"/>
                      <v:path gradientshapeok="t" o:connecttype="rect"/>
                    </v:shapetype>
                    <v:shape id="6 CuadroTexto" o:spid="_x0000_s1026" type="#_x0000_t202" style="width:48.7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" filled="f" stroked="f">
                      <v:textbox style="mso-fit-shape-to-text:t" inset="0,0,0,0">
                        <w:txbxContent>
                          <w:p w14:paraId="020E37AA" w14:textId="77777777" w:rsidR="00E2214F" w:rsidRPr="00167D8D" w:rsidRDefault="00E2214F" w:rsidP="00167D8D">
                            <w:pPr>
                              <w:pStyle w:val="NormalWeb"/>
                              <w:spacing w:after="0"/>
                              <w:jc w:val="center"/>
                              <w:rPr>
                                <w:rFonts w:ascii="Arial" w:hAnsi="Arial" w:cs="Arial"/>
                                <w:color w:val="000000"/>
                                <w:szCs w:val="24"/>
                              </w:rPr>
                            </w:pPr>
                            <w:r w:rsidRPr="00167D8D">
                              <w:rPr>
                                <w:rFonts w:ascii="Arial" w:hAnsi="Arial" w:cs="Arial"/>
                                <w:color w:val="000000"/>
                                <w:szCs w:val="24"/>
                              </w:rPr>
                              <w:t>15.6%</w:t>
                            </w:r>
                          </w:p>
                          <w:p w14:paraId="767A1DAA" w14:textId="3FB89F81" w:rsidR="00E2214F" w:rsidRPr="00167D8D" w:rsidRDefault="00E2214F" w:rsidP="00167D8D">
                            <w:pPr>
                              <w:pStyle w:val="NormalWeb"/>
                              <w:spacing w:after="0"/>
                              <w:jc w:val="center"/>
                              <w:rPr>
                                <w:rFonts w:ascii="Arial" w:hAnsi="Arial" w:cs="Arial"/>
                                <w:color w:val="000000"/>
                                <w:szCs w:val="24"/>
                              </w:rPr>
                            </w:pPr>
                            <w:r w:rsidRPr="00167D8D">
                              <w:rPr>
                                <w:rFonts w:ascii="Arial" w:hAnsi="Arial" w:cs="Arial"/>
                                <w:color w:val="000000"/>
                                <w:szCs w:val="24"/>
                              </w:rPr>
                              <w:t>177</w:t>
                            </w:r>
                            <w:r>
                              <w:rPr>
                                <w:rFonts w:ascii="Arial" w:hAnsi="Arial" w:cs="Arial"/>
                                <w:color w:val="000000"/>
                                <w:szCs w:val="24"/>
                              </w:rPr>
                              <w:t>.</w:t>
                            </w:r>
                            <w:r w:rsidRPr="00167D8D">
                              <w:rPr>
                                <w:rFonts w:ascii="Arial" w:hAnsi="Arial" w:cs="Arial"/>
                                <w:color w:val="000000"/>
                                <w:szCs w:val="24"/>
                              </w:rPr>
                              <w:t>464</w:t>
                            </w:r>
                            <w:r>
                              <w:rPr>
                                <w:rFonts w:ascii="Arial" w:hAnsi="Arial" w:cs="Arial"/>
                                <w:color w:val="000000"/>
                                <w:szCs w:val="24"/>
                              </w:rPr>
                              <w:t>.</w:t>
                            </w:r>
                            <w:r w:rsidRPr="00167D8D">
                              <w:rPr>
                                <w:rFonts w:ascii="Arial" w:hAnsi="Arial" w:cs="Arial"/>
                                <w:color w:val="000000"/>
                                <w:szCs w:val="24"/>
                              </w:rPr>
                              <w:t>263 acciones</w:t>
                            </w:r>
                          </w:p>
                        </w:txbxContent>
                      </v:textbox>
                      <w10:anchorlock/>
                    </v:shape>
                  </w:pict>
                </mc:Fallback>
              </mc:AlternateContent>
            </w:r>
          </w:p>
          <w:p w14:paraId="17FD0A44" w14:textId="51C5F0FB" w:rsidR="00167D8D" w:rsidRDefault="00167D8D" w:rsidP="002D0598">
            <w:pPr>
              <w:rPr>
                <w:rFonts w:eastAsia="Calibri"/>
                <w:lang w:val="es-CO"/>
              </w:rPr>
            </w:pPr>
          </w:p>
        </w:tc>
        <w:tc>
          <w:tcPr>
            <w:tcW w:w="5075" w:type="dxa"/>
          </w:tcPr>
          <w:p w14:paraId="6ABFE43B" w14:textId="77777777" w:rsidR="00167D8D" w:rsidRPr="00D369AA" w:rsidRDefault="00167D8D" w:rsidP="002D0598">
            <w:pPr>
              <w:numPr>
                <w:ilvl w:val="0"/>
                <w:numId w:val="30"/>
              </w:numPr>
              <w:tabs>
                <w:tab w:val="clear" w:pos="720"/>
                <w:tab w:val="num" w:pos="284"/>
              </w:tabs>
              <w:spacing w:before="120" w:after="0"/>
              <w:ind w:left="284" w:right="141" w:hanging="142"/>
              <w:rPr>
                <w:rFonts w:cs="Arial"/>
                <w:sz w:val="20"/>
                <w:szCs w:val="24"/>
                <w:lang w:val="es-CO" w:eastAsia="es-CO"/>
              </w:rPr>
            </w:pPr>
            <w:r w:rsidRPr="00D369AA">
              <w:rPr>
                <w:rFonts w:cs="Arial"/>
                <w:sz w:val="20"/>
                <w:szCs w:val="24"/>
                <w:lang w:val="es-CO" w:eastAsia="es-CO"/>
              </w:rPr>
              <w:t xml:space="preserve">EEB se enfoca en grandes áreas metropolitanas (Lima, Bogotá), en lugar de </w:t>
            </w:r>
            <w:proofErr w:type="spellStart"/>
            <w:r w:rsidRPr="00D369AA">
              <w:rPr>
                <w:rFonts w:cs="Arial"/>
                <w:sz w:val="20"/>
                <w:szCs w:val="24"/>
                <w:lang w:val="es-CO" w:eastAsia="es-CO"/>
              </w:rPr>
              <w:t>multi</w:t>
            </w:r>
            <w:proofErr w:type="spellEnd"/>
            <w:r w:rsidRPr="00D369AA">
              <w:rPr>
                <w:rFonts w:cs="Arial"/>
                <w:sz w:val="20"/>
                <w:szCs w:val="24"/>
                <w:lang w:val="es-CO" w:eastAsia="es-CO"/>
              </w:rPr>
              <w:t xml:space="preserve">-ciudades. </w:t>
            </w:r>
          </w:p>
          <w:p w14:paraId="3828D0DD" w14:textId="77777777" w:rsidR="00167D8D" w:rsidRPr="002D0598" w:rsidRDefault="00167D8D" w:rsidP="002D0598">
            <w:pPr>
              <w:numPr>
                <w:ilvl w:val="0"/>
                <w:numId w:val="30"/>
              </w:numPr>
              <w:tabs>
                <w:tab w:val="clear" w:pos="720"/>
                <w:tab w:val="num" w:pos="284"/>
              </w:tabs>
              <w:spacing w:before="120" w:after="0"/>
              <w:ind w:left="284" w:right="141" w:hanging="142"/>
              <w:rPr>
                <w:rFonts w:eastAsia="Calibri"/>
                <w:lang w:val="es-CO"/>
              </w:rPr>
            </w:pPr>
            <w:r w:rsidRPr="00D369AA">
              <w:rPr>
                <w:rFonts w:cs="Arial"/>
                <w:sz w:val="20"/>
                <w:szCs w:val="24"/>
                <w:lang w:val="es-CO" w:eastAsia="es-CO"/>
              </w:rPr>
              <w:t xml:space="preserve">EEB no tiene la capacidad de intervenir proactivamente en la agenda de crecimiento de </w:t>
            </w:r>
            <w:proofErr w:type="spellStart"/>
            <w:r w:rsidRPr="00D369AA">
              <w:rPr>
                <w:rFonts w:cs="Arial"/>
                <w:sz w:val="20"/>
                <w:szCs w:val="24"/>
                <w:lang w:val="es-CO" w:eastAsia="es-CO"/>
              </w:rPr>
              <w:t>Promigas</w:t>
            </w:r>
            <w:proofErr w:type="spellEnd"/>
            <w:r w:rsidRPr="00D369AA">
              <w:rPr>
                <w:rFonts w:cs="Arial"/>
                <w:sz w:val="20"/>
                <w:szCs w:val="24"/>
                <w:lang w:val="es-CO" w:eastAsia="es-CO"/>
              </w:rPr>
              <w:t>, constituyéndose ésta en una inversión de portafolio.</w:t>
            </w:r>
          </w:p>
          <w:p w14:paraId="617F94CA" w14:textId="10E18B0D" w:rsidR="00167D8D" w:rsidRDefault="00167D8D" w:rsidP="002D0598">
            <w:pPr>
              <w:numPr>
                <w:ilvl w:val="0"/>
                <w:numId w:val="30"/>
              </w:numPr>
              <w:tabs>
                <w:tab w:val="clear" w:pos="720"/>
                <w:tab w:val="num" w:pos="284"/>
              </w:tabs>
              <w:spacing w:before="120" w:after="0"/>
              <w:ind w:left="284" w:right="141" w:hanging="142"/>
              <w:rPr>
                <w:rFonts w:eastAsia="Calibri"/>
                <w:lang w:val="es-CO"/>
              </w:rPr>
            </w:pPr>
            <w:r w:rsidRPr="00D369AA">
              <w:rPr>
                <w:rFonts w:cs="Arial"/>
                <w:sz w:val="20"/>
                <w:szCs w:val="24"/>
                <w:lang w:val="es-CO" w:eastAsia="es-CO"/>
              </w:rPr>
              <w:t xml:space="preserve">Desvincula relación con un socio que es competidor natural de TGI y genera conflictos de interés en la toma de decisiones estratégicas de la misma compañía y su plan de crecimiento: EEB compite con </w:t>
            </w:r>
            <w:proofErr w:type="spellStart"/>
            <w:r w:rsidRPr="00D369AA">
              <w:rPr>
                <w:rFonts w:cs="Arial"/>
                <w:sz w:val="20"/>
                <w:szCs w:val="24"/>
                <w:lang w:val="es-CO" w:eastAsia="es-CO"/>
              </w:rPr>
              <w:t>Promigas</w:t>
            </w:r>
            <w:proofErr w:type="spellEnd"/>
            <w:r w:rsidRPr="00D369AA">
              <w:rPr>
                <w:rFonts w:cs="Arial"/>
                <w:sz w:val="20"/>
                <w:szCs w:val="24"/>
                <w:lang w:val="es-CO" w:eastAsia="es-CO"/>
              </w:rPr>
              <w:t xml:space="preserve"> en los tres ejes estratégicos de la nueva configuración, lo cual va en contravía de la tesis estratégica del GEB la cual busca una relación simétrica y colaborativa con sus socios en lugar de competitiva.</w:t>
            </w:r>
          </w:p>
        </w:tc>
      </w:tr>
      <w:tr w:rsidR="00167D8D" w14:paraId="6D00E0DB" w14:textId="77777777" w:rsidTr="00167D8D">
        <w:trPr>
          <w:jc w:val="center"/>
        </w:trPr>
        <w:tc>
          <w:tcPr>
            <w:tcW w:w="2575" w:type="dxa"/>
          </w:tcPr>
          <w:p w14:paraId="2189E20A" w14:textId="5A43120F" w:rsidR="00167D8D" w:rsidRPr="00167D8D" w:rsidRDefault="00167D8D" w:rsidP="00167D8D">
            <w:pPr>
              <w:jc w:val="center"/>
              <w:rPr>
                <w:rFonts w:eastAsia="Calibri"/>
                <w:b/>
                <w:lang w:val="es-CO"/>
              </w:rPr>
            </w:pPr>
            <w:r w:rsidRPr="00D369AA">
              <w:rPr>
                <w:rFonts w:cs="Arial"/>
                <w:noProof/>
                <w:sz w:val="20"/>
                <w:szCs w:val="24"/>
                <w:lang w:val="es-CO" w:eastAsia="es-CO"/>
              </w:rPr>
              <w:drawing>
                <wp:inline distT="0" distB="0" distL="0" distR="0" wp14:anchorId="5A18AAC8" wp14:editId="7F5C929E">
                  <wp:extent cx="1020055" cy="778119"/>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3172" cy="780497"/>
                          </a:xfrm>
                          <a:prstGeom prst="rect">
                            <a:avLst/>
                          </a:prstGeom>
                          <a:noFill/>
                          <a:ln>
                            <a:noFill/>
                          </a:ln>
                        </pic:spPr>
                      </pic:pic>
                    </a:graphicData>
                  </a:graphic>
                </wp:inline>
              </w:drawing>
            </w:r>
          </w:p>
        </w:tc>
        <w:tc>
          <w:tcPr>
            <w:tcW w:w="5075" w:type="dxa"/>
          </w:tcPr>
          <w:p w14:paraId="5179B23E" w14:textId="17557F91" w:rsidR="00167D8D" w:rsidRDefault="00167D8D" w:rsidP="00167D8D">
            <w:pPr>
              <w:numPr>
                <w:ilvl w:val="0"/>
                <w:numId w:val="31"/>
              </w:numPr>
              <w:tabs>
                <w:tab w:val="clear" w:pos="720"/>
                <w:tab w:val="num" w:pos="284"/>
              </w:tabs>
              <w:spacing w:before="120" w:after="0"/>
              <w:ind w:left="284" w:right="141" w:hanging="142"/>
              <w:rPr>
                <w:rFonts w:cs="Arial"/>
                <w:sz w:val="20"/>
                <w:szCs w:val="24"/>
                <w:lang w:val="es-CO" w:eastAsia="es-CO"/>
              </w:rPr>
            </w:pPr>
            <w:r w:rsidRPr="00D369AA">
              <w:rPr>
                <w:rFonts w:cs="Arial"/>
                <w:sz w:val="20"/>
                <w:szCs w:val="24"/>
                <w:lang w:val="es-CO" w:eastAsia="es-CO"/>
              </w:rPr>
              <w:t xml:space="preserve">Para EEB, ésta es una inversión de portafolio: Posición minoritaria en la empresa </w:t>
            </w:r>
            <w:r w:rsidR="00CE724A">
              <w:rPr>
                <w:rFonts w:cs="Arial"/>
                <w:sz w:val="20"/>
                <w:szCs w:val="24"/>
                <w:lang w:val="es-CO" w:eastAsia="es-CO"/>
              </w:rPr>
              <w:t xml:space="preserve">en la que EEB no tiene </w:t>
            </w:r>
            <w:r w:rsidRPr="00D369AA">
              <w:rPr>
                <w:rFonts w:cs="Arial"/>
                <w:sz w:val="20"/>
                <w:szCs w:val="24"/>
                <w:lang w:val="es-CO" w:eastAsia="es-CO"/>
              </w:rPr>
              <w:t xml:space="preserve">injerencia administrativa y estratégica, ni capacidad de intervenir en la agenda de crecimiento de ISA. </w:t>
            </w:r>
          </w:p>
          <w:p w14:paraId="41B16935" w14:textId="44B7C73F" w:rsidR="00167D8D" w:rsidRPr="00167D8D" w:rsidRDefault="00167D8D" w:rsidP="00167D8D">
            <w:pPr>
              <w:numPr>
                <w:ilvl w:val="0"/>
                <w:numId w:val="31"/>
              </w:numPr>
              <w:tabs>
                <w:tab w:val="clear" w:pos="720"/>
                <w:tab w:val="num" w:pos="284"/>
              </w:tabs>
              <w:spacing w:before="120" w:after="0"/>
              <w:ind w:left="284" w:right="141" w:hanging="142"/>
              <w:rPr>
                <w:rFonts w:cs="Arial"/>
                <w:sz w:val="20"/>
                <w:szCs w:val="24"/>
                <w:lang w:val="es-CO" w:eastAsia="es-CO"/>
              </w:rPr>
            </w:pPr>
            <w:r w:rsidRPr="00167D8D">
              <w:rPr>
                <w:rFonts w:cs="Arial"/>
                <w:sz w:val="20"/>
                <w:szCs w:val="24"/>
                <w:lang w:val="es-CO" w:eastAsia="es-CO"/>
              </w:rPr>
              <w:t>ISA es competidor natural de EEB en el negocio de Transmisión.</w:t>
            </w:r>
          </w:p>
        </w:tc>
      </w:tr>
      <w:tr w:rsidR="00167D8D" w14:paraId="3E0233CB" w14:textId="77777777" w:rsidTr="00167D8D">
        <w:trPr>
          <w:jc w:val="center"/>
        </w:trPr>
        <w:tc>
          <w:tcPr>
            <w:tcW w:w="2575" w:type="dxa"/>
          </w:tcPr>
          <w:p w14:paraId="55BF192F" w14:textId="795578FD" w:rsidR="00167D8D" w:rsidRDefault="00167D8D" w:rsidP="00167D8D">
            <w:pPr>
              <w:jc w:val="center"/>
              <w:rPr>
                <w:rFonts w:eastAsia="Calibri"/>
                <w:lang w:val="es-CO"/>
              </w:rPr>
            </w:pPr>
            <w:r w:rsidRPr="00D369AA">
              <w:rPr>
                <w:rFonts w:cs="Arial"/>
                <w:noProof/>
                <w:sz w:val="20"/>
                <w:szCs w:val="24"/>
                <w:lang w:val="es-CO" w:eastAsia="es-CO"/>
              </w:rPr>
              <w:drawing>
                <wp:inline distT="0" distB="0" distL="0" distR="0" wp14:anchorId="5F0F7F1D" wp14:editId="708C6974">
                  <wp:extent cx="1381125" cy="1269358"/>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00" cy="1271633"/>
                          </a:xfrm>
                          <a:prstGeom prst="rect">
                            <a:avLst/>
                          </a:prstGeom>
                          <a:noFill/>
                          <a:ln>
                            <a:noFill/>
                          </a:ln>
                        </pic:spPr>
                      </pic:pic>
                    </a:graphicData>
                  </a:graphic>
                </wp:inline>
              </w:drawing>
            </w:r>
          </w:p>
        </w:tc>
        <w:tc>
          <w:tcPr>
            <w:tcW w:w="5075" w:type="dxa"/>
          </w:tcPr>
          <w:p w14:paraId="4971A9C2" w14:textId="77777777" w:rsidR="00167D8D" w:rsidRDefault="00167D8D" w:rsidP="00167D8D">
            <w:pPr>
              <w:numPr>
                <w:ilvl w:val="0"/>
                <w:numId w:val="31"/>
              </w:numPr>
              <w:tabs>
                <w:tab w:val="clear" w:pos="720"/>
                <w:tab w:val="num" w:pos="284"/>
              </w:tabs>
              <w:spacing w:before="120" w:after="0"/>
              <w:ind w:left="284" w:right="141" w:hanging="142"/>
              <w:rPr>
                <w:rFonts w:cs="Arial"/>
                <w:sz w:val="20"/>
                <w:szCs w:val="24"/>
                <w:lang w:val="es-CO" w:eastAsia="es-CO"/>
              </w:rPr>
            </w:pPr>
            <w:r w:rsidRPr="00D369AA">
              <w:rPr>
                <w:rFonts w:cs="Arial"/>
                <w:sz w:val="20"/>
                <w:szCs w:val="24"/>
                <w:lang w:val="es-CO" w:eastAsia="es-CO"/>
              </w:rPr>
              <w:t xml:space="preserve">Las inversiones en Grupo </w:t>
            </w:r>
            <w:proofErr w:type="spellStart"/>
            <w:r w:rsidRPr="00D369AA">
              <w:rPr>
                <w:rFonts w:cs="Arial"/>
                <w:sz w:val="20"/>
                <w:szCs w:val="24"/>
                <w:lang w:val="es-CO" w:eastAsia="es-CO"/>
              </w:rPr>
              <w:t>Nutresa</w:t>
            </w:r>
            <w:proofErr w:type="spellEnd"/>
            <w:r w:rsidRPr="00D369AA">
              <w:rPr>
                <w:rFonts w:cs="Arial"/>
                <w:sz w:val="20"/>
                <w:szCs w:val="24"/>
                <w:lang w:val="es-CO" w:eastAsia="es-CO"/>
              </w:rPr>
              <w:t xml:space="preserve"> y Banco Popular, no se encuentran enmarcadas en ninguno de los Grupos Estratégicos de negocio de EEB. </w:t>
            </w:r>
          </w:p>
          <w:p w14:paraId="1F360202" w14:textId="288A6253" w:rsidR="00167D8D" w:rsidRPr="00167D8D" w:rsidRDefault="00167D8D" w:rsidP="00167D8D">
            <w:pPr>
              <w:numPr>
                <w:ilvl w:val="0"/>
                <w:numId w:val="31"/>
              </w:numPr>
              <w:tabs>
                <w:tab w:val="clear" w:pos="720"/>
                <w:tab w:val="num" w:pos="284"/>
              </w:tabs>
              <w:spacing w:before="120" w:after="0"/>
              <w:ind w:left="284" w:right="141" w:hanging="142"/>
              <w:rPr>
                <w:rFonts w:cs="Arial"/>
                <w:sz w:val="20"/>
                <w:szCs w:val="24"/>
                <w:lang w:val="es-CO" w:eastAsia="es-CO"/>
              </w:rPr>
            </w:pPr>
            <w:r w:rsidRPr="00167D8D">
              <w:rPr>
                <w:rFonts w:cs="Arial"/>
                <w:sz w:val="20"/>
                <w:szCs w:val="24"/>
                <w:lang w:val="es-CO" w:eastAsia="es-CO"/>
              </w:rPr>
              <w:t>En ambos casos, EEB tiene posición minoritaria, que no le permite tener injerencia en la agenda de crecimiento de cada empresa.</w:t>
            </w:r>
          </w:p>
        </w:tc>
      </w:tr>
    </w:tbl>
    <w:p w14:paraId="059241E0" w14:textId="2639BE35" w:rsidR="00F32F81" w:rsidRPr="00D369AA" w:rsidRDefault="00F32F81" w:rsidP="00167D8D">
      <w:pPr>
        <w:pStyle w:val="Citadestacada"/>
        <w:ind w:left="585"/>
        <w:rPr>
          <w:lang w:val="es-CO"/>
        </w:rPr>
      </w:pPr>
      <w:r w:rsidRPr="00D369AA">
        <w:rPr>
          <w:lang w:val="es-CO"/>
        </w:rPr>
        <w:t>Fuente:</w:t>
      </w:r>
      <w:r w:rsidR="00167D8D">
        <w:rPr>
          <w:lang w:val="es-CO"/>
        </w:rPr>
        <w:t xml:space="preserve"> Elaboración </w:t>
      </w:r>
      <w:r w:rsidR="00167D8D" w:rsidRPr="00D369AA">
        <w:rPr>
          <w:lang w:val="es-CO"/>
        </w:rPr>
        <w:t xml:space="preserve"> propia</w:t>
      </w:r>
      <w:r w:rsidR="00167D8D">
        <w:rPr>
          <w:lang w:val="es-CO"/>
        </w:rPr>
        <w:t xml:space="preserve"> con base en información contenida en la e</w:t>
      </w:r>
      <w:r w:rsidR="00B24EFD" w:rsidRPr="00D369AA">
        <w:rPr>
          <w:lang w:val="es-CO"/>
        </w:rPr>
        <w:t>xposición de motivos P</w:t>
      </w:r>
      <w:r w:rsidR="00167D8D">
        <w:rPr>
          <w:lang w:val="es-CO"/>
        </w:rPr>
        <w:t>royecto de Acuerdo 472 de 2016</w:t>
      </w:r>
      <w:r w:rsidR="00B24EFD" w:rsidRPr="00D369AA">
        <w:rPr>
          <w:lang w:val="es-CO"/>
        </w:rPr>
        <w:t>.</w:t>
      </w:r>
      <w:r w:rsidR="002C7C02" w:rsidRPr="00D369AA">
        <w:rPr>
          <w:lang w:val="es-CO"/>
        </w:rPr>
        <w:t xml:space="preserve"> </w:t>
      </w:r>
    </w:p>
    <w:p w14:paraId="56F5DCE8" w14:textId="77777777" w:rsidR="00F545F8" w:rsidRPr="00D369AA" w:rsidRDefault="00042695" w:rsidP="008D31A1">
      <w:pPr>
        <w:ind w:right="51"/>
        <w:rPr>
          <w:lang w:val="es-CO"/>
        </w:rPr>
      </w:pPr>
      <w:r w:rsidRPr="00D369AA">
        <w:rPr>
          <w:lang w:val="es-CO"/>
        </w:rPr>
        <w:t>Es por esta razón que</w:t>
      </w:r>
      <w:r w:rsidR="00704C24" w:rsidRPr="00D369AA">
        <w:rPr>
          <w:lang w:val="es-CO"/>
        </w:rPr>
        <w:t>,</w:t>
      </w:r>
      <w:r w:rsidRPr="00D369AA">
        <w:rPr>
          <w:lang w:val="es-CO"/>
        </w:rPr>
        <w:t xml:space="preserve"> de conformidad con los lineamientos estratégicos aprobados, la Junta Directiva</w:t>
      </w:r>
      <w:r w:rsidR="00460358" w:rsidRPr="00D369AA">
        <w:rPr>
          <w:lang w:val="es-CO"/>
        </w:rPr>
        <w:t xml:space="preserve"> de la GEB</w:t>
      </w:r>
      <w:r w:rsidR="005D2CD3" w:rsidRPr="00D369AA">
        <w:rPr>
          <w:lang w:val="es-CO"/>
        </w:rPr>
        <w:t xml:space="preserve"> ha</w:t>
      </w:r>
      <w:r w:rsidRPr="00D369AA">
        <w:rPr>
          <w:lang w:val="es-CO"/>
        </w:rPr>
        <w:t xml:space="preserve"> decidido autorizar la disposición de la participación accionaria directa que posee en Interconexión Eléctrica S.A. E.S.P</w:t>
      </w:r>
      <w:proofErr w:type="gramStart"/>
      <w:r w:rsidRPr="00D369AA">
        <w:rPr>
          <w:lang w:val="es-CO"/>
        </w:rPr>
        <w:t>.–</w:t>
      </w:r>
      <w:proofErr w:type="gramEnd"/>
      <w:r w:rsidRPr="00D369AA">
        <w:rPr>
          <w:lang w:val="es-CO"/>
        </w:rPr>
        <w:t xml:space="preserve">ISA- (1,67%), Banco Popular S.A. (0,11%), Grupo </w:t>
      </w:r>
      <w:proofErr w:type="spellStart"/>
      <w:r w:rsidRPr="00D369AA">
        <w:rPr>
          <w:lang w:val="es-CO"/>
        </w:rPr>
        <w:t>Nutresa</w:t>
      </w:r>
      <w:proofErr w:type="spellEnd"/>
      <w:r w:rsidRPr="00D369AA">
        <w:rPr>
          <w:lang w:val="es-CO"/>
        </w:rPr>
        <w:t xml:space="preserve"> S.A. (0,0001%) y de la </w:t>
      </w:r>
      <w:r w:rsidRPr="00D369AA">
        <w:rPr>
          <w:lang w:val="es-CO"/>
        </w:rPr>
        <w:lastRenderedPageBreak/>
        <w:t xml:space="preserve">participación que a través de EEB Gas S.A.S. se tiene en </w:t>
      </w:r>
      <w:proofErr w:type="spellStart"/>
      <w:r w:rsidRPr="00D369AA">
        <w:rPr>
          <w:lang w:val="es-CO"/>
        </w:rPr>
        <w:t>Promigas</w:t>
      </w:r>
      <w:proofErr w:type="spellEnd"/>
      <w:r w:rsidRPr="00D369AA">
        <w:rPr>
          <w:lang w:val="es-CO"/>
        </w:rPr>
        <w:t xml:space="preserve"> S.A. ESP. (15,64%).</w:t>
      </w:r>
    </w:p>
    <w:p w14:paraId="31288267" w14:textId="77777777" w:rsidR="00EF20CD" w:rsidRPr="00D369AA" w:rsidRDefault="00EF20CD" w:rsidP="008D31A1">
      <w:pPr>
        <w:ind w:right="51"/>
        <w:rPr>
          <w:lang w:val="es-CO"/>
        </w:rPr>
      </w:pPr>
      <w:r w:rsidRPr="00D369AA">
        <w:rPr>
          <w:lang w:val="es-CO"/>
        </w:rPr>
        <w:t>A continuación se realizar</w:t>
      </w:r>
      <w:r w:rsidR="006C3169" w:rsidRPr="00D369AA">
        <w:rPr>
          <w:lang w:val="es-CO"/>
        </w:rPr>
        <w:t>á</w:t>
      </w:r>
      <w:r w:rsidRPr="00D369AA">
        <w:rPr>
          <w:lang w:val="es-CO"/>
        </w:rPr>
        <w:t xml:space="preserve"> un recuento del estado actual de la participación accionaria en cada una de las empresas objeto de autorización de enajenación por parte de la EEB S.A. E.S.P y EEB GAS S.A.S.</w:t>
      </w:r>
    </w:p>
    <w:p w14:paraId="7A1F8640" w14:textId="77777777" w:rsidR="009331E9" w:rsidRPr="00D369AA" w:rsidRDefault="009331E9" w:rsidP="008D31A1">
      <w:pPr>
        <w:ind w:right="51"/>
        <w:rPr>
          <w:lang w:val="es-CO"/>
        </w:rPr>
      </w:pPr>
    </w:p>
    <w:p w14:paraId="266E477A" w14:textId="5CE5B50C" w:rsidR="009331E9" w:rsidRPr="00D369AA" w:rsidRDefault="00D369AA" w:rsidP="008D31A1">
      <w:pPr>
        <w:pStyle w:val="Ttulo2"/>
        <w:rPr>
          <w:lang w:val="es-CO"/>
        </w:rPr>
      </w:pPr>
      <w:r w:rsidRPr="00D369AA">
        <w:rPr>
          <w:lang w:val="es-CO"/>
        </w:rPr>
        <w:t>INTERCONEXIÓN</w:t>
      </w:r>
      <w:r w:rsidR="009331E9" w:rsidRPr="00D369AA">
        <w:rPr>
          <w:lang w:val="es-CO"/>
        </w:rPr>
        <w:t xml:space="preserve"> </w:t>
      </w:r>
      <w:r w:rsidRPr="00D369AA">
        <w:rPr>
          <w:lang w:val="es-CO"/>
        </w:rPr>
        <w:t>ELÉCTRICA</w:t>
      </w:r>
      <w:r w:rsidR="009331E9" w:rsidRPr="00D369AA">
        <w:rPr>
          <w:lang w:val="es-CO"/>
        </w:rPr>
        <w:t xml:space="preserve"> S.A. E.S.P </w:t>
      </w:r>
      <w:r w:rsidR="00B15285" w:rsidRPr="00D369AA">
        <w:rPr>
          <w:lang w:val="es-CO"/>
        </w:rPr>
        <w:t xml:space="preserve">- </w:t>
      </w:r>
      <w:r w:rsidR="009331E9" w:rsidRPr="00D369AA">
        <w:rPr>
          <w:lang w:val="es-CO"/>
        </w:rPr>
        <w:t>ISA</w:t>
      </w:r>
    </w:p>
    <w:p w14:paraId="6FB8E178" w14:textId="77777777" w:rsidR="002B0929" w:rsidRPr="00D369AA" w:rsidRDefault="002B0929" w:rsidP="008D31A1">
      <w:pPr>
        <w:pStyle w:val="Ttulo3"/>
        <w:rPr>
          <w:lang w:val="es-CO"/>
        </w:rPr>
      </w:pPr>
      <w:r w:rsidRPr="00D369AA">
        <w:rPr>
          <w:lang w:val="es-CO"/>
        </w:rPr>
        <w:t>Descripción de la empresa</w:t>
      </w:r>
    </w:p>
    <w:p w14:paraId="22AEA3BE" w14:textId="77777777" w:rsidR="00F545F8" w:rsidRDefault="001A1949" w:rsidP="008D31A1">
      <w:pPr>
        <w:ind w:right="51"/>
        <w:rPr>
          <w:lang w:val="es-CO"/>
        </w:rPr>
      </w:pPr>
      <w:r w:rsidRPr="00D369AA">
        <w:rPr>
          <w:lang w:val="es-CO"/>
        </w:rPr>
        <w:t xml:space="preserve">Es una empresa de servicios públicos mixta con inversionistas estatales públicos y privados que </w:t>
      </w:r>
      <w:r w:rsidR="00D906AD" w:rsidRPr="00D369AA">
        <w:rPr>
          <w:lang w:val="es-CO"/>
        </w:rPr>
        <w:t xml:space="preserve">focaliza </w:t>
      </w:r>
      <w:r w:rsidRPr="00D369AA">
        <w:rPr>
          <w:lang w:val="es-CO"/>
        </w:rPr>
        <w:t>actividades en los negocios de </w:t>
      </w:r>
      <w:hyperlink r:id="rId31" w:history="1">
        <w:r w:rsidRPr="00D369AA">
          <w:rPr>
            <w:lang w:val="es-CO"/>
          </w:rPr>
          <w:t>Transporte de Energía Eléctrica</w:t>
        </w:r>
      </w:hyperlink>
      <w:r w:rsidRPr="00D369AA">
        <w:rPr>
          <w:lang w:val="es-CO"/>
        </w:rPr>
        <w:t>, </w:t>
      </w:r>
      <w:hyperlink r:id="rId32" w:history="1">
        <w:r w:rsidRPr="00D369AA">
          <w:rPr>
            <w:lang w:val="es-CO"/>
          </w:rPr>
          <w:t>Concesiones Viales</w:t>
        </w:r>
      </w:hyperlink>
      <w:r w:rsidRPr="00D369AA">
        <w:rPr>
          <w:lang w:val="es-CO"/>
        </w:rPr>
        <w:t>, </w:t>
      </w:r>
      <w:hyperlink r:id="rId33" w:history="1">
        <w:r w:rsidRPr="00D369AA">
          <w:rPr>
            <w:lang w:val="es-CO"/>
          </w:rPr>
          <w:t>Transporte de Telecomunicaciones</w:t>
        </w:r>
      </w:hyperlink>
      <w:r w:rsidRPr="00D369AA">
        <w:rPr>
          <w:lang w:val="es-CO"/>
        </w:rPr>
        <w:t xml:space="preserve"> y </w:t>
      </w:r>
      <w:hyperlink r:id="rId34" w:history="1">
        <w:r w:rsidRPr="00D369AA">
          <w:rPr>
            <w:lang w:val="es-CO"/>
          </w:rPr>
          <w:t>Gestión de Sistemas de Tiempo Real</w:t>
        </w:r>
      </w:hyperlink>
      <w:r w:rsidR="007C187D" w:rsidRPr="00D369AA">
        <w:rPr>
          <w:lang w:val="es-CO"/>
        </w:rPr>
        <w:t>, directamente y a través de sus 33 filiales y subsidiarias, adelanta proyectos de infraestructura en Colombia, Brasil, Perú, Chile, Bolivia, Ecuador, Argentina y Panamá.</w:t>
      </w:r>
    </w:p>
    <w:p w14:paraId="5CFFD7D4" w14:textId="77777777" w:rsidR="00B905FD" w:rsidRPr="00D369AA" w:rsidRDefault="00B905FD" w:rsidP="008D31A1">
      <w:pPr>
        <w:ind w:right="51"/>
        <w:rPr>
          <w:lang w:val="es-CO"/>
        </w:rPr>
      </w:pPr>
    </w:p>
    <w:p w14:paraId="20CC8046" w14:textId="77777777" w:rsidR="00D906AD" w:rsidRPr="00D369AA" w:rsidRDefault="00D906AD" w:rsidP="008D31A1">
      <w:pPr>
        <w:pStyle w:val="Prrafodelista"/>
        <w:numPr>
          <w:ilvl w:val="0"/>
          <w:numId w:val="9"/>
        </w:numPr>
        <w:ind w:right="51"/>
        <w:rPr>
          <w:bCs/>
          <w:i/>
          <w:sz w:val="16"/>
          <w:szCs w:val="16"/>
          <w:lang w:val="es-CO"/>
        </w:rPr>
      </w:pPr>
      <w:r w:rsidRPr="00D369AA">
        <w:rPr>
          <w:i/>
          <w:u w:val="single"/>
          <w:lang w:val="es-CO"/>
        </w:rPr>
        <w:t>Negocio Transporte de Energía Eléctrica</w:t>
      </w:r>
    </w:p>
    <w:p w14:paraId="6061C582" w14:textId="77777777" w:rsidR="00D906AD" w:rsidRPr="00D369AA" w:rsidRDefault="00D906AD" w:rsidP="008D31A1">
      <w:pPr>
        <w:pStyle w:val="Prrafodelista"/>
        <w:ind w:left="720" w:right="51"/>
        <w:rPr>
          <w:lang w:val="es-CO"/>
        </w:rPr>
      </w:pPr>
      <w:r w:rsidRPr="00D369AA">
        <w:rPr>
          <w:lang w:val="es-CO"/>
        </w:rPr>
        <w:t>ISA a través de sus empresas filiales y subsidiarias, expande, opera y mantiene sistemas de transmisión de energía a alto voltaje, posee 41.885 km de circuito de alta tensión, 80.815 MVA de capacidad de transformación e interconexiones entre Venezuela y Colombia, Colombia y Ecuador, y Ecuador y Perú.</w:t>
      </w:r>
    </w:p>
    <w:p w14:paraId="21E30264" w14:textId="77777777" w:rsidR="00D906AD" w:rsidRPr="00D369AA" w:rsidRDefault="00D906AD" w:rsidP="008D31A1">
      <w:pPr>
        <w:pStyle w:val="Prrafodelista"/>
        <w:numPr>
          <w:ilvl w:val="0"/>
          <w:numId w:val="9"/>
        </w:numPr>
        <w:ind w:right="51"/>
        <w:rPr>
          <w:bCs/>
          <w:i/>
          <w:sz w:val="16"/>
          <w:szCs w:val="16"/>
          <w:lang w:val="es-CO"/>
        </w:rPr>
      </w:pPr>
      <w:r w:rsidRPr="00D369AA">
        <w:rPr>
          <w:i/>
          <w:u w:val="single"/>
          <w:lang w:val="es-CO"/>
        </w:rPr>
        <w:t>Negocio Transporte de Telecomunicaciones</w:t>
      </w:r>
    </w:p>
    <w:p w14:paraId="1CDF7AF7" w14:textId="4608E21E" w:rsidR="00D906AD" w:rsidRPr="00D369AA" w:rsidRDefault="00D906AD" w:rsidP="008D31A1">
      <w:pPr>
        <w:pStyle w:val="Prrafodelista"/>
        <w:ind w:left="720" w:right="51"/>
        <w:rPr>
          <w:lang w:val="es-CO"/>
        </w:rPr>
      </w:pPr>
      <w:r w:rsidRPr="00D369AA">
        <w:rPr>
          <w:lang w:val="es-CO"/>
        </w:rPr>
        <w:t>INTERNEXA se dedica al diseño integral de soluciones de conectividad internacional, nacional y metropolitana, proporcionando acceso a internet</w:t>
      </w:r>
      <w:r w:rsidR="00B1659C" w:rsidRPr="00D369AA">
        <w:rPr>
          <w:lang w:val="es-CO"/>
        </w:rPr>
        <w:t>. S</w:t>
      </w:r>
      <w:r w:rsidRPr="00D369AA">
        <w:rPr>
          <w:lang w:val="es-CO"/>
        </w:rPr>
        <w:t>u rol principal en la cadena de valor ha sido disponer de una red abierta para todos los jugadores del continente, ofreciendo una amplia plataforma de conectividad para Latinoamérica y en conexión con Estados Unidos.</w:t>
      </w:r>
    </w:p>
    <w:p w14:paraId="447D17E4" w14:textId="77777777" w:rsidR="00050F59" w:rsidRPr="00D369AA" w:rsidRDefault="00D906AD" w:rsidP="008D31A1">
      <w:pPr>
        <w:pStyle w:val="Prrafodelista"/>
        <w:ind w:left="720" w:right="51"/>
        <w:rPr>
          <w:i/>
          <w:lang w:val="es-CO"/>
        </w:rPr>
      </w:pPr>
      <w:r w:rsidRPr="00D369AA">
        <w:rPr>
          <w:i/>
          <w:lang w:val="es-CO"/>
        </w:rPr>
        <w:t xml:space="preserve">Posee infraestructuras submarinas propias (19.900 km) que unen a los Estados Unidos con Colombia y Brasil, y otras arrendadas que sirven de respaldo a la información transportada, multiplicando así la oferta de servicios en más de 170 ciudades latinoamericanas y todas las posibilidades que la conexión con Estados Unidos proporciona. La </w:t>
      </w:r>
      <w:r w:rsidRPr="00D369AA">
        <w:rPr>
          <w:i/>
          <w:lang w:val="es-CO"/>
        </w:rPr>
        <w:lastRenderedPageBreak/>
        <w:t>extensión total de su red asciende a 48.866 kilómetros de fibras ópticas terrestres y submarinas</w:t>
      </w:r>
      <w:r w:rsidRPr="00D369AA">
        <w:rPr>
          <w:rStyle w:val="Refdenotaalpie"/>
          <w:i/>
          <w:lang w:val="es-CO"/>
        </w:rPr>
        <w:footnoteReference w:id="26"/>
      </w:r>
      <w:r w:rsidR="00050F59" w:rsidRPr="00D369AA">
        <w:rPr>
          <w:i/>
          <w:lang w:val="es-CO"/>
        </w:rPr>
        <w:t>.</w:t>
      </w:r>
    </w:p>
    <w:p w14:paraId="4140FB0F" w14:textId="77777777" w:rsidR="00D906AD" w:rsidRPr="00D369AA" w:rsidRDefault="00D906AD" w:rsidP="008D31A1">
      <w:pPr>
        <w:pStyle w:val="Prrafodelista"/>
        <w:numPr>
          <w:ilvl w:val="0"/>
          <w:numId w:val="9"/>
        </w:numPr>
        <w:ind w:right="51"/>
        <w:rPr>
          <w:bCs/>
          <w:i/>
          <w:sz w:val="16"/>
          <w:szCs w:val="16"/>
          <w:lang w:val="es-CO"/>
        </w:rPr>
      </w:pPr>
      <w:r w:rsidRPr="00D369AA">
        <w:rPr>
          <w:i/>
          <w:u w:val="single"/>
          <w:lang w:val="es-CO"/>
        </w:rPr>
        <w:t>Negocio Concesiones Viales</w:t>
      </w:r>
    </w:p>
    <w:p w14:paraId="74EC3960" w14:textId="77777777" w:rsidR="00D906AD" w:rsidRPr="00D369AA" w:rsidRDefault="00D906AD" w:rsidP="008D31A1">
      <w:pPr>
        <w:pStyle w:val="Prrafodelista"/>
        <w:ind w:left="720" w:right="51"/>
        <w:rPr>
          <w:i/>
          <w:lang w:val="es-CO"/>
        </w:rPr>
      </w:pPr>
      <w:r w:rsidRPr="00D369AA">
        <w:rPr>
          <w:i/>
          <w:lang w:val="es-CO"/>
        </w:rPr>
        <w:t>INTERVIAL CHILE a través de sus cinco sociedades concesionarias es el mayor operador de vías interurbanas del país y bajo su responsabilidad está el control, operación y administración de cinco concesiones contiguas que se extienden a lo largo de la Ruta 5 Sur, desde Santiago hasta la ciudad de Río Bueno.</w:t>
      </w:r>
    </w:p>
    <w:p w14:paraId="25620A4B" w14:textId="77777777" w:rsidR="00D906AD" w:rsidRPr="00D369AA" w:rsidRDefault="00D906AD" w:rsidP="008D31A1">
      <w:pPr>
        <w:pStyle w:val="Prrafodelista"/>
        <w:ind w:left="720" w:right="51"/>
        <w:rPr>
          <w:i/>
          <w:lang w:val="es-CO"/>
        </w:rPr>
      </w:pPr>
      <w:r w:rsidRPr="00D369AA">
        <w:rPr>
          <w:i/>
          <w:lang w:val="es-CO"/>
        </w:rPr>
        <w:t>Para atender los usuarios, las concesionarias cuentan con centrales de emergencia, postes SOS, vehículos de emergencia, áreas de control y servicio, etc. Así mismo, mantienen una comunicación fluida y oportuna con los usuarios y la comunidad, a través de campañas en medios masivos de comunicación, paneles de mensajería variable, página web, aplicaciones móviles (APP), cuentas de Twitter, entre otros; estos medios posibilitan conocer el estado del tráfico y las carreteras, condiciones climáticas, campañas de seguridad, planes de contingencia en períodos de mayor tráfico y recomendaciones para un viaje más seguro</w:t>
      </w:r>
      <w:r w:rsidRPr="00D369AA">
        <w:rPr>
          <w:rStyle w:val="Refdenotaalpie"/>
          <w:i/>
          <w:lang w:val="es-CO"/>
        </w:rPr>
        <w:footnoteReference w:id="27"/>
      </w:r>
      <w:r w:rsidRPr="00D369AA">
        <w:rPr>
          <w:i/>
          <w:lang w:val="es-CO"/>
        </w:rPr>
        <w:t>.</w:t>
      </w:r>
    </w:p>
    <w:p w14:paraId="33F2FC91" w14:textId="77777777" w:rsidR="00D906AD" w:rsidRPr="00D369AA" w:rsidRDefault="00D906AD" w:rsidP="008D31A1">
      <w:pPr>
        <w:pStyle w:val="Prrafodelista"/>
        <w:numPr>
          <w:ilvl w:val="0"/>
          <w:numId w:val="9"/>
        </w:numPr>
        <w:ind w:right="51"/>
        <w:rPr>
          <w:bCs/>
          <w:i/>
          <w:sz w:val="16"/>
          <w:szCs w:val="16"/>
          <w:lang w:val="es-CO"/>
        </w:rPr>
      </w:pPr>
      <w:r w:rsidRPr="00D369AA">
        <w:rPr>
          <w:i/>
          <w:u w:val="single"/>
          <w:lang w:val="es-CO"/>
        </w:rPr>
        <w:t>Negocio Gestión de Sistemas de Tiempo Real</w:t>
      </w:r>
    </w:p>
    <w:p w14:paraId="0BD01893" w14:textId="77777777" w:rsidR="00D906AD" w:rsidRPr="00D369AA" w:rsidRDefault="00D906AD" w:rsidP="008D31A1">
      <w:pPr>
        <w:pStyle w:val="Prrafodelista"/>
        <w:ind w:left="720" w:right="51"/>
        <w:rPr>
          <w:i/>
          <w:lang w:val="es-CO"/>
        </w:rPr>
      </w:pPr>
      <w:r w:rsidRPr="00D369AA">
        <w:rPr>
          <w:i/>
          <w:lang w:val="es-CO"/>
        </w:rPr>
        <w:t>La Gestión de Sistemas de Tiempo Real consiste en la planeación, diseño, optimización, puesta en servicio, operación, administración o gerenciamiento de sistemas transaccionales o plataformas tecnológicas, que involucran el intercambio de información con valor agregado, y mercados de bienes y servicios relacionados. La experiencia y conocimiento desarrollados por XM en la operación del sistema eléctrico y la administración del mercado de energía mayorista, le permiten a través de sus empresas, ofrecer a otros sectores soluciones basadas en la tecnología y el conocimiento adquiridos.</w:t>
      </w:r>
    </w:p>
    <w:p w14:paraId="494B8755" w14:textId="5DD76579" w:rsidR="00D906AD" w:rsidRPr="00D369AA" w:rsidRDefault="00D906AD" w:rsidP="008D31A1">
      <w:pPr>
        <w:pStyle w:val="Prrafodelista"/>
        <w:ind w:left="720" w:right="51"/>
        <w:rPr>
          <w:i/>
          <w:lang w:val="es-CO"/>
        </w:rPr>
      </w:pPr>
      <w:r w:rsidRPr="00D369AA">
        <w:rPr>
          <w:i/>
          <w:lang w:val="es-CO"/>
        </w:rPr>
        <w:t>XM es una organización basada en el conocimiento, orientada a la generación de valor a partir de la innovación y la tecnología, y como parte de su compromiso, entrega soluciones inteligentes y consolida relaciones comerciales de largo plazo con sus clientes.</w:t>
      </w:r>
    </w:p>
    <w:p w14:paraId="7193B01A" w14:textId="77777777" w:rsidR="00D906AD" w:rsidRPr="00D369AA" w:rsidRDefault="00D906AD" w:rsidP="008D31A1">
      <w:pPr>
        <w:pStyle w:val="Prrafodelista"/>
        <w:ind w:left="720" w:right="51"/>
        <w:rPr>
          <w:i/>
          <w:lang w:val="es-CO"/>
        </w:rPr>
      </w:pPr>
      <w:r w:rsidRPr="00D369AA">
        <w:rPr>
          <w:i/>
          <w:lang w:val="es-CO"/>
        </w:rPr>
        <w:lastRenderedPageBreak/>
        <w:t>XM realiza la planeación y coordinación de la operación de los recursos del Sistema Interconectado Nacional –SIN–; administra el Sistema de Intercambios Comerciales –SIC– en el Mercado de Energía Mayorista –MEM–; administra las Transacciones Internacionales de Electricidad –TIE– con Ecuador; y efectúa la liquidación y administración de los cargos por uso de las redes del SIN.</w:t>
      </w:r>
    </w:p>
    <w:p w14:paraId="49D7C8AF" w14:textId="31C8061B" w:rsidR="00691B51" w:rsidRPr="00D369AA" w:rsidRDefault="00691B51" w:rsidP="008D31A1">
      <w:pPr>
        <w:ind w:right="51"/>
        <w:rPr>
          <w:lang w:val="es-CO"/>
        </w:rPr>
      </w:pPr>
      <w:r w:rsidRPr="00D369AA">
        <w:rPr>
          <w:lang w:val="es-CO"/>
        </w:rPr>
        <w:t>Al año 2015</w:t>
      </w:r>
      <w:r w:rsidR="008236D8" w:rsidRPr="00D369AA">
        <w:rPr>
          <w:lang w:val="es-CO"/>
        </w:rPr>
        <w:t>,</w:t>
      </w:r>
      <w:r w:rsidRPr="00D369AA">
        <w:rPr>
          <w:lang w:val="es-CO"/>
        </w:rPr>
        <w:t xml:space="preserve"> ISA presentó ingresos operacionales de </w:t>
      </w:r>
      <w:r w:rsidR="00B1659C" w:rsidRPr="00D369AA">
        <w:rPr>
          <w:lang w:val="es-CO"/>
        </w:rPr>
        <w:t>COP</w:t>
      </w:r>
      <w:r w:rsidRPr="00D369AA">
        <w:rPr>
          <w:lang w:val="es-CO"/>
        </w:rPr>
        <w:t>5</w:t>
      </w:r>
      <w:proofErr w:type="gramStart"/>
      <w:r w:rsidR="007B2B02" w:rsidRPr="00D369AA">
        <w:rPr>
          <w:lang w:val="es-CO"/>
        </w:rPr>
        <w:t>,3</w:t>
      </w:r>
      <w:proofErr w:type="gramEnd"/>
      <w:r w:rsidRPr="00D369AA">
        <w:rPr>
          <w:lang w:val="es-CO"/>
        </w:rPr>
        <w:t xml:space="preserve"> billones, el EBITDA acumuló </w:t>
      </w:r>
      <w:r w:rsidR="00B1659C" w:rsidRPr="00D369AA">
        <w:rPr>
          <w:lang w:val="es-CO"/>
        </w:rPr>
        <w:t>COP</w:t>
      </w:r>
      <w:r w:rsidRPr="00D369AA">
        <w:rPr>
          <w:lang w:val="es-CO"/>
        </w:rPr>
        <w:t xml:space="preserve">2,9 billones y su activo cerró en </w:t>
      </w:r>
      <w:r w:rsidR="00B1659C" w:rsidRPr="00D369AA">
        <w:rPr>
          <w:lang w:val="es-CO"/>
        </w:rPr>
        <w:t>COP</w:t>
      </w:r>
      <w:r w:rsidRPr="00D369AA">
        <w:rPr>
          <w:lang w:val="es-CO"/>
        </w:rPr>
        <w:t xml:space="preserve">28,1 billones, en esa vigencia la empresa presento la mayor utilidad neta en su historia, </w:t>
      </w:r>
      <w:r w:rsidR="00B1659C" w:rsidRPr="00D369AA">
        <w:rPr>
          <w:lang w:val="es-CO"/>
        </w:rPr>
        <w:t>COP</w:t>
      </w:r>
      <w:r w:rsidRPr="00D369AA">
        <w:rPr>
          <w:lang w:val="es-CO"/>
        </w:rPr>
        <w:t>706.321 millones, 37,3% más respecto del año 2014.</w:t>
      </w:r>
    </w:p>
    <w:p w14:paraId="48510ADE" w14:textId="5564599A" w:rsidR="007076C3" w:rsidRPr="00D369AA" w:rsidRDefault="004420E9" w:rsidP="008D31A1">
      <w:pPr>
        <w:pStyle w:val="Ttulo3"/>
        <w:rPr>
          <w:lang w:val="es-CO" w:eastAsia="es-CO"/>
        </w:rPr>
      </w:pPr>
      <w:r>
        <w:rPr>
          <w:lang w:val="es-CO" w:eastAsia="es-CO"/>
        </w:rPr>
        <w:t>I</w:t>
      </w:r>
      <w:r w:rsidR="007076C3" w:rsidRPr="00D369AA">
        <w:rPr>
          <w:lang w:val="es-CO" w:eastAsia="es-CO"/>
        </w:rPr>
        <w:t>nversión</w:t>
      </w:r>
      <w:r w:rsidR="00B940A3" w:rsidRPr="00D369AA">
        <w:rPr>
          <w:lang w:val="es-CO" w:eastAsia="es-CO"/>
        </w:rPr>
        <w:t xml:space="preserve"> de EEB en ISA</w:t>
      </w:r>
      <w:r w:rsidR="0090718E" w:rsidRPr="00D369AA">
        <w:rPr>
          <w:rStyle w:val="Refdenotaalpie"/>
          <w:lang w:val="es-CO" w:eastAsia="es-CO"/>
        </w:rPr>
        <w:footnoteReference w:id="28"/>
      </w:r>
    </w:p>
    <w:p w14:paraId="1499F364" w14:textId="77777777" w:rsidR="007076C3" w:rsidRPr="00D369AA" w:rsidRDefault="007076C3" w:rsidP="008D31A1">
      <w:pPr>
        <w:rPr>
          <w:lang w:val="es-CO" w:eastAsia="es-CO"/>
        </w:rPr>
      </w:pPr>
      <w:r w:rsidRPr="00D369AA">
        <w:rPr>
          <w:lang w:val="es-CO" w:eastAsia="es-CO"/>
        </w:rPr>
        <w:t xml:space="preserve">Como antecedente de la adquisición de esta participación minoritaria por parte de EEB en ISA se resalta lo siguiente: </w:t>
      </w:r>
    </w:p>
    <w:p w14:paraId="711B10F3" w14:textId="77777777" w:rsidR="007076C3" w:rsidRPr="007B2B02" w:rsidRDefault="007076C3" w:rsidP="008D31A1">
      <w:pPr>
        <w:rPr>
          <w:i/>
          <w:lang w:val="es-CO" w:eastAsia="es-CO"/>
        </w:rPr>
      </w:pPr>
      <w:r w:rsidRPr="007B2B02">
        <w:rPr>
          <w:i/>
          <w:lang w:val="es-CO" w:eastAsia="es-CO"/>
        </w:rPr>
        <w:t>El 8 de noviembre de 1966, Empresa de Energía de Bogotá (EEB), Empresas Públicas de Medellín (EPM), la Corporación Autónoma Regional del Valle del Cauca (CVC) y ELECTRAGUAS suscribieron un acuerdo de interconexión de sus sistemas y ensanche de la capacidad de generación. Dicho acuerdo contemplaba la creación de una nueva empresa encargada de realizar la interconexión y de construir los proyectos de mayor tamaño para abastecer la demanda nacional. Un año más tarde nació Interconexión Eléctrica S.A. – ISA- de la que serían accionistas, por partes iguales, las empresas signatarias del acuerdo. Posteriormente, en 1976, CORELCA se uniría al grupo.</w:t>
      </w:r>
    </w:p>
    <w:p w14:paraId="36664160" w14:textId="77777777" w:rsidR="007076C3" w:rsidRPr="007B2B02" w:rsidRDefault="007076C3" w:rsidP="008D31A1">
      <w:pPr>
        <w:rPr>
          <w:i/>
          <w:lang w:val="es-CO" w:eastAsia="es-CO"/>
        </w:rPr>
      </w:pPr>
      <w:r w:rsidRPr="007B2B02">
        <w:rPr>
          <w:i/>
          <w:lang w:val="es-CO" w:eastAsia="es-CO"/>
        </w:rPr>
        <w:t xml:space="preserve">En 1995 ISA se escinde separando los negocios de transmisión y generación de energía, con lo cual se disminuye sustancialmente la participación de EEB en la compañía como consecuencia del cruce de cuentas realizado por efecto de la escisión, quedando la participación de EEB reducida a una porción minoritaria y marginal. </w:t>
      </w:r>
    </w:p>
    <w:p w14:paraId="2F5B3443" w14:textId="72F041A7" w:rsidR="00E26BC6" w:rsidRPr="007A296B" w:rsidRDefault="007076C3" w:rsidP="007A296B">
      <w:pPr>
        <w:rPr>
          <w:i/>
          <w:lang w:val="es-CO"/>
        </w:rPr>
      </w:pPr>
      <w:r w:rsidRPr="007B2B02">
        <w:rPr>
          <w:i/>
          <w:lang w:val="es-CO" w:eastAsia="es-CO"/>
        </w:rPr>
        <w:t xml:space="preserve">En la actualidad EEB posee 18.448.050 acciones equivalentes al 1,67% del capital social de ISA. Con ese porcentaje de participación minoritaria, EEB no ejerce ningún tipo de control ni participa en las decisiones que se adoptan en la Junta Directiva, es decir, es un activo de portafolio que no corresponde con la estrategia </w:t>
      </w:r>
      <w:r w:rsidRPr="007B2B02">
        <w:rPr>
          <w:i/>
          <w:lang w:val="es-CO" w:eastAsia="es-CO"/>
        </w:rPr>
        <w:lastRenderedPageBreak/>
        <w:t>de largo plazo que implementará EEB en el mediano y largo plazo y en esa medida, es procedente su desinversión</w:t>
      </w:r>
      <w:r w:rsidR="007B2B02">
        <w:rPr>
          <w:rStyle w:val="Refdenotaalpie"/>
          <w:i/>
          <w:lang w:val="es-CO" w:eastAsia="es-CO"/>
        </w:rPr>
        <w:footnoteReference w:id="29"/>
      </w:r>
      <w:r w:rsidRPr="007B2B02">
        <w:rPr>
          <w:i/>
          <w:lang w:val="es-CO" w:eastAsia="es-CO"/>
        </w:rPr>
        <w:t>.</w:t>
      </w:r>
    </w:p>
    <w:p w14:paraId="58F0B48C" w14:textId="77777777" w:rsidR="007076C3" w:rsidRPr="00D369AA" w:rsidRDefault="007076C3" w:rsidP="008D31A1">
      <w:pPr>
        <w:pStyle w:val="Ttulo3"/>
        <w:rPr>
          <w:lang w:val="es-CO"/>
        </w:rPr>
      </w:pPr>
      <w:r w:rsidRPr="00D369AA">
        <w:rPr>
          <w:lang w:val="es-CO"/>
        </w:rPr>
        <w:t xml:space="preserve">Composición accionaria ISA </w:t>
      </w:r>
    </w:p>
    <w:p w14:paraId="254B4045" w14:textId="77777777" w:rsidR="00C05695" w:rsidRPr="00D369AA" w:rsidRDefault="00C05695" w:rsidP="00C05695">
      <w:pPr>
        <w:rPr>
          <w:lang w:val="es-CO" w:eastAsia="es-CO"/>
        </w:rPr>
      </w:pPr>
      <w:r w:rsidRPr="00D369AA">
        <w:rPr>
          <w:lang w:val="es-CO" w:eastAsia="es-CO"/>
        </w:rPr>
        <w:t>De conformidad con la información pública disponible, la composición accionaria de ISA radica en inversionistas estatales (61,58%), inversionistas privados (31,44%) y empresas con capital público y privado (6,99%).</w:t>
      </w:r>
    </w:p>
    <w:p w14:paraId="52ED4FA3" w14:textId="77777777" w:rsidR="00D906AD" w:rsidRDefault="00D906AD" w:rsidP="008D31A1">
      <w:pPr>
        <w:ind w:right="51"/>
        <w:rPr>
          <w:lang w:val="es-CO"/>
        </w:rPr>
      </w:pPr>
      <w:r w:rsidRPr="00D369AA">
        <w:rPr>
          <w:lang w:val="es-CO"/>
        </w:rPr>
        <w:t xml:space="preserve">Su composición accionaria, </w:t>
      </w:r>
      <w:r w:rsidR="009A1DDD" w:rsidRPr="00D369AA">
        <w:rPr>
          <w:lang w:val="es-CO"/>
        </w:rPr>
        <w:t>es mostrada a continuación</w:t>
      </w:r>
      <w:r w:rsidR="00B24775" w:rsidRPr="00D369AA">
        <w:rPr>
          <w:lang w:val="es-CO"/>
        </w:rPr>
        <w:t xml:space="preserve"> (actualizado octubre 10 de 2016)</w:t>
      </w:r>
      <w:r w:rsidRPr="00D369AA">
        <w:rPr>
          <w:lang w:val="es-CO"/>
        </w:rPr>
        <w:t>:</w:t>
      </w:r>
    </w:p>
    <w:p w14:paraId="7514FF5F" w14:textId="117D7E15" w:rsidR="004E6616" w:rsidRPr="00D369AA" w:rsidRDefault="004E6616" w:rsidP="004E6616">
      <w:pPr>
        <w:pStyle w:val="Epgrafe"/>
        <w:rPr>
          <w:lang w:val="es-CO"/>
        </w:rPr>
      </w:pPr>
      <w:r w:rsidRPr="00D369AA">
        <w:rPr>
          <w:lang w:val="es-CO"/>
        </w:rPr>
        <w:t xml:space="preserve"> Composición accionaria ISA</w:t>
      </w:r>
    </w:p>
    <w:p w14:paraId="4195D393" w14:textId="7D2F24AE" w:rsidR="00D906AD" w:rsidRPr="00D369AA" w:rsidRDefault="00D906AD" w:rsidP="008D31A1">
      <w:pPr>
        <w:ind w:right="51"/>
        <w:jc w:val="center"/>
        <w:rPr>
          <w:lang w:val="es-CO"/>
        </w:rPr>
      </w:pPr>
    </w:p>
    <w:p w14:paraId="2BE2962E" w14:textId="77777777" w:rsidR="00D906AD" w:rsidRPr="00D369AA" w:rsidRDefault="002067A1" w:rsidP="002067A1">
      <w:pPr>
        <w:ind w:right="51"/>
        <w:jc w:val="center"/>
        <w:rPr>
          <w:bCs/>
          <w:sz w:val="16"/>
          <w:szCs w:val="16"/>
          <w:lang w:val="es-CO"/>
        </w:rPr>
      </w:pPr>
      <w:r w:rsidRPr="00D369AA">
        <w:rPr>
          <w:noProof/>
          <w:lang w:val="es-CO" w:eastAsia="es-CO"/>
        </w:rPr>
        <w:drawing>
          <wp:inline distT="0" distB="0" distL="0" distR="0" wp14:anchorId="12AF6E3E" wp14:editId="2F553F3F">
            <wp:extent cx="3403158" cy="240406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4363" t="5216" r="19546" b="5507"/>
                    <a:stretch/>
                  </pic:blipFill>
                  <pic:spPr bwMode="auto">
                    <a:xfrm>
                      <a:off x="0" y="0"/>
                      <a:ext cx="3412873" cy="2410930"/>
                    </a:xfrm>
                    <a:prstGeom prst="rect">
                      <a:avLst/>
                    </a:prstGeom>
                    <a:noFill/>
                    <a:ln>
                      <a:noFill/>
                    </a:ln>
                    <a:extLst>
                      <a:ext uri="{53640926-AAD7-44D8-BBD7-CCE9431645EC}">
                        <a14:shadowObscured xmlns:a14="http://schemas.microsoft.com/office/drawing/2010/main"/>
                      </a:ext>
                    </a:extLst>
                  </pic:spPr>
                </pic:pic>
              </a:graphicData>
            </a:graphic>
          </wp:inline>
        </w:drawing>
      </w:r>
    </w:p>
    <w:p w14:paraId="2EA82C24" w14:textId="77777777" w:rsidR="009B7978" w:rsidRPr="00D369AA" w:rsidRDefault="009B7978" w:rsidP="004E6616">
      <w:pPr>
        <w:pStyle w:val="Citadestacada"/>
        <w:rPr>
          <w:lang w:val="es-CO"/>
        </w:rPr>
      </w:pPr>
      <w:r w:rsidRPr="00D369AA">
        <w:rPr>
          <w:lang w:val="es-CO"/>
        </w:rPr>
        <w:t>Fuente: //www.isa.co/es/nuestra-compania/Paginas/quienes-somos/composicion-accionaria.aspx</w:t>
      </w:r>
    </w:p>
    <w:p w14:paraId="04B23B39" w14:textId="77777777" w:rsidR="00B24775" w:rsidRPr="00D369AA" w:rsidRDefault="00B24775" w:rsidP="008D31A1">
      <w:pPr>
        <w:ind w:right="51"/>
        <w:rPr>
          <w:bCs/>
          <w:sz w:val="16"/>
          <w:szCs w:val="16"/>
          <w:lang w:val="es-CO"/>
        </w:rPr>
      </w:pPr>
    </w:p>
    <w:p w14:paraId="44969A87" w14:textId="77777777" w:rsidR="00E26BC6" w:rsidRPr="00D369AA" w:rsidRDefault="00E26BC6" w:rsidP="008D31A1">
      <w:pPr>
        <w:rPr>
          <w:rFonts w:cs="Arial"/>
          <w:szCs w:val="24"/>
          <w:lang w:val="es-CO"/>
        </w:rPr>
      </w:pPr>
      <w:r w:rsidRPr="00D369AA">
        <w:rPr>
          <w:rFonts w:cs="Arial"/>
          <w:szCs w:val="24"/>
          <w:lang w:val="es-CO"/>
        </w:rPr>
        <w:t xml:space="preserve">Los accionistas que tienen una participación superior al 10% en </w:t>
      </w:r>
      <w:r w:rsidR="00BD14EF" w:rsidRPr="00D369AA">
        <w:rPr>
          <w:rFonts w:cs="Arial"/>
          <w:szCs w:val="24"/>
          <w:lang w:val="es-CO"/>
        </w:rPr>
        <w:t xml:space="preserve">ISA </w:t>
      </w:r>
      <w:r w:rsidRPr="00D369AA">
        <w:rPr>
          <w:rFonts w:cs="Arial"/>
          <w:szCs w:val="24"/>
          <w:lang w:val="es-CO"/>
        </w:rPr>
        <w:t>son los siguientes:</w:t>
      </w:r>
    </w:p>
    <w:p w14:paraId="60B2F5F2" w14:textId="77777777" w:rsidR="00E26BC6" w:rsidRDefault="00E26BC6" w:rsidP="008D31A1">
      <w:pPr>
        <w:pStyle w:val="Prrafodelista"/>
        <w:numPr>
          <w:ilvl w:val="0"/>
          <w:numId w:val="17"/>
        </w:numPr>
        <w:spacing w:before="120" w:after="0"/>
        <w:contextualSpacing/>
        <w:rPr>
          <w:rFonts w:cs="Arial"/>
          <w:szCs w:val="24"/>
          <w:lang w:val="es-CO"/>
        </w:rPr>
      </w:pPr>
      <w:r w:rsidRPr="00D369AA">
        <w:rPr>
          <w:rFonts w:cs="Arial"/>
          <w:szCs w:val="24"/>
          <w:lang w:val="es-CO"/>
        </w:rPr>
        <w:t>ISA es de propiedad de La Nación en un 51,41%, inversión canalizada a través del Ministerio de Hacienda y Crédito Público.</w:t>
      </w:r>
    </w:p>
    <w:p w14:paraId="541E3CF2" w14:textId="77777777" w:rsidR="0031185B" w:rsidRPr="00D369AA" w:rsidRDefault="0031185B" w:rsidP="0031185B">
      <w:pPr>
        <w:pStyle w:val="Prrafodelista"/>
        <w:spacing w:before="120" w:after="0"/>
        <w:ind w:left="720"/>
        <w:contextualSpacing/>
        <w:rPr>
          <w:rFonts w:cs="Arial"/>
          <w:szCs w:val="24"/>
          <w:lang w:val="es-CO"/>
        </w:rPr>
      </w:pPr>
    </w:p>
    <w:p w14:paraId="4C923B00" w14:textId="77777777" w:rsidR="00E26BC6" w:rsidRPr="00D369AA" w:rsidRDefault="00E26BC6" w:rsidP="008D31A1">
      <w:pPr>
        <w:pStyle w:val="Prrafodelista"/>
        <w:numPr>
          <w:ilvl w:val="0"/>
          <w:numId w:val="17"/>
        </w:numPr>
        <w:spacing w:before="120" w:after="0"/>
        <w:contextualSpacing/>
        <w:rPr>
          <w:rFonts w:cs="Arial"/>
          <w:szCs w:val="24"/>
          <w:lang w:val="es-CO"/>
        </w:rPr>
      </w:pPr>
      <w:r w:rsidRPr="00D369AA">
        <w:rPr>
          <w:rFonts w:cs="Arial"/>
          <w:szCs w:val="24"/>
          <w:lang w:val="es-CO"/>
        </w:rPr>
        <w:t xml:space="preserve">Empresas Públicas de Medellín (EPM), empresa de servicios públicos domiciliarios, organizada desde enero de 1998 bajo la figura de “Empresa Industrial y Comercial del Estado”, de propiedad del Municipio de Medellín. EPM llega a 123 municipios de Antioquia, en Medellín y el Área Metropolitana del Valle de </w:t>
      </w:r>
      <w:proofErr w:type="spellStart"/>
      <w:r w:rsidRPr="00D369AA">
        <w:rPr>
          <w:rFonts w:cs="Arial"/>
          <w:szCs w:val="24"/>
          <w:lang w:val="es-CO"/>
        </w:rPr>
        <w:t>Aburrá</w:t>
      </w:r>
      <w:proofErr w:type="spellEnd"/>
      <w:r w:rsidRPr="00D369AA">
        <w:rPr>
          <w:rFonts w:cs="Arial"/>
          <w:szCs w:val="24"/>
          <w:lang w:val="es-CO"/>
        </w:rPr>
        <w:t xml:space="preserve"> atiende a 3.6 millones de habitantes. Los servicios que suministra a sus usuarios son: Energía eléctrica, servicio de gas natural por red, acueducto y alcantarillado.</w:t>
      </w:r>
    </w:p>
    <w:p w14:paraId="20EE5308" w14:textId="77777777" w:rsidR="000E4312" w:rsidRPr="00D369AA" w:rsidRDefault="000E4312" w:rsidP="008D31A1">
      <w:pPr>
        <w:ind w:right="51"/>
        <w:rPr>
          <w:bCs/>
          <w:szCs w:val="24"/>
          <w:lang w:val="es-CO"/>
        </w:rPr>
      </w:pPr>
    </w:p>
    <w:p w14:paraId="71F42030" w14:textId="76D52D6B" w:rsidR="00E26BC6" w:rsidRPr="00D369AA" w:rsidRDefault="00E26BC6" w:rsidP="008D31A1">
      <w:pPr>
        <w:ind w:right="51"/>
        <w:rPr>
          <w:bCs/>
          <w:szCs w:val="24"/>
          <w:lang w:val="es-CO"/>
        </w:rPr>
      </w:pPr>
      <w:r w:rsidRPr="00D369AA">
        <w:rPr>
          <w:bCs/>
          <w:szCs w:val="24"/>
          <w:lang w:val="es-CO"/>
        </w:rPr>
        <w:t>EEB posee una participación accionaria del 1.67% en ISA S.A.</w:t>
      </w:r>
      <w:r w:rsidR="007076C3" w:rsidRPr="00D369AA">
        <w:rPr>
          <w:bCs/>
          <w:szCs w:val="24"/>
          <w:lang w:val="es-CO"/>
        </w:rPr>
        <w:t xml:space="preserve"> </w:t>
      </w:r>
      <w:r w:rsidRPr="00D369AA">
        <w:rPr>
          <w:bCs/>
          <w:szCs w:val="24"/>
          <w:lang w:val="es-CO"/>
        </w:rPr>
        <w:t xml:space="preserve">E.S.P, la </w:t>
      </w:r>
      <w:r w:rsidR="00B1659C" w:rsidRPr="00D369AA">
        <w:rPr>
          <w:bCs/>
          <w:szCs w:val="24"/>
          <w:lang w:val="es-CO"/>
        </w:rPr>
        <w:t>J</w:t>
      </w:r>
      <w:r w:rsidRPr="00D369AA">
        <w:rPr>
          <w:bCs/>
          <w:szCs w:val="24"/>
          <w:lang w:val="es-CO"/>
        </w:rPr>
        <w:t>unta Directiva de ISA S.A. E.S</w:t>
      </w:r>
      <w:r w:rsidR="00B1659C" w:rsidRPr="00D369AA">
        <w:rPr>
          <w:bCs/>
          <w:szCs w:val="24"/>
          <w:lang w:val="es-CO"/>
        </w:rPr>
        <w:t>.</w:t>
      </w:r>
      <w:r w:rsidRPr="00D369AA">
        <w:rPr>
          <w:bCs/>
          <w:szCs w:val="24"/>
          <w:lang w:val="es-CO"/>
        </w:rPr>
        <w:t>P. de conformidad con lo establecido sus estatutos se encuentra conformada por nueve (9) renglones principales de los cuales no hace parte la EEB S.A. E.S.P.</w:t>
      </w:r>
    </w:p>
    <w:p w14:paraId="3D83B9D0" w14:textId="77777777" w:rsidR="007076C3" w:rsidRPr="00D369AA" w:rsidRDefault="007076C3" w:rsidP="008D31A1">
      <w:pPr>
        <w:ind w:right="51"/>
        <w:rPr>
          <w:lang w:val="es-CO"/>
        </w:rPr>
      </w:pPr>
    </w:p>
    <w:p w14:paraId="017C3B74" w14:textId="535C9F71" w:rsidR="00E26BC6" w:rsidRPr="00D369AA" w:rsidRDefault="00BD14EF" w:rsidP="008D31A1">
      <w:pPr>
        <w:pStyle w:val="Ttulo3"/>
        <w:spacing w:before="240"/>
        <w:rPr>
          <w:rFonts w:cs="Arial"/>
          <w:szCs w:val="24"/>
          <w:lang w:val="es-CO" w:eastAsia="en-US"/>
        </w:rPr>
      </w:pPr>
      <w:r w:rsidRPr="00D369AA">
        <w:rPr>
          <w:rFonts w:cs="Arial"/>
          <w:szCs w:val="24"/>
          <w:lang w:val="es-CO" w:eastAsia="en-US"/>
        </w:rPr>
        <w:t>Mercado Público de Valores</w:t>
      </w:r>
    </w:p>
    <w:p w14:paraId="552F3D37" w14:textId="3889DBEC" w:rsidR="00E26BC6" w:rsidRPr="00D369AA" w:rsidRDefault="00E26BC6" w:rsidP="008D31A1">
      <w:pPr>
        <w:spacing w:after="200"/>
        <w:rPr>
          <w:rFonts w:eastAsia="Calibri" w:cs="Arial"/>
          <w:szCs w:val="24"/>
          <w:lang w:val="es-CO"/>
        </w:rPr>
      </w:pPr>
      <w:r w:rsidRPr="00D369AA">
        <w:rPr>
          <w:rFonts w:eastAsia="Calibri" w:cs="Arial"/>
          <w:szCs w:val="24"/>
          <w:lang w:val="es-CO"/>
        </w:rPr>
        <w:t xml:space="preserve">El precio del paquete accionario de ISA está determinado por el valor de mercado, dada la gran liquidez que tiene la acción en el mercado (alta </w:t>
      </w:r>
      <w:proofErr w:type="spellStart"/>
      <w:r w:rsidRPr="00D369AA">
        <w:rPr>
          <w:rFonts w:eastAsia="Calibri" w:cs="Arial"/>
          <w:szCs w:val="24"/>
          <w:lang w:val="es-CO"/>
        </w:rPr>
        <w:t>bursatilidad</w:t>
      </w:r>
      <w:proofErr w:type="spellEnd"/>
      <w:r w:rsidRPr="00D369AA">
        <w:rPr>
          <w:rFonts w:eastAsia="Calibri" w:cs="Arial"/>
          <w:szCs w:val="24"/>
          <w:lang w:val="es-CO"/>
        </w:rPr>
        <w:t xml:space="preserve">) y su participación activa en el índice </w:t>
      </w:r>
      <w:r w:rsidR="00DE0F59" w:rsidRPr="00D369AA">
        <w:rPr>
          <w:rFonts w:eastAsia="Calibri" w:cs="Arial"/>
          <w:szCs w:val="24"/>
          <w:lang w:val="es-CO"/>
        </w:rPr>
        <w:t>COLCAP</w:t>
      </w:r>
      <w:r w:rsidR="00811F11" w:rsidRPr="00D369AA">
        <w:rPr>
          <w:rStyle w:val="Refdenotaalpie"/>
          <w:rFonts w:eastAsia="Calibri" w:cs="Arial"/>
          <w:szCs w:val="24"/>
          <w:lang w:val="es-CO"/>
        </w:rPr>
        <w:footnoteReference w:id="30"/>
      </w:r>
      <w:r w:rsidR="00704C24" w:rsidRPr="00D369AA">
        <w:rPr>
          <w:rFonts w:eastAsia="Calibri" w:cs="Arial"/>
          <w:szCs w:val="24"/>
          <w:lang w:val="es-CO"/>
        </w:rPr>
        <w:t>, que agrupa el desempeño de las principales empresas colombianas listadas en bolsa</w:t>
      </w:r>
      <w:r w:rsidRPr="00D369AA">
        <w:rPr>
          <w:rFonts w:eastAsia="Calibri" w:cs="Arial"/>
          <w:szCs w:val="24"/>
          <w:lang w:val="es-CO"/>
        </w:rPr>
        <w:t xml:space="preserve">. </w:t>
      </w:r>
    </w:p>
    <w:p w14:paraId="66126154" w14:textId="77777777" w:rsidR="00243332" w:rsidRPr="00D369AA" w:rsidRDefault="00243332" w:rsidP="00243332">
      <w:pPr>
        <w:rPr>
          <w:lang w:val="es-CO" w:eastAsia="es-CO"/>
        </w:rPr>
      </w:pPr>
      <w:r w:rsidRPr="00D369AA">
        <w:rPr>
          <w:lang w:val="es-CO" w:eastAsia="es-CO"/>
        </w:rPr>
        <w:t>La empresa tiene una capitalización bursátil COP 10</w:t>
      </w:r>
      <w:proofErr w:type="gramStart"/>
      <w:r w:rsidRPr="00D369AA">
        <w:rPr>
          <w:lang w:val="es-CO" w:eastAsia="es-CO"/>
        </w:rPr>
        <w:t>,966,011</w:t>
      </w:r>
      <w:proofErr w:type="gramEnd"/>
      <w:r w:rsidRPr="00D369AA">
        <w:rPr>
          <w:lang w:val="es-CO" w:eastAsia="es-CO"/>
        </w:rPr>
        <w:t xml:space="preserve"> millones, basado en el precio de la acción al 31 de agosto de 2016.</w:t>
      </w:r>
    </w:p>
    <w:p w14:paraId="6A2CD0A5" w14:textId="77777777" w:rsidR="004E6616" w:rsidRPr="00D369AA" w:rsidRDefault="004E6616" w:rsidP="00243332">
      <w:pPr>
        <w:rPr>
          <w:lang w:val="es-CO" w:eastAsia="es-CO"/>
        </w:rPr>
      </w:pPr>
    </w:p>
    <w:p w14:paraId="544D30D1" w14:textId="3C7284B0" w:rsidR="00C02A42" w:rsidRPr="00D369AA" w:rsidRDefault="00C02A42" w:rsidP="00C02A42">
      <w:pPr>
        <w:pStyle w:val="Epgrafe"/>
        <w:rPr>
          <w:rFonts w:cs="Arial"/>
          <w:szCs w:val="24"/>
          <w:lang w:val="es-CO"/>
        </w:rPr>
      </w:pPr>
      <w:r w:rsidRPr="00D369AA">
        <w:rPr>
          <w:rFonts w:cs="Arial"/>
          <w:szCs w:val="24"/>
          <w:lang w:val="es-CO"/>
        </w:rPr>
        <w:lastRenderedPageBreak/>
        <w:t>ISA S.A. E.S.P. - Capitalización bursátil</w:t>
      </w:r>
    </w:p>
    <w:p w14:paraId="3056AAD4" w14:textId="77777777" w:rsidR="00C02A42" w:rsidRPr="00D369AA" w:rsidRDefault="00C02A42" w:rsidP="00C02A42">
      <w:pPr>
        <w:spacing w:after="200"/>
        <w:jc w:val="center"/>
        <w:rPr>
          <w:i/>
          <w:lang w:val="es-CO"/>
        </w:rPr>
      </w:pPr>
      <w:r w:rsidRPr="00D369AA">
        <w:rPr>
          <w:noProof/>
          <w:lang w:val="es-CO" w:eastAsia="es-CO"/>
        </w:rPr>
        <w:drawing>
          <wp:inline distT="0" distB="0" distL="0" distR="0" wp14:anchorId="4138CCD1" wp14:editId="2012B3D0">
            <wp:extent cx="3567600" cy="162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7600" cy="1620000"/>
                    </a:xfrm>
                    <a:prstGeom prst="rect">
                      <a:avLst/>
                    </a:prstGeom>
                    <a:noFill/>
                    <a:ln>
                      <a:noFill/>
                    </a:ln>
                  </pic:spPr>
                </pic:pic>
              </a:graphicData>
            </a:graphic>
          </wp:inline>
        </w:drawing>
      </w:r>
    </w:p>
    <w:p w14:paraId="07E445E2" w14:textId="77777777" w:rsidR="00C02A42" w:rsidRPr="00D369AA" w:rsidRDefault="00C02A42" w:rsidP="00C54907">
      <w:pPr>
        <w:pStyle w:val="Citadestacada"/>
        <w:rPr>
          <w:lang w:val="es-CO"/>
        </w:rPr>
      </w:pPr>
      <w:r w:rsidRPr="00D369AA">
        <w:rPr>
          <w:rStyle w:val="Textoennegrita"/>
          <w:b w:val="0"/>
          <w:bCs/>
          <w:lang w:val="es-CO"/>
        </w:rPr>
        <w:t xml:space="preserve">Fuente: </w:t>
      </w:r>
      <w:r w:rsidR="004E6616" w:rsidRPr="00D369AA">
        <w:rPr>
          <w:rStyle w:val="Textoennegrita"/>
          <w:b w:val="0"/>
          <w:bCs/>
          <w:lang w:val="es-CO"/>
        </w:rPr>
        <w:t>Exposición de motivos PA - 472. Pg. 29.</w:t>
      </w:r>
    </w:p>
    <w:p w14:paraId="5B59B1C9" w14:textId="1EDE39FC" w:rsidR="00691B51" w:rsidRPr="00D369AA" w:rsidRDefault="00691B51" w:rsidP="008D31A1">
      <w:pPr>
        <w:ind w:right="51"/>
        <w:rPr>
          <w:i/>
          <w:lang w:val="es-CO"/>
        </w:rPr>
      </w:pPr>
      <w:r w:rsidRPr="00D369AA">
        <w:rPr>
          <w:i/>
          <w:lang w:val="es-CO"/>
        </w:rPr>
        <w:t xml:space="preserve">En 2015, la acción de la Compañía alcanzó un precio máximo de </w:t>
      </w:r>
      <w:r w:rsidR="00DE0F59" w:rsidRPr="00D369AA">
        <w:rPr>
          <w:i/>
          <w:lang w:val="es-CO"/>
        </w:rPr>
        <w:t>COP</w:t>
      </w:r>
      <w:r w:rsidRPr="00D369AA">
        <w:rPr>
          <w:i/>
          <w:lang w:val="es-CO"/>
        </w:rPr>
        <w:t xml:space="preserve">8.600 y uno de cierre de </w:t>
      </w:r>
      <w:r w:rsidR="00DE0F59" w:rsidRPr="00D369AA">
        <w:rPr>
          <w:i/>
          <w:lang w:val="es-CO"/>
        </w:rPr>
        <w:t>COP</w:t>
      </w:r>
      <w:r w:rsidRPr="00D369AA">
        <w:rPr>
          <w:i/>
          <w:lang w:val="es-CO"/>
        </w:rPr>
        <w:t>7.380; comparada con las demás acciones que componen el índice COLCAP, la acción de ISA se situó 9,2% por encima de éste</w:t>
      </w:r>
      <w:r w:rsidRPr="00D369AA">
        <w:rPr>
          <w:rStyle w:val="Refdenotaalpie"/>
          <w:i/>
          <w:lang w:val="es-CO"/>
        </w:rPr>
        <w:footnoteReference w:id="31"/>
      </w:r>
      <w:r w:rsidRPr="00D369AA">
        <w:rPr>
          <w:i/>
          <w:lang w:val="es-CO"/>
        </w:rPr>
        <w:t>.</w:t>
      </w:r>
    </w:p>
    <w:p w14:paraId="3370A1A7" w14:textId="235D957C" w:rsidR="00784F77" w:rsidRPr="00D369AA" w:rsidRDefault="003E7D32" w:rsidP="0031185B">
      <w:pPr>
        <w:pStyle w:val="Prrafodelista"/>
        <w:keepNext/>
        <w:ind w:left="1440" w:right="51"/>
        <w:rPr>
          <w:lang w:val="es-CO"/>
        </w:rPr>
      </w:pPr>
      <w:r w:rsidRPr="00D369AA">
        <w:rPr>
          <w:b/>
          <w:bCs/>
          <w:szCs w:val="24"/>
          <w:lang w:val="es-CO"/>
        </w:rPr>
        <w:t xml:space="preserve"> </w:t>
      </w:r>
      <w:r w:rsidR="00784F77" w:rsidRPr="00D369AA">
        <w:rPr>
          <w:lang w:val="es-CO"/>
        </w:rPr>
        <w:t>Gráfico No.</w:t>
      </w:r>
      <w:r w:rsidRPr="00D369AA">
        <w:rPr>
          <w:lang w:val="es-CO"/>
        </w:rPr>
        <w:t xml:space="preserve"> </w:t>
      </w:r>
      <w:r w:rsidR="00D2659A" w:rsidRPr="00D369AA">
        <w:rPr>
          <w:lang w:val="es-CO"/>
        </w:rPr>
        <w:fldChar w:fldCharType="begin"/>
      </w:r>
      <w:r w:rsidR="00D2659A" w:rsidRPr="00D369AA">
        <w:rPr>
          <w:lang w:val="es-CO"/>
        </w:rPr>
        <w:instrText xml:space="preserve"> SEQ Gráfico_No._ \* ARABIC </w:instrText>
      </w:r>
      <w:r w:rsidR="00D2659A" w:rsidRPr="00D369AA">
        <w:rPr>
          <w:lang w:val="es-CO"/>
        </w:rPr>
        <w:fldChar w:fldCharType="separate"/>
      </w:r>
      <w:r w:rsidR="00F0704E">
        <w:rPr>
          <w:noProof/>
          <w:lang w:val="es-CO"/>
        </w:rPr>
        <w:t>1</w:t>
      </w:r>
      <w:r w:rsidR="00D2659A" w:rsidRPr="00D369AA">
        <w:rPr>
          <w:lang w:val="es-CO"/>
        </w:rPr>
        <w:fldChar w:fldCharType="end"/>
      </w:r>
      <w:r w:rsidR="00784F77" w:rsidRPr="00D369AA">
        <w:rPr>
          <w:lang w:val="es-CO"/>
        </w:rPr>
        <w:t xml:space="preserve"> </w:t>
      </w:r>
      <w:r w:rsidR="001C4279" w:rsidRPr="00D369AA">
        <w:rPr>
          <w:lang w:val="es-CO"/>
        </w:rPr>
        <w:t xml:space="preserve">- </w:t>
      </w:r>
      <w:r w:rsidR="00784F77" w:rsidRPr="00D369AA">
        <w:rPr>
          <w:lang w:val="es-CO"/>
        </w:rPr>
        <w:t>Precio histórico de la acción ISA S.A. E.S.P</w:t>
      </w:r>
    </w:p>
    <w:p w14:paraId="02F65D70" w14:textId="77777777" w:rsidR="00691B51" w:rsidRPr="00D369AA" w:rsidRDefault="00691B51" w:rsidP="008D31A1">
      <w:pPr>
        <w:ind w:right="51"/>
        <w:jc w:val="center"/>
        <w:rPr>
          <w:i/>
          <w:lang w:val="es-CO"/>
        </w:rPr>
      </w:pPr>
      <w:r w:rsidRPr="00D369AA">
        <w:rPr>
          <w:bCs/>
          <w:noProof/>
          <w:sz w:val="16"/>
          <w:szCs w:val="16"/>
          <w:lang w:val="es-CO" w:eastAsia="es-CO"/>
        </w:rPr>
        <w:drawing>
          <wp:inline distT="0" distB="0" distL="0" distR="0" wp14:anchorId="4FBE2C2D" wp14:editId="1DD26EA2">
            <wp:extent cx="4575511" cy="2619375"/>
            <wp:effectExtent l="19050" t="19050" r="158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3414" cy="2623899"/>
                    </a:xfrm>
                    <a:prstGeom prst="rect">
                      <a:avLst/>
                    </a:prstGeom>
                    <a:noFill/>
                    <a:ln w="22225">
                      <a:solidFill>
                        <a:schemeClr val="tx1"/>
                      </a:solidFill>
                    </a:ln>
                  </pic:spPr>
                </pic:pic>
              </a:graphicData>
            </a:graphic>
          </wp:inline>
        </w:drawing>
      </w:r>
    </w:p>
    <w:p w14:paraId="406B3607" w14:textId="158A2E1C" w:rsidR="00691B51" w:rsidRPr="00BE16F7" w:rsidRDefault="009E19ED" w:rsidP="00C54907">
      <w:pPr>
        <w:pStyle w:val="Citadestacada"/>
        <w:rPr>
          <w:lang w:val="es-CO"/>
        </w:rPr>
      </w:pPr>
      <w:r w:rsidRPr="00BE16F7">
        <w:rPr>
          <w:lang w:val="es-CO"/>
        </w:rPr>
        <w:t xml:space="preserve">Fuente </w:t>
      </w:r>
      <w:hyperlink r:id="rId38" w:history="1">
        <w:r w:rsidR="0031185B" w:rsidRPr="00BE16F7">
          <w:rPr>
            <w:rStyle w:val="Hipervnculo"/>
            <w:color w:val="auto"/>
            <w:u w:val="none"/>
            <w:lang w:val="es-CO"/>
          </w:rPr>
          <w:t>https://www.bvc.com.co/pps/tibco/portalbvc/Home/Mercados/enlinea/acciones</w:t>
        </w:r>
      </w:hyperlink>
    </w:p>
    <w:p w14:paraId="665996D9" w14:textId="77777777" w:rsidR="00D174B3" w:rsidRPr="00D369AA" w:rsidRDefault="00D174B3" w:rsidP="008D31A1">
      <w:pPr>
        <w:pStyle w:val="Ttulo2"/>
        <w:rPr>
          <w:lang w:val="es-CO"/>
        </w:rPr>
      </w:pPr>
      <w:r w:rsidRPr="00D369AA">
        <w:rPr>
          <w:lang w:val="es-CO"/>
        </w:rPr>
        <w:lastRenderedPageBreak/>
        <w:t>GRUPO NUTRESA S.A.</w:t>
      </w:r>
    </w:p>
    <w:p w14:paraId="15FD018A" w14:textId="77777777" w:rsidR="00D174B3" w:rsidRPr="00D369AA" w:rsidRDefault="007D3DC7" w:rsidP="008D31A1">
      <w:pPr>
        <w:pStyle w:val="Ttulo3"/>
        <w:rPr>
          <w:lang w:val="es-CO"/>
        </w:rPr>
      </w:pPr>
      <w:r w:rsidRPr="00D369AA">
        <w:rPr>
          <w:lang w:val="es-CO"/>
        </w:rPr>
        <w:t>Descripción de la empresa</w:t>
      </w:r>
    </w:p>
    <w:p w14:paraId="2630C488" w14:textId="767A80E0" w:rsidR="00503EDA" w:rsidRPr="00D369AA" w:rsidRDefault="004A264C" w:rsidP="008D31A1">
      <w:pPr>
        <w:shd w:val="clear" w:color="auto" w:fill="FFFFFF"/>
        <w:spacing w:after="300"/>
        <w:rPr>
          <w:bCs/>
          <w:i/>
          <w:szCs w:val="24"/>
          <w:lang w:val="es-CO"/>
        </w:rPr>
      </w:pPr>
      <w:r w:rsidRPr="00D369AA">
        <w:rPr>
          <w:bCs/>
          <w:szCs w:val="24"/>
          <w:lang w:val="es-CO"/>
        </w:rPr>
        <w:t>Es una empresa líder en alimentos procesados en Colombia</w:t>
      </w:r>
      <w:r w:rsidR="004D45A5" w:rsidRPr="00D369AA">
        <w:rPr>
          <w:bCs/>
          <w:szCs w:val="24"/>
          <w:lang w:val="es-CO"/>
        </w:rPr>
        <w:t>,</w:t>
      </w:r>
      <w:r w:rsidRPr="00D369AA">
        <w:rPr>
          <w:bCs/>
          <w:szCs w:val="24"/>
          <w:lang w:val="es-CO"/>
        </w:rPr>
        <w:t xml:space="preserve"> </w:t>
      </w:r>
      <w:r w:rsidR="004C02D7" w:rsidRPr="00D369AA">
        <w:rPr>
          <w:bCs/>
          <w:szCs w:val="24"/>
          <w:lang w:val="es-CO"/>
        </w:rPr>
        <w:t>fue fundada en 1920 y</w:t>
      </w:r>
      <w:r w:rsidRPr="00D369AA">
        <w:rPr>
          <w:bCs/>
          <w:szCs w:val="24"/>
          <w:lang w:val="es-CO"/>
        </w:rPr>
        <w:t xml:space="preserve"> opera a travé</w:t>
      </w:r>
      <w:r w:rsidR="004C02D7" w:rsidRPr="00D369AA">
        <w:rPr>
          <w:bCs/>
          <w:szCs w:val="24"/>
          <w:lang w:val="es-CO"/>
        </w:rPr>
        <w:t>s</w:t>
      </w:r>
      <w:r w:rsidRPr="00D369AA">
        <w:rPr>
          <w:bCs/>
          <w:szCs w:val="24"/>
          <w:lang w:val="es-CO"/>
        </w:rPr>
        <w:t xml:space="preserve"> de ocho unidades de negocio: </w:t>
      </w:r>
      <w:r w:rsidR="00FD0D33" w:rsidRPr="00D369AA">
        <w:rPr>
          <w:bCs/>
          <w:szCs w:val="24"/>
          <w:lang w:val="es-CO"/>
        </w:rPr>
        <w:t>c</w:t>
      </w:r>
      <w:r w:rsidRPr="00D369AA">
        <w:rPr>
          <w:bCs/>
          <w:szCs w:val="24"/>
          <w:lang w:val="es-CO"/>
        </w:rPr>
        <w:t>árnicos</w:t>
      </w:r>
      <w:r w:rsidR="00FD0D33" w:rsidRPr="00D369AA">
        <w:rPr>
          <w:bCs/>
          <w:szCs w:val="24"/>
          <w:lang w:val="es-CO"/>
        </w:rPr>
        <w:t>, g</w:t>
      </w:r>
      <w:r w:rsidRPr="00D369AA">
        <w:rPr>
          <w:bCs/>
          <w:szCs w:val="24"/>
          <w:lang w:val="es-CO"/>
        </w:rPr>
        <w:t>alletas</w:t>
      </w:r>
      <w:r w:rsidR="00FD0D33" w:rsidRPr="00D369AA">
        <w:rPr>
          <w:bCs/>
          <w:szCs w:val="24"/>
          <w:lang w:val="es-CO"/>
        </w:rPr>
        <w:t>, c</w:t>
      </w:r>
      <w:r w:rsidRPr="00D369AA">
        <w:rPr>
          <w:bCs/>
          <w:szCs w:val="24"/>
          <w:lang w:val="es-CO"/>
        </w:rPr>
        <w:t>hocolates</w:t>
      </w:r>
      <w:r w:rsidR="00FD0D33" w:rsidRPr="00D369AA">
        <w:rPr>
          <w:bCs/>
          <w:szCs w:val="24"/>
          <w:lang w:val="es-CO"/>
        </w:rPr>
        <w:t xml:space="preserve">, </w:t>
      </w:r>
      <w:proofErr w:type="spellStart"/>
      <w:r w:rsidR="00FD0D33" w:rsidRPr="00D369AA">
        <w:rPr>
          <w:bCs/>
          <w:szCs w:val="24"/>
          <w:lang w:val="es-CO"/>
        </w:rPr>
        <w:t>t</w:t>
      </w:r>
      <w:r w:rsidRPr="00D369AA">
        <w:rPr>
          <w:bCs/>
          <w:szCs w:val="24"/>
          <w:lang w:val="es-CO"/>
        </w:rPr>
        <w:t>resmontes</w:t>
      </w:r>
      <w:proofErr w:type="spellEnd"/>
      <w:r w:rsidR="00FD0D33" w:rsidRPr="00D369AA">
        <w:rPr>
          <w:bCs/>
          <w:szCs w:val="24"/>
          <w:lang w:val="es-CO"/>
        </w:rPr>
        <w:t>, Lucchetti –TMLUC, c</w:t>
      </w:r>
      <w:r w:rsidRPr="00D369AA">
        <w:rPr>
          <w:bCs/>
          <w:szCs w:val="24"/>
          <w:lang w:val="es-CO"/>
        </w:rPr>
        <w:t>afés</w:t>
      </w:r>
      <w:r w:rsidR="00FD0D33" w:rsidRPr="00D369AA">
        <w:rPr>
          <w:bCs/>
          <w:szCs w:val="24"/>
          <w:lang w:val="es-CO"/>
        </w:rPr>
        <w:t>, alimentos al Consumido, h</w:t>
      </w:r>
      <w:r w:rsidRPr="00D369AA">
        <w:rPr>
          <w:bCs/>
          <w:szCs w:val="24"/>
          <w:lang w:val="es-CO"/>
        </w:rPr>
        <w:t>elados y Pastas</w:t>
      </w:r>
      <w:r w:rsidRPr="00D369AA">
        <w:rPr>
          <w:bCs/>
          <w:i/>
          <w:szCs w:val="24"/>
          <w:lang w:val="es-CO"/>
        </w:rPr>
        <w:t>.</w:t>
      </w:r>
      <w:r w:rsidR="00FD0D33" w:rsidRPr="00D369AA">
        <w:rPr>
          <w:bCs/>
          <w:i/>
          <w:szCs w:val="24"/>
          <w:lang w:val="es-CO"/>
        </w:rPr>
        <w:t xml:space="preserve"> Posee </w:t>
      </w:r>
      <w:r w:rsidR="00D369AA" w:rsidRPr="00D369AA">
        <w:rPr>
          <w:bCs/>
          <w:i/>
          <w:szCs w:val="24"/>
          <w:lang w:val="es-CO"/>
        </w:rPr>
        <w:t>una participación</w:t>
      </w:r>
      <w:r w:rsidR="00FD0D33" w:rsidRPr="00D369AA">
        <w:rPr>
          <w:bCs/>
          <w:i/>
          <w:szCs w:val="24"/>
          <w:lang w:val="es-CO"/>
        </w:rPr>
        <w:t xml:space="preserve"> del 61,1% del mercado, es una empresa diversificada en términos de geografía, productos y abastecimiento; con presencia directa en 14 países y ventas internacionales por US</w:t>
      </w:r>
      <w:r w:rsidR="00DE0F59" w:rsidRPr="00D369AA">
        <w:rPr>
          <w:bCs/>
          <w:i/>
          <w:szCs w:val="24"/>
          <w:lang w:val="es-CO"/>
        </w:rPr>
        <w:t>D</w:t>
      </w:r>
      <w:r w:rsidR="00FD0D33" w:rsidRPr="00D369AA">
        <w:rPr>
          <w:bCs/>
          <w:i/>
          <w:szCs w:val="24"/>
          <w:lang w:val="es-CO"/>
        </w:rPr>
        <w:t>1</w:t>
      </w:r>
      <w:proofErr w:type="gramStart"/>
      <w:r w:rsidR="00FD0D33" w:rsidRPr="00D369AA">
        <w:rPr>
          <w:bCs/>
          <w:i/>
          <w:szCs w:val="24"/>
          <w:lang w:val="es-CO"/>
        </w:rPr>
        <w:t>,09</w:t>
      </w:r>
      <w:proofErr w:type="gramEnd"/>
      <w:r w:rsidR="00FD0D33" w:rsidRPr="00D369AA">
        <w:rPr>
          <w:bCs/>
          <w:i/>
          <w:szCs w:val="24"/>
          <w:lang w:val="es-CO"/>
        </w:rPr>
        <w:t xml:space="preserve"> billones en 72 países</w:t>
      </w:r>
      <w:r w:rsidR="00FD0D33" w:rsidRPr="00D369AA">
        <w:rPr>
          <w:rStyle w:val="Refdenotaalpie"/>
          <w:bCs/>
          <w:i/>
          <w:szCs w:val="24"/>
          <w:lang w:val="es-CO"/>
        </w:rPr>
        <w:footnoteReference w:id="32"/>
      </w:r>
      <w:r w:rsidR="00FD0D33" w:rsidRPr="00D369AA">
        <w:rPr>
          <w:bCs/>
          <w:i/>
          <w:szCs w:val="24"/>
          <w:lang w:val="es-CO"/>
        </w:rPr>
        <w:t>.</w:t>
      </w:r>
    </w:p>
    <w:p w14:paraId="37A0208E" w14:textId="1625B878" w:rsidR="00DC6869" w:rsidRPr="00D369AA" w:rsidRDefault="006F5F6C" w:rsidP="00907EB5">
      <w:pPr>
        <w:shd w:val="clear" w:color="auto" w:fill="FFFFFF"/>
        <w:spacing w:after="300"/>
        <w:rPr>
          <w:i/>
          <w:lang w:val="es-CO"/>
        </w:rPr>
      </w:pPr>
      <w:r w:rsidRPr="00D369AA">
        <w:rPr>
          <w:i/>
          <w:lang w:val="es-CO"/>
        </w:rPr>
        <w:t xml:space="preserve">A diciembre de 2015, las ventas totales ascendieron a </w:t>
      </w:r>
      <w:r w:rsidR="00DE0F59" w:rsidRPr="00D369AA">
        <w:rPr>
          <w:i/>
          <w:lang w:val="es-CO"/>
        </w:rPr>
        <w:t>COP</w:t>
      </w:r>
      <w:r w:rsidRPr="00D369AA">
        <w:rPr>
          <w:i/>
          <w:lang w:val="es-CO"/>
        </w:rPr>
        <w:t xml:space="preserve">7,9 billones, 22,6% más que las reportadas en el año 2014, en Colombia sus ventas alcanzaron los </w:t>
      </w:r>
      <w:r w:rsidR="00DE0F59" w:rsidRPr="00D369AA">
        <w:rPr>
          <w:i/>
          <w:lang w:val="es-CO"/>
        </w:rPr>
        <w:t>COP</w:t>
      </w:r>
      <w:r w:rsidRPr="00D369AA">
        <w:rPr>
          <w:i/>
          <w:lang w:val="es-CO"/>
        </w:rPr>
        <w:t>4,9 billones, un 17,4% superior frente al año 2014, así mismo en la vigencia 2015 gener</w:t>
      </w:r>
      <w:r w:rsidR="00DE0F59" w:rsidRPr="00D369AA">
        <w:rPr>
          <w:i/>
          <w:lang w:val="es-CO"/>
        </w:rPr>
        <w:t>ó</w:t>
      </w:r>
      <w:r w:rsidRPr="00D369AA">
        <w:rPr>
          <w:i/>
          <w:lang w:val="es-CO"/>
        </w:rPr>
        <w:t xml:space="preserve"> ventas en el exterior por </w:t>
      </w:r>
      <w:r w:rsidR="00DE0F59" w:rsidRPr="00D369AA">
        <w:rPr>
          <w:i/>
          <w:lang w:val="es-CO"/>
        </w:rPr>
        <w:t>COP</w:t>
      </w:r>
      <w:r w:rsidRPr="00D369AA">
        <w:rPr>
          <w:i/>
          <w:lang w:val="es-CO"/>
        </w:rPr>
        <w:t xml:space="preserve">3,0 billones, que representan el 38,1% del total. Grupo </w:t>
      </w:r>
      <w:proofErr w:type="spellStart"/>
      <w:r w:rsidRPr="00D369AA">
        <w:rPr>
          <w:i/>
          <w:lang w:val="es-CO"/>
        </w:rPr>
        <w:t>Nutresa</w:t>
      </w:r>
      <w:proofErr w:type="spellEnd"/>
      <w:r w:rsidRPr="00D369AA">
        <w:rPr>
          <w:i/>
          <w:lang w:val="es-CO"/>
        </w:rPr>
        <w:t xml:space="preserve"> se consolida como la tercera mejor empresa en el sector de alimentos del mundo en sostenibilidad, al recibir por segundo año consecutivo la distinción “Categoría Plata” de </w:t>
      </w:r>
      <w:proofErr w:type="spellStart"/>
      <w:r w:rsidRPr="00D369AA">
        <w:rPr>
          <w:i/>
          <w:lang w:val="es-CO"/>
        </w:rPr>
        <w:t>RobecoSAM</w:t>
      </w:r>
      <w:proofErr w:type="spellEnd"/>
      <w:r w:rsidRPr="00D369AA">
        <w:rPr>
          <w:i/>
          <w:lang w:val="es-CO"/>
        </w:rPr>
        <w:t xml:space="preserve"> en el Anuario de Sostenibilidad 2016</w:t>
      </w:r>
      <w:r w:rsidRPr="00D369AA">
        <w:rPr>
          <w:rStyle w:val="Refdenotaalpie"/>
          <w:i/>
          <w:lang w:val="es-CO"/>
        </w:rPr>
        <w:footnoteReference w:id="33"/>
      </w:r>
      <w:r w:rsidRPr="00D369AA">
        <w:rPr>
          <w:i/>
          <w:lang w:val="es-CO"/>
        </w:rPr>
        <w:t xml:space="preserve">. </w:t>
      </w:r>
    </w:p>
    <w:p w14:paraId="150DC40D" w14:textId="0236689C" w:rsidR="007D1714" w:rsidRPr="00D369AA" w:rsidRDefault="004420E9" w:rsidP="008D31A1">
      <w:pPr>
        <w:pStyle w:val="Ttulo3"/>
        <w:rPr>
          <w:lang w:val="es-CO"/>
        </w:rPr>
      </w:pPr>
      <w:r>
        <w:rPr>
          <w:lang w:val="es-CO"/>
        </w:rPr>
        <w:t>I</w:t>
      </w:r>
      <w:r w:rsidR="007D1714" w:rsidRPr="00D369AA">
        <w:rPr>
          <w:lang w:val="es-CO"/>
        </w:rPr>
        <w:t xml:space="preserve">nversión de EEB en Grupo </w:t>
      </w:r>
      <w:proofErr w:type="spellStart"/>
      <w:r w:rsidR="007D1714" w:rsidRPr="00D369AA">
        <w:rPr>
          <w:lang w:val="es-CO"/>
        </w:rPr>
        <w:t>Nutresa</w:t>
      </w:r>
      <w:proofErr w:type="spellEnd"/>
      <w:r w:rsidR="00081025" w:rsidRPr="00D369AA">
        <w:rPr>
          <w:rStyle w:val="Refdenotaalpie"/>
          <w:lang w:val="es-CO" w:eastAsia="es-CO"/>
        </w:rPr>
        <w:footnoteReference w:id="34"/>
      </w:r>
    </w:p>
    <w:p w14:paraId="0A625EA2" w14:textId="77777777" w:rsidR="00081025" w:rsidRPr="00BE16F7" w:rsidRDefault="00081025" w:rsidP="00081025">
      <w:pPr>
        <w:rPr>
          <w:i/>
          <w:lang w:val="es-CO" w:eastAsia="es-CO"/>
        </w:rPr>
      </w:pPr>
      <w:r w:rsidRPr="00BE16F7">
        <w:rPr>
          <w:i/>
          <w:lang w:val="es-CO" w:eastAsia="es-CO"/>
        </w:rPr>
        <w:t>Los primeros títulos de EEB en Industrias Alimenticias Noel S.A. datan de los años 1955/56 y 57, título 19067 por 1 acción, 23374 por 2 acciones y título 28142 por 1 acción respectivamente expedidos a favor de “Empresas Unidas de Energía Eléctrica S.A.”.</w:t>
      </w:r>
    </w:p>
    <w:p w14:paraId="7AD521D3" w14:textId="402295FB" w:rsidR="00081025" w:rsidRPr="00BE16F7" w:rsidRDefault="00081025" w:rsidP="00081025">
      <w:pPr>
        <w:rPr>
          <w:i/>
          <w:lang w:val="es-CO"/>
        </w:rPr>
      </w:pPr>
      <w:r w:rsidRPr="00BE16F7">
        <w:rPr>
          <w:i/>
          <w:lang w:val="es-CO"/>
        </w:rPr>
        <w:t xml:space="preserve">Posteriormente en julio de 2003 se solicitó reemplazo de los títulos emitidos por cambio de denominación social, </w:t>
      </w:r>
      <w:proofErr w:type="spellStart"/>
      <w:r w:rsidRPr="00BE16F7">
        <w:rPr>
          <w:i/>
          <w:lang w:val="es-CO"/>
        </w:rPr>
        <w:t>InverAlimenticias</w:t>
      </w:r>
      <w:proofErr w:type="spellEnd"/>
      <w:r w:rsidRPr="00BE16F7">
        <w:rPr>
          <w:i/>
          <w:lang w:val="es-CO"/>
        </w:rPr>
        <w:t xml:space="preserve"> NOEL hace llegar a EEB el título No. 358 por 40 acciones, expedido a nombre de Empresa de Energía de Bogotá S.A. E</w:t>
      </w:r>
      <w:r w:rsidR="00DE0F59" w:rsidRPr="00BE16F7">
        <w:rPr>
          <w:i/>
          <w:lang w:val="es-CO"/>
        </w:rPr>
        <w:t>.</w:t>
      </w:r>
      <w:r w:rsidRPr="00BE16F7">
        <w:rPr>
          <w:i/>
          <w:lang w:val="es-CO"/>
        </w:rPr>
        <w:t>S</w:t>
      </w:r>
      <w:r w:rsidR="00DE0F59" w:rsidRPr="00BE16F7">
        <w:rPr>
          <w:i/>
          <w:lang w:val="es-CO"/>
        </w:rPr>
        <w:t>.</w:t>
      </w:r>
      <w:r w:rsidRPr="00BE16F7">
        <w:rPr>
          <w:i/>
          <w:lang w:val="es-CO"/>
        </w:rPr>
        <w:t>P.</w:t>
      </w:r>
    </w:p>
    <w:p w14:paraId="5D7F8599" w14:textId="77777777" w:rsidR="00081025" w:rsidRPr="00BE16F7" w:rsidRDefault="00081025" w:rsidP="00081025">
      <w:pPr>
        <w:rPr>
          <w:i/>
          <w:lang w:val="es-CO"/>
        </w:rPr>
      </w:pPr>
      <w:r w:rsidRPr="00BE16F7">
        <w:rPr>
          <w:i/>
          <w:lang w:val="es-CO"/>
        </w:rPr>
        <w:lastRenderedPageBreak/>
        <w:t xml:space="preserve">En agosto de 2005 EEB según certificado expedido por </w:t>
      </w:r>
      <w:proofErr w:type="spellStart"/>
      <w:r w:rsidRPr="00BE16F7">
        <w:rPr>
          <w:i/>
          <w:lang w:val="es-CO"/>
        </w:rPr>
        <w:t>InverAlimenticias</w:t>
      </w:r>
      <w:proofErr w:type="spellEnd"/>
      <w:r w:rsidRPr="00BE16F7">
        <w:rPr>
          <w:i/>
          <w:lang w:val="es-CO"/>
        </w:rPr>
        <w:t xml:space="preserve"> Noel S.A., era titular de 72 acciones, lo que fue necesario realizar solicitud de reposición de título valor.</w:t>
      </w:r>
    </w:p>
    <w:p w14:paraId="003538CB" w14:textId="77777777" w:rsidR="00081025" w:rsidRPr="00BE16F7" w:rsidRDefault="00081025" w:rsidP="00081025">
      <w:pPr>
        <w:rPr>
          <w:i/>
          <w:lang w:val="es-CO"/>
        </w:rPr>
      </w:pPr>
      <w:proofErr w:type="spellStart"/>
      <w:r w:rsidRPr="00BE16F7">
        <w:rPr>
          <w:i/>
          <w:lang w:val="es-CO"/>
        </w:rPr>
        <w:t>InverAlimenticias</w:t>
      </w:r>
      <w:proofErr w:type="spellEnd"/>
      <w:r w:rsidRPr="00BE16F7">
        <w:rPr>
          <w:i/>
          <w:lang w:val="es-CO"/>
        </w:rPr>
        <w:t xml:space="preserve"> Noel S.A. cambia su nombre a </w:t>
      </w:r>
      <w:proofErr w:type="spellStart"/>
      <w:r w:rsidRPr="00BE16F7">
        <w:rPr>
          <w:i/>
          <w:lang w:val="es-CO"/>
        </w:rPr>
        <w:t>Inveralimenticias</w:t>
      </w:r>
      <w:proofErr w:type="spellEnd"/>
      <w:r w:rsidRPr="00BE16F7">
        <w:rPr>
          <w:i/>
          <w:lang w:val="es-CO"/>
        </w:rPr>
        <w:t xml:space="preserve"> S.A. y después fue absorbida por el Grupo Nacional de Chocolates S.A, en virtud de la relación de intercambio de 3.1 acciones del Grupo Nacional de Chocolates S.A. por cada acción de </w:t>
      </w:r>
      <w:proofErr w:type="spellStart"/>
      <w:r w:rsidRPr="00BE16F7">
        <w:rPr>
          <w:i/>
          <w:lang w:val="es-CO"/>
        </w:rPr>
        <w:t>Inveralimenticias</w:t>
      </w:r>
      <w:proofErr w:type="spellEnd"/>
      <w:r w:rsidRPr="00BE16F7">
        <w:rPr>
          <w:i/>
          <w:lang w:val="es-CO"/>
        </w:rPr>
        <w:t xml:space="preserve"> S.A.</w:t>
      </w:r>
    </w:p>
    <w:p w14:paraId="14D0810A" w14:textId="77777777" w:rsidR="00081025" w:rsidRPr="00BE16F7" w:rsidRDefault="00081025" w:rsidP="00081025">
      <w:pPr>
        <w:rPr>
          <w:i/>
          <w:lang w:val="es-CO" w:eastAsia="es-CO"/>
        </w:rPr>
      </w:pPr>
      <w:r w:rsidRPr="00BE16F7">
        <w:rPr>
          <w:i/>
          <w:lang w:val="es-CO"/>
        </w:rPr>
        <w:t>Las 72 acciones de EEB pasaron a ser 223, vigentes actualmente, las cuales se encuentran desmaterializadas en custodia DECEVAL.</w:t>
      </w:r>
      <w:r w:rsidRPr="00BE16F7">
        <w:rPr>
          <w:rStyle w:val="Refdenotaalpie"/>
          <w:i/>
          <w:lang w:val="es-CO" w:eastAsia="es-CO"/>
        </w:rPr>
        <w:t xml:space="preserve"> </w:t>
      </w:r>
      <w:r w:rsidRPr="00BE16F7">
        <w:rPr>
          <w:rStyle w:val="Refdenotaalpie"/>
          <w:i/>
          <w:lang w:val="es-CO" w:eastAsia="es-CO"/>
        </w:rPr>
        <w:footnoteReference w:id="35"/>
      </w:r>
    </w:p>
    <w:p w14:paraId="4B6125DD" w14:textId="77777777" w:rsidR="00BE16F7" w:rsidRPr="00D369AA" w:rsidRDefault="00BE16F7" w:rsidP="00081025">
      <w:pPr>
        <w:rPr>
          <w:lang w:val="es-CO"/>
        </w:rPr>
      </w:pPr>
    </w:p>
    <w:p w14:paraId="57AA5113" w14:textId="77777777" w:rsidR="007D1714" w:rsidRPr="00D369AA" w:rsidRDefault="007D1714" w:rsidP="008D31A1">
      <w:pPr>
        <w:pStyle w:val="Ttulo3"/>
        <w:rPr>
          <w:lang w:val="es-CO"/>
        </w:rPr>
      </w:pPr>
      <w:r w:rsidRPr="00D369AA">
        <w:rPr>
          <w:lang w:val="es-CO"/>
        </w:rPr>
        <w:t xml:space="preserve">Composición accionaria Grupo </w:t>
      </w:r>
      <w:proofErr w:type="spellStart"/>
      <w:r w:rsidRPr="00D369AA">
        <w:rPr>
          <w:lang w:val="es-CO"/>
        </w:rPr>
        <w:t>Nutresa</w:t>
      </w:r>
      <w:proofErr w:type="spellEnd"/>
    </w:p>
    <w:p w14:paraId="3BF51ADF" w14:textId="65AAD10F" w:rsidR="00A31A0D" w:rsidRPr="00D369AA" w:rsidRDefault="00A31A0D" w:rsidP="008D31A1">
      <w:pPr>
        <w:ind w:right="51"/>
        <w:rPr>
          <w:bCs/>
          <w:szCs w:val="24"/>
          <w:lang w:val="es-CO"/>
        </w:rPr>
      </w:pPr>
      <w:r w:rsidRPr="00D369AA">
        <w:rPr>
          <w:bCs/>
          <w:szCs w:val="24"/>
          <w:lang w:val="es-CO"/>
        </w:rPr>
        <w:t xml:space="preserve">En la siguiente gráfica se observa la composición </w:t>
      </w:r>
      <w:r w:rsidRPr="00D369AA">
        <w:rPr>
          <w:bCs/>
          <w:color w:val="auto"/>
          <w:szCs w:val="24"/>
          <w:lang w:val="es-CO"/>
        </w:rPr>
        <w:t xml:space="preserve">accionaria del Grupo </w:t>
      </w:r>
      <w:proofErr w:type="spellStart"/>
      <w:r w:rsidRPr="00D369AA">
        <w:rPr>
          <w:bCs/>
          <w:color w:val="auto"/>
          <w:szCs w:val="24"/>
          <w:lang w:val="es-CO"/>
        </w:rPr>
        <w:t>Nutresa</w:t>
      </w:r>
      <w:proofErr w:type="spellEnd"/>
      <w:r w:rsidR="00DE0F59" w:rsidRPr="00D369AA">
        <w:rPr>
          <w:bCs/>
          <w:color w:val="auto"/>
          <w:szCs w:val="24"/>
          <w:lang w:val="es-CO"/>
        </w:rPr>
        <w:t>.</w:t>
      </w:r>
      <w:r w:rsidRPr="00D369AA">
        <w:rPr>
          <w:bCs/>
          <w:color w:val="auto"/>
          <w:szCs w:val="24"/>
          <w:lang w:val="es-CO"/>
        </w:rPr>
        <w:t xml:space="preserve"> </w:t>
      </w:r>
      <w:r w:rsidR="00DE0F59" w:rsidRPr="00D369AA">
        <w:rPr>
          <w:bCs/>
          <w:color w:val="auto"/>
          <w:szCs w:val="24"/>
          <w:lang w:val="es-CO"/>
        </w:rPr>
        <w:t>S</w:t>
      </w:r>
      <w:r w:rsidR="00C53511" w:rsidRPr="00D369AA">
        <w:rPr>
          <w:bCs/>
          <w:color w:val="auto"/>
          <w:szCs w:val="24"/>
          <w:lang w:val="es-CO"/>
        </w:rPr>
        <w:t xml:space="preserve">e concentra en propiedad del Grupo Sura (35.2%) y </w:t>
      </w:r>
      <w:r w:rsidR="00907EB5" w:rsidRPr="00D369AA">
        <w:rPr>
          <w:bCs/>
          <w:color w:val="auto"/>
          <w:szCs w:val="24"/>
          <w:lang w:val="es-CO"/>
        </w:rPr>
        <w:t>A</w:t>
      </w:r>
      <w:r w:rsidR="00704C24" w:rsidRPr="00D369AA">
        <w:rPr>
          <w:bCs/>
          <w:color w:val="auto"/>
          <w:szCs w:val="24"/>
          <w:lang w:val="es-CO"/>
        </w:rPr>
        <w:t>rgos (</w:t>
      </w:r>
      <w:r w:rsidR="00BB48E7" w:rsidRPr="00D369AA">
        <w:rPr>
          <w:bCs/>
          <w:color w:val="auto"/>
          <w:szCs w:val="24"/>
          <w:lang w:val="es-CO"/>
        </w:rPr>
        <w:t>9.8%</w:t>
      </w:r>
      <w:r w:rsidR="00704C24" w:rsidRPr="00D369AA">
        <w:rPr>
          <w:bCs/>
          <w:color w:val="auto"/>
          <w:szCs w:val="24"/>
          <w:lang w:val="es-CO"/>
        </w:rPr>
        <w:t xml:space="preserve">) y </w:t>
      </w:r>
      <w:r w:rsidR="00384016" w:rsidRPr="00D369AA">
        <w:rPr>
          <w:bCs/>
          <w:szCs w:val="24"/>
          <w:lang w:val="es-CO"/>
        </w:rPr>
        <w:t>otros accionistas (34.1%) entre los que se encuentra la EEB S.A. E.S.P</w:t>
      </w:r>
      <w:r w:rsidR="00DE0F59" w:rsidRPr="00D369AA">
        <w:rPr>
          <w:bCs/>
          <w:szCs w:val="24"/>
          <w:lang w:val="es-CO"/>
        </w:rPr>
        <w:t>.</w:t>
      </w:r>
      <w:r w:rsidR="00384016" w:rsidRPr="00D369AA">
        <w:rPr>
          <w:bCs/>
          <w:szCs w:val="24"/>
          <w:lang w:val="es-CO"/>
        </w:rPr>
        <w:t xml:space="preserve"> con una participación del 0.001% correspondiente a 2</w:t>
      </w:r>
      <w:r w:rsidR="00592589" w:rsidRPr="00D369AA">
        <w:rPr>
          <w:bCs/>
          <w:szCs w:val="24"/>
          <w:lang w:val="es-CO"/>
        </w:rPr>
        <w:t>2</w:t>
      </w:r>
      <w:r w:rsidR="00384016" w:rsidRPr="00D369AA">
        <w:rPr>
          <w:bCs/>
          <w:szCs w:val="24"/>
          <w:lang w:val="es-CO"/>
        </w:rPr>
        <w:t>3 acciones.</w:t>
      </w:r>
    </w:p>
    <w:p w14:paraId="4514B61A" w14:textId="77777777" w:rsidR="002F4D54" w:rsidRPr="00D369AA" w:rsidRDefault="002F4D54" w:rsidP="008D31A1">
      <w:pPr>
        <w:ind w:right="51"/>
        <w:rPr>
          <w:bCs/>
          <w:szCs w:val="24"/>
          <w:lang w:val="es-CO"/>
        </w:rPr>
      </w:pPr>
    </w:p>
    <w:p w14:paraId="469ADC29" w14:textId="2299B5F5" w:rsidR="002F4D54" w:rsidRPr="00D369AA" w:rsidRDefault="002F4D54" w:rsidP="008D31A1">
      <w:pPr>
        <w:pStyle w:val="Epgrafe"/>
        <w:rPr>
          <w:lang w:val="es-CO"/>
        </w:rPr>
      </w:pPr>
      <w:r w:rsidRPr="00D369AA">
        <w:rPr>
          <w:lang w:val="es-CO"/>
        </w:rPr>
        <w:t xml:space="preserve">Composición accionaria Grupo </w:t>
      </w:r>
      <w:proofErr w:type="spellStart"/>
      <w:r w:rsidRPr="00D369AA">
        <w:rPr>
          <w:lang w:val="es-CO"/>
        </w:rPr>
        <w:t>Nutresa</w:t>
      </w:r>
      <w:proofErr w:type="spellEnd"/>
    </w:p>
    <w:p w14:paraId="3DFCED22" w14:textId="77777777" w:rsidR="00A3762F" w:rsidRPr="00D369AA" w:rsidRDefault="009B7978" w:rsidP="008D31A1">
      <w:pPr>
        <w:ind w:right="51"/>
        <w:jc w:val="center"/>
        <w:rPr>
          <w:lang w:val="es-CO"/>
        </w:rPr>
      </w:pPr>
      <w:r w:rsidRPr="00D369AA">
        <w:rPr>
          <w:noProof/>
          <w:lang w:val="es-CO" w:eastAsia="es-CO"/>
        </w:rPr>
        <w:drawing>
          <wp:inline distT="0" distB="0" distL="0" distR="0" wp14:anchorId="0743BA70" wp14:editId="4B9558ED">
            <wp:extent cx="2750724" cy="2208811"/>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4847" cy="2212122"/>
                    </a:xfrm>
                    <a:prstGeom prst="rect">
                      <a:avLst/>
                    </a:prstGeom>
                    <a:noFill/>
                    <a:ln>
                      <a:noFill/>
                    </a:ln>
                  </pic:spPr>
                </pic:pic>
              </a:graphicData>
            </a:graphic>
          </wp:inline>
        </w:drawing>
      </w:r>
    </w:p>
    <w:p w14:paraId="2B21FBD5" w14:textId="77777777" w:rsidR="00B14FC1" w:rsidRPr="00D369AA" w:rsidRDefault="00DC6869" w:rsidP="003E5345">
      <w:pPr>
        <w:pStyle w:val="Citadestacada"/>
        <w:rPr>
          <w:b/>
          <w:szCs w:val="24"/>
          <w:lang w:val="es-CO"/>
        </w:rPr>
      </w:pPr>
      <w:r w:rsidRPr="00D369AA">
        <w:rPr>
          <w:lang w:val="es-CO"/>
        </w:rPr>
        <w:t>Fuente: Elaboración propia</w:t>
      </w:r>
      <w:r w:rsidR="000132A1" w:rsidRPr="00D369AA">
        <w:rPr>
          <w:lang w:val="es-CO"/>
        </w:rPr>
        <w:t>,</w:t>
      </w:r>
      <w:r w:rsidRPr="00D369AA">
        <w:rPr>
          <w:lang w:val="es-CO"/>
        </w:rPr>
        <w:t xml:space="preserve"> datos http://www.gruponutresa.com/inversionistas/perfil-de-la-compania/detalle</w:t>
      </w:r>
    </w:p>
    <w:p w14:paraId="51C6E2FC" w14:textId="77777777" w:rsidR="00B77614" w:rsidRPr="00D369AA" w:rsidRDefault="00B77614" w:rsidP="008D31A1">
      <w:pPr>
        <w:rPr>
          <w:rFonts w:cs="Arial"/>
          <w:szCs w:val="24"/>
          <w:lang w:val="es-CO"/>
        </w:rPr>
      </w:pPr>
      <w:r w:rsidRPr="00D369AA">
        <w:rPr>
          <w:rFonts w:cs="Arial"/>
          <w:szCs w:val="24"/>
          <w:lang w:val="es-CO"/>
        </w:rPr>
        <w:lastRenderedPageBreak/>
        <w:t>Los accionistas principales son los siguientes:</w:t>
      </w:r>
    </w:p>
    <w:p w14:paraId="55FEB7C2" w14:textId="300D9338" w:rsidR="00B77614" w:rsidRPr="006C5386" w:rsidRDefault="00B77614" w:rsidP="008D31A1">
      <w:pPr>
        <w:pStyle w:val="Prrafodelista"/>
        <w:widowControl w:val="0"/>
        <w:numPr>
          <w:ilvl w:val="0"/>
          <w:numId w:val="22"/>
        </w:numPr>
        <w:spacing w:before="120"/>
        <w:rPr>
          <w:rFonts w:cstheme="minorBidi"/>
          <w:i/>
          <w:szCs w:val="22"/>
          <w:lang w:val="es-CO"/>
        </w:rPr>
      </w:pPr>
      <w:r w:rsidRPr="006C5386">
        <w:rPr>
          <w:i/>
          <w:lang w:val="es-CO"/>
        </w:rPr>
        <w:t xml:space="preserve">Grupo de Inversiones Suramericana – GRUPO SURA es una compañía holding, listada en la Bolsa de Valores de Colombia, inscrita en LATIBEX, el mercado español para valores Latinoamericanos y cuenta con dos programas de </w:t>
      </w:r>
      <w:proofErr w:type="spellStart"/>
      <w:r w:rsidRPr="006C5386">
        <w:rPr>
          <w:i/>
          <w:lang w:val="es-CO"/>
        </w:rPr>
        <w:t>ADRs</w:t>
      </w:r>
      <w:proofErr w:type="spellEnd"/>
      <w:r w:rsidRPr="006C5386">
        <w:rPr>
          <w:i/>
          <w:lang w:val="es-CO"/>
        </w:rPr>
        <w:t xml:space="preserve"> – Nivel I en Estados Unidos tanto para la acción ordinaria como para la acción con dividendo preferencial y sin derecho a voto. Posee un portafolio de inversiones agrupado en dos grandes segmentos: el primero, denominado Inversiones Estratégicas, integra los sectores de servicios financieros, pensiones, seguros y seguridad social, así como los de servicios complementarios. El segundo segmento, denominado Inversiones de Portafolio, agrupa fundamentalmente los sectores de alimentos, cementos y energía. La Compañía también hace parte del DJSI, Índice de Sostenibilidad del Dow Jones</w:t>
      </w:r>
      <w:r w:rsidR="00E70194">
        <w:rPr>
          <w:rStyle w:val="Refdenotaalpie"/>
          <w:i/>
          <w:lang w:val="es-CO"/>
        </w:rPr>
        <w:footnoteReference w:id="36"/>
      </w:r>
      <w:r w:rsidRPr="006C5386">
        <w:rPr>
          <w:i/>
          <w:lang w:val="es-CO"/>
        </w:rPr>
        <w:t>.</w:t>
      </w:r>
    </w:p>
    <w:p w14:paraId="27DC81FE" w14:textId="19D12EC9" w:rsidR="00B77614" w:rsidRPr="00E70194" w:rsidRDefault="00B77614" w:rsidP="008D31A1">
      <w:pPr>
        <w:pStyle w:val="Prrafodelista"/>
        <w:widowControl w:val="0"/>
        <w:numPr>
          <w:ilvl w:val="0"/>
          <w:numId w:val="22"/>
        </w:numPr>
        <w:spacing w:before="120"/>
        <w:rPr>
          <w:rFonts w:cstheme="minorBidi"/>
          <w:i/>
          <w:szCs w:val="22"/>
          <w:lang w:val="es-CO"/>
        </w:rPr>
      </w:pPr>
      <w:r w:rsidRPr="00E70194">
        <w:rPr>
          <w:rFonts w:cs="Arial"/>
          <w:i/>
          <w:szCs w:val="24"/>
          <w:lang w:val="es-CO"/>
        </w:rPr>
        <w:t>Grupo Argos S.A.</w:t>
      </w:r>
      <w:r w:rsidR="003E7D32" w:rsidRPr="00E70194">
        <w:rPr>
          <w:rFonts w:cs="Arial"/>
          <w:i/>
          <w:szCs w:val="24"/>
          <w:lang w:val="es-CO"/>
        </w:rPr>
        <w:t xml:space="preserve"> </w:t>
      </w:r>
      <w:r w:rsidRPr="00E70194">
        <w:rPr>
          <w:rFonts w:cs="Arial"/>
          <w:i/>
          <w:szCs w:val="24"/>
          <w:lang w:val="es-CO"/>
        </w:rPr>
        <w:t xml:space="preserve">es una matriz de inversiones en infraestructura. Su naturaleza jurídica corresponde a una sociedad anónima, inscrita en la Bolsa de Valores de Colombia, al igual que sus filiales Argos (55,34% - cemento), </w:t>
      </w:r>
      <w:proofErr w:type="spellStart"/>
      <w:r w:rsidRPr="00E70194">
        <w:rPr>
          <w:rFonts w:cs="Arial"/>
          <w:i/>
          <w:szCs w:val="24"/>
          <w:lang w:val="es-CO"/>
        </w:rPr>
        <w:t>Celsia</w:t>
      </w:r>
      <w:proofErr w:type="spellEnd"/>
      <w:r w:rsidRPr="00E70194">
        <w:rPr>
          <w:rFonts w:cs="Arial"/>
          <w:i/>
          <w:szCs w:val="24"/>
          <w:lang w:val="es-CO"/>
        </w:rPr>
        <w:t xml:space="preserve"> (52.35% - energía) y </w:t>
      </w:r>
      <w:proofErr w:type="spellStart"/>
      <w:r w:rsidRPr="00E70194">
        <w:rPr>
          <w:rFonts w:cs="Arial"/>
          <w:i/>
          <w:szCs w:val="24"/>
          <w:lang w:val="es-CO"/>
        </w:rPr>
        <w:t>Odinsa</w:t>
      </w:r>
      <w:proofErr w:type="spellEnd"/>
      <w:r w:rsidRPr="00E70194">
        <w:rPr>
          <w:rFonts w:cs="Arial"/>
          <w:i/>
          <w:szCs w:val="24"/>
          <w:lang w:val="es-CO"/>
        </w:rPr>
        <w:t xml:space="preserve"> (54.75% - concesiones viales y aeroportuarias). Los negocios en los cuales tiene inversiones estratégicas son el cementero, el energético, el inmobiliario, el de concesiones viales y aeroportuarias y el portuario, y sus inversiones de portafolio están en el sector financiero, el inmobiliario y el de alimentos</w:t>
      </w:r>
      <w:r w:rsidR="00E70194">
        <w:rPr>
          <w:rStyle w:val="Refdenotaalpie"/>
          <w:rFonts w:cs="Arial"/>
          <w:i/>
          <w:szCs w:val="24"/>
          <w:lang w:val="es-CO"/>
        </w:rPr>
        <w:footnoteReference w:id="37"/>
      </w:r>
      <w:r w:rsidRPr="00E70194">
        <w:rPr>
          <w:rFonts w:cs="Arial"/>
          <w:i/>
          <w:szCs w:val="24"/>
          <w:lang w:val="es-CO"/>
        </w:rPr>
        <w:t>.</w:t>
      </w:r>
    </w:p>
    <w:p w14:paraId="5E82B98C" w14:textId="1A313BC9" w:rsidR="007D1714" w:rsidRPr="00D369AA" w:rsidRDefault="007D1714" w:rsidP="008D31A1">
      <w:pPr>
        <w:pStyle w:val="Ttulo3"/>
        <w:rPr>
          <w:lang w:val="es-CO"/>
        </w:rPr>
      </w:pPr>
      <w:r w:rsidRPr="00D369AA">
        <w:rPr>
          <w:lang w:val="es-CO"/>
        </w:rPr>
        <w:t>Mercado Público de Valores</w:t>
      </w:r>
    </w:p>
    <w:p w14:paraId="5815105E" w14:textId="77777777" w:rsidR="007D1714" w:rsidRPr="00D369AA" w:rsidRDefault="007D1714" w:rsidP="008D31A1">
      <w:pPr>
        <w:rPr>
          <w:rFonts w:cs="Arial"/>
          <w:szCs w:val="24"/>
          <w:lang w:val="es-CO"/>
        </w:rPr>
      </w:pPr>
      <w:r w:rsidRPr="00D369AA">
        <w:rPr>
          <w:rFonts w:cs="Arial"/>
          <w:szCs w:val="24"/>
          <w:lang w:val="es-CO"/>
        </w:rPr>
        <w:t xml:space="preserve">GEB posee 223 acciones de Grupo </w:t>
      </w:r>
      <w:proofErr w:type="spellStart"/>
      <w:r w:rsidRPr="00D369AA">
        <w:rPr>
          <w:rFonts w:cs="Arial"/>
          <w:szCs w:val="24"/>
          <w:lang w:val="es-CO"/>
        </w:rPr>
        <w:t>Nutresa</w:t>
      </w:r>
      <w:proofErr w:type="spellEnd"/>
      <w:r w:rsidRPr="00D369AA">
        <w:rPr>
          <w:rFonts w:cs="Arial"/>
          <w:szCs w:val="24"/>
          <w:lang w:val="es-CO"/>
        </w:rPr>
        <w:t xml:space="preserve"> S.A., de un total de 459.479.166 emitidas por el Grupo. A diciembre de 2015, </w:t>
      </w:r>
      <w:proofErr w:type="spellStart"/>
      <w:r w:rsidRPr="00D369AA">
        <w:rPr>
          <w:rFonts w:cs="Arial"/>
          <w:szCs w:val="24"/>
          <w:lang w:val="es-CO"/>
        </w:rPr>
        <w:t>Nutresa</w:t>
      </w:r>
      <w:proofErr w:type="spellEnd"/>
      <w:r w:rsidRPr="00D369AA">
        <w:rPr>
          <w:rFonts w:cs="Arial"/>
          <w:szCs w:val="24"/>
          <w:lang w:val="es-CO"/>
        </w:rPr>
        <w:t xml:space="preserve"> registró un EBITDA de COP 982.888 millones (+17,0% vs 2014) e Ingresos a 2015 COP 7.945.417 millones (+20,4% vs 2014).</w:t>
      </w:r>
    </w:p>
    <w:p w14:paraId="3B21BE31" w14:textId="77777777" w:rsidR="00B77614" w:rsidRPr="00D369AA" w:rsidRDefault="00B77614" w:rsidP="008D31A1">
      <w:pPr>
        <w:rPr>
          <w:rFonts w:cs="Arial"/>
          <w:szCs w:val="24"/>
          <w:lang w:val="es-CO"/>
        </w:rPr>
      </w:pPr>
      <w:r w:rsidRPr="00D369AA">
        <w:rPr>
          <w:rFonts w:cs="Arial"/>
          <w:szCs w:val="24"/>
          <w:lang w:val="es-CO"/>
        </w:rPr>
        <w:t>Al 22 de septiembre de 2016, tiene una capitalización bursátil que representa COP 11.825.200 millones.</w:t>
      </w:r>
    </w:p>
    <w:p w14:paraId="188A21B0" w14:textId="13F77354" w:rsidR="00C02A42" w:rsidRPr="00D369AA" w:rsidRDefault="00C02A42" w:rsidP="00C02A42">
      <w:pPr>
        <w:pStyle w:val="Epgrafe"/>
        <w:rPr>
          <w:rFonts w:cs="Arial"/>
          <w:szCs w:val="24"/>
          <w:lang w:val="es-CO"/>
        </w:rPr>
      </w:pPr>
      <w:r w:rsidRPr="00D369AA">
        <w:rPr>
          <w:rFonts w:cs="Arial"/>
          <w:szCs w:val="24"/>
          <w:lang w:val="es-CO"/>
        </w:rPr>
        <w:lastRenderedPageBreak/>
        <w:t xml:space="preserve">Grupo </w:t>
      </w:r>
      <w:proofErr w:type="spellStart"/>
      <w:r w:rsidRPr="00D369AA">
        <w:rPr>
          <w:rFonts w:cs="Arial"/>
          <w:szCs w:val="24"/>
          <w:lang w:val="es-CO"/>
        </w:rPr>
        <w:t>Nutresa</w:t>
      </w:r>
      <w:proofErr w:type="spellEnd"/>
      <w:r w:rsidRPr="00D369AA">
        <w:rPr>
          <w:rFonts w:cs="Arial"/>
          <w:szCs w:val="24"/>
          <w:lang w:val="es-CO"/>
        </w:rPr>
        <w:t xml:space="preserve"> - Capitalización bursátil</w:t>
      </w:r>
    </w:p>
    <w:p w14:paraId="063B2625" w14:textId="77777777" w:rsidR="00B77614" w:rsidRPr="00D369AA" w:rsidRDefault="00C02A42" w:rsidP="008D31A1">
      <w:pPr>
        <w:jc w:val="center"/>
        <w:rPr>
          <w:rFonts w:cs="Arial"/>
          <w:szCs w:val="24"/>
          <w:lang w:val="es-CO" w:eastAsia="es-CO"/>
        </w:rPr>
      </w:pPr>
      <w:r w:rsidRPr="00D369AA">
        <w:rPr>
          <w:noProof/>
          <w:lang w:val="es-CO" w:eastAsia="es-CO"/>
        </w:rPr>
        <w:drawing>
          <wp:inline distT="0" distB="0" distL="0" distR="0" wp14:anchorId="3D7AE3D2" wp14:editId="18A5C78E">
            <wp:extent cx="3567600" cy="162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7600" cy="1620000"/>
                    </a:xfrm>
                    <a:prstGeom prst="rect">
                      <a:avLst/>
                    </a:prstGeom>
                    <a:noFill/>
                    <a:ln>
                      <a:noFill/>
                    </a:ln>
                  </pic:spPr>
                </pic:pic>
              </a:graphicData>
            </a:graphic>
          </wp:inline>
        </w:drawing>
      </w:r>
    </w:p>
    <w:p w14:paraId="26331EAD" w14:textId="77777777" w:rsidR="00EC60A5" w:rsidRPr="00D369AA" w:rsidRDefault="00EC60A5" w:rsidP="00EC60A5">
      <w:pPr>
        <w:pStyle w:val="Citadestacada"/>
        <w:rPr>
          <w:lang w:val="es-CO"/>
        </w:rPr>
      </w:pPr>
      <w:r w:rsidRPr="00D369AA">
        <w:rPr>
          <w:lang w:val="es-CO"/>
        </w:rPr>
        <w:t xml:space="preserve">Fuente: </w:t>
      </w:r>
      <w:r w:rsidR="004E6616" w:rsidRPr="00D369AA">
        <w:rPr>
          <w:rStyle w:val="Textoennegrita"/>
          <w:b w:val="0"/>
          <w:bCs/>
          <w:lang w:val="es-CO"/>
        </w:rPr>
        <w:t>Exposición de motivos PA - 472. Pg. 35.</w:t>
      </w:r>
    </w:p>
    <w:p w14:paraId="122CA665" w14:textId="77777777" w:rsidR="00B77614" w:rsidRPr="00D369AA" w:rsidRDefault="00B77614" w:rsidP="008D31A1">
      <w:pPr>
        <w:rPr>
          <w:rFonts w:cs="Arial"/>
          <w:szCs w:val="24"/>
          <w:lang w:val="es-CO"/>
        </w:rPr>
      </w:pPr>
    </w:p>
    <w:p w14:paraId="55F83879" w14:textId="77777777" w:rsidR="00792C4F" w:rsidRPr="00D369AA" w:rsidRDefault="00592589" w:rsidP="008D31A1">
      <w:pPr>
        <w:rPr>
          <w:bCs/>
          <w:szCs w:val="24"/>
          <w:lang w:val="es-CO"/>
        </w:rPr>
      </w:pPr>
      <w:r w:rsidRPr="00D369AA">
        <w:rPr>
          <w:bCs/>
          <w:szCs w:val="24"/>
          <w:lang w:val="es-CO"/>
        </w:rPr>
        <w:t xml:space="preserve">A continuación se presenta el comportamiento del precio histórico de la acción del Grupo </w:t>
      </w:r>
      <w:proofErr w:type="spellStart"/>
      <w:r w:rsidRPr="00D369AA">
        <w:rPr>
          <w:bCs/>
          <w:szCs w:val="24"/>
          <w:lang w:val="es-CO"/>
        </w:rPr>
        <w:t>Nutresa</w:t>
      </w:r>
      <w:proofErr w:type="spellEnd"/>
      <w:r w:rsidRPr="00D369AA">
        <w:rPr>
          <w:bCs/>
          <w:szCs w:val="24"/>
          <w:lang w:val="es-CO"/>
        </w:rPr>
        <w:t xml:space="preserve"> de conformidad con información publicada por la bolsa de valores para los últimos doce (12) meses.</w:t>
      </w:r>
    </w:p>
    <w:p w14:paraId="2E9B543F" w14:textId="77777777" w:rsidR="00592589" w:rsidRPr="00D369AA" w:rsidRDefault="00592589" w:rsidP="008D31A1">
      <w:pPr>
        <w:ind w:right="51"/>
        <w:rPr>
          <w:bCs/>
          <w:szCs w:val="24"/>
          <w:lang w:val="es-CO"/>
        </w:rPr>
      </w:pPr>
    </w:p>
    <w:p w14:paraId="17FBCA02" w14:textId="77777777" w:rsidR="002F4D54" w:rsidRPr="00D369AA" w:rsidRDefault="002F4D54" w:rsidP="008D31A1">
      <w:pPr>
        <w:ind w:right="51"/>
        <w:jc w:val="center"/>
        <w:rPr>
          <w:b/>
          <w:bCs/>
          <w:szCs w:val="24"/>
          <w:lang w:val="es-CO"/>
        </w:rPr>
      </w:pPr>
    </w:p>
    <w:p w14:paraId="31816F64" w14:textId="51DEB2BB" w:rsidR="002F4D54" w:rsidRPr="00D369AA" w:rsidRDefault="002F4D54" w:rsidP="008D31A1">
      <w:pPr>
        <w:pStyle w:val="Epgrafe"/>
        <w:rPr>
          <w:b w:val="0"/>
          <w:bCs w:val="0"/>
          <w:szCs w:val="24"/>
          <w:lang w:val="es-CO"/>
        </w:rPr>
      </w:pPr>
      <w:r w:rsidRPr="00D369AA">
        <w:rPr>
          <w:lang w:val="es-CO"/>
        </w:rPr>
        <w:t xml:space="preserve">Precio histórico de la acción </w:t>
      </w:r>
      <w:proofErr w:type="spellStart"/>
      <w:r w:rsidRPr="00D369AA">
        <w:rPr>
          <w:lang w:val="es-CO"/>
        </w:rPr>
        <w:t>Nutresa</w:t>
      </w:r>
      <w:proofErr w:type="spellEnd"/>
      <w:r w:rsidRPr="00D369AA">
        <w:rPr>
          <w:lang w:val="es-CO"/>
        </w:rPr>
        <w:t xml:space="preserve"> S.A.</w:t>
      </w:r>
    </w:p>
    <w:p w14:paraId="4D9B1FCD" w14:textId="77777777" w:rsidR="00503EDA" w:rsidRPr="00D369AA" w:rsidRDefault="00503EDA" w:rsidP="008D31A1">
      <w:pPr>
        <w:ind w:right="51"/>
        <w:jc w:val="center"/>
        <w:rPr>
          <w:b/>
          <w:bCs/>
          <w:szCs w:val="24"/>
          <w:lang w:val="es-CO"/>
        </w:rPr>
      </w:pPr>
      <w:r w:rsidRPr="00D369AA">
        <w:rPr>
          <w:b/>
          <w:bCs/>
          <w:noProof/>
          <w:szCs w:val="24"/>
          <w:lang w:val="es-CO" w:eastAsia="es-CO"/>
        </w:rPr>
        <w:drawing>
          <wp:inline distT="0" distB="0" distL="0" distR="0" wp14:anchorId="0A4AD85D" wp14:editId="015F11D1">
            <wp:extent cx="4600575" cy="26670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1209" cy="2684759"/>
                    </a:xfrm>
                    <a:prstGeom prst="rect">
                      <a:avLst/>
                    </a:prstGeom>
                    <a:noFill/>
                    <a:ln w="22225">
                      <a:solidFill>
                        <a:schemeClr val="tx1"/>
                      </a:solidFill>
                    </a:ln>
                  </pic:spPr>
                </pic:pic>
              </a:graphicData>
            </a:graphic>
          </wp:inline>
        </w:drawing>
      </w:r>
    </w:p>
    <w:p w14:paraId="07BFEA4E" w14:textId="05C0A329" w:rsidR="004340F1" w:rsidRPr="00E2214F" w:rsidRDefault="00B14FC1" w:rsidP="00E2214F">
      <w:pPr>
        <w:pStyle w:val="Citadestacada"/>
        <w:rPr>
          <w:b/>
          <w:szCs w:val="24"/>
          <w:lang w:val="es-CO"/>
        </w:rPr>
      </w:pPr>
      <w:r w:rsidRPr="00D369AA">
        <w:rPr>
          <w:lang w:val="es-CO"/>
        </w:rPr>
        <w:t>Fuente https://www.bvc.com.co/pps/tibco/portalbvc/Home/Mercados/enlinea/acciones</w:t>
      </w:r>
    </w:p>
    <w:p w14:paraId="688C7818" w14:textId="77777777" w:rsidR="00D174B3" w:rsidRPr="00D369AA" w:rsidRDefault="004929DF" w:rsidP="008D31A1">
      <w:pPr>
        <w:pStyle w:val="Ttulo2"/>
        <w:rPr>
          <w:lang w:val="es-CO"/>
        </w:rPr>
      </w:pPr>
      <w:r w:rsidRPr="00D369AA">
        <w:rPr>
          <w:lang w:val="es-CO"/>
        </w:rPr>
        <w:lastRenderedPageBreak/>
        <w:t>BANCO POPULAR S.A.</w:t>
      </w:r>
    </w:p>
    <w:p w14:paraId="6FE80EAD" w14:textId="77777777" w:rsidR="007D3DC7" w:rsidRPr="00D369AA" w:rsidRDefault="007D3DC7" w:rsidP="008D31A1">
      <w:pPr>
        <w:pStyle w:val="Ttulo3"/>
        <w:rPr>
          <w:lang w:val="es-CO"/>
        </w:rPr>
      </w:pPr>
      <w:r w:rsidRPr="00D369AA">
        <w:rPr>
          <w:lang w:val="es-CO"/>
        </w:rPr>
        <w:t>Descripción de la empresa</w:t>
      </w:r>
    </w:p>
    <w:p w14:paraId="3487FA82" w14:textId="77777777" w:rsidR="00EC0455" w:rsidRPr="00D369AA" w:rsidRDefault="00442B82" w:rsidP="008D31A1">
      <w:pPr>
        <w:ind w:right="51"/>
        <w:rPr>
          <w:bCs/>
          <w:szCs w:val="24"/>
          <w:lang w:val="es-CO"/>
        </w:rPr>
      </w:pPr>
      <w:r w:rsidRPr="00D369AA">
        <w:rPr>
          <w:lang w:val="es-CO"/>
        </w:rPr>
        <w:t>El Banco Popular S.A., es una sociedad comercial anónima de carácter privado, creada en el año 1950, sometida al control y vigilancia de la Superint</w:t>
      </w:r>
      <w:r w:rsidR="005540ED" w:rsidRPr="00D369AA">
        <w:rPr>
          <w:lang w:val="es-CO"/>
        </w:rPr>
        <w:t xml:space="preserve">endencia Financiera de Colombia, cuyo </w:t>
      </w:r>
      <w:r w:rsidRPr="00D369AA">
        <w:rPr>
          <w:lang w:val="es-CO"/>
        </w:rPr>
        <w:t xml:space="preserve">objeto social principal </w:t>
      </w:r>
      <w:r w:rsidR="005540ED" w:rsidRPr="00D369AA">
        <w:rPr>
          <w:lang w:val="es-CO"/>
        </w:rPr>
        <w:t xml:space="preserve">es </w:t>
      </w:r>
      <w:r w:rsidRPr="00D369AA">
        <w:rPr>
          <w:lang w:val="es-CO"/>
        </w:rPr>
        <w:t>el desarrollo de las actividades, operaciones y servicios bancario</w:t>
      </w:r>
      <w:r w:rsidR="005540ED" w:rsidRPr="00D369AA">
        <w:rPr>
          <w:lang w:val="es-CO"/>
        </w:rPr>
        <w:t>s, a</w:t>
      </w:r>
      <w:r w:rsidRPr="00D369AA">
        <w:rPr>
          <w:lang w:val="es-CO"/>
        </w:rPr>
        <w:t>dicionalmente puede realizar a través de su Martillo la venta o permuta o cualquier otra forma de enajenación de bienes muebles, inmuebles u otros objetos negociables.</w:t>
      </w:r>
      <w:r w:rsidR="004732D6" w:rsidRPr="00D369AA">
        <w:rPr>
          <w:lang w:val="es-CO"/>
        </w:rPr>
        <w:t xml:space="preserve"> </w:t>
      </w:r>
      <w:r w:rsidR="004732D6" w:rsidRPr="00D369AA">
        <w:rPr>
          <w:bCs/>
          <w:szCs w:val="24"/>
          <w:lang w:val="es-CO"/>
        </w:rPr>
        <w:t>A</w:t>
      </w:r>
      <w:r w:rsidR="00EC0455" w:rsidRPr="00D369AA">
        <w:rPr>
          <w:bCs/>
          <w:szCs w:val="24"/>
          <w:lang w:val="es-CO"/>
        </w:rPr>
        <w:t>ctualmente hace parte del Grupo Aval que es uno de los grupos financieros más grandes del país, con un amplio portafolio de servicios financieros.</w:t>
      </w:r>
    </w:p>
    <w:p w14:paraId="5FA22A36" w14:textId="77777777" w:rsidR="006566FD" w:rsidRPr="00D369AA" w:rsidRDefault="006566FD" w:rsidP="008D31A1">
      <w:pPr>
        <w:ind w:right="51"/>
        <w:rPr>
          <w:bCs/>
          <w:szCs w:val="24"/>
          <w:lang w:val="es-CO"/>
        </w:rPr>
      </w:pPr>
      <w:r w:rsidRPr="00D369AA">
        <w:rPr>
          <w:lang w:val="es-CO"/>
        </w:rPr>
        <w:t xml:space="preserve">El Banco realiza sus actividades a través de 209 oficinas que ofrecen todos los servicios bancarios, 8 extensiones de caja, 2 </w:t>
      </w:r>
      <w:proofErr w:type="spellStart"/>
      <w:r w:rsidRPr="00D369AA">
        <w:rPr>
          <w:lang w:val="es-CO"/>
        </w:rPr>
        <w:t>Supercades</w:t>
      </w:r>
      <w:proofErr w:type="spellEnd"/>
      <w:r w:rsidRPr="00D369AA">
        <w:rPr>
          <w:lang w:val="es-CO"/>
        </w:rPr>
        <w:t xml:space="preserve">, 1 </w:t>
      </w:r>
      <w:proofErr w:type="spellStart"/>
      <w:r w:rsidRPr="00D369AA">
        <w:rPr>
          <w:lang w:val="es-CO"/>
        </w:rPr>
        <w:t>Rapicade</w:t>
      </w:r>
      <w:proofErr w:type="spellEnd"/>
      <w:r w:rsidRPr="00D369AA">
        <w:rPr>
          <w:lang w:val="es-CO"/>
        </w:rPr>
        <w:t>, 198 corresponsales bancarios, 12 centrales de servicio, 9 centrales de libranzas, 48 centros de recaudo, y 1.157 cajeros automáticos funcionando, todos los activos del Banco se encuentran localizados en el territorio colombiano.</w:t>
      </w:r>
    </w:p>
    <w:p w14:paraId="6B3A436A" w14:textId="7D34993B" w:rsidR="00EC0455" w:rsidRPr="00D369AA" w:rsidRDefault="00053241" w:rsidP="008D31A1">
      <w:pPr>
        <w:ind w:right="51"/>
        <w:rPr>
          <w:i/>
          <w:lang w:val="es-CO"/>
        </w:rPr>
      </w:pPr>
      <w:r w:rsidRPr="00D369AA">
        <w:rPr>
          <w:i/>
          <w:lang w:val="es-CO"/>
        </w:rPr>
        <w:t xml:space="preserve">Durante el segundo semestre de 2015, el Banco logró ingresos por </w:t>
      </w:r>
      <w:r w:rsidR="00DE0F59" w:rsidRPr="00D369AA">
        <w:rPr>
          <w:i/>
          <w:lang w:val="es-CO"/>
        </w:rPr>
        <w:t>COP</w:t>
      </w:r>
      <w:r w:rsidRPr="00D369AA">
        <w:rPr>
          <w:i/>
          <w:lang w:val="es-CO"/>
        </w:rPr>
        <w:t xml:space="preserve">976.723 millones, con un incremento de </w:t>
      </w:r>
      <w:r w:rsidR="00DE0F59" w:rsidRPr="00D369AA">
        <w:rPr>
          <w:i/>
          <w:lang w:val="es-CO"/>
        </w:rPr>
        <w:t>COP</w:t>
      </w:r>
      <w:r w:rsidRPr="00D369AA">
        <w:rPr>
          <w:i/>
          <w:lang w:val="es-CO"/>
        </w:rPr>
        <w:t xml:space="preserve">50.310 millones con respecto al primer semestre del año. Del total de ingresos, el 80,1 % fue generado por intereses de cartera de créditos, los cuales pasaron de </w:t>
      </w:r>
      <w:r w:rsidR="00DE0F59" w:rsidRPr="00D369AA">
        <w:rPr>
          <w:i/>
          <w:lang w:val="es-CO"/>
        </w:rPr>
        <w:t>COP</w:t>
      </w:r>
      <w:r w:rsidRPr="00D369AA">
        <w:rPr>
          <w:i/>
          <w:lang w:val="es-CO"/>
        </w:rPr>
        <w:t xml:space="preserve">742.575 millones en el primer semestre de 2015 a </w:t>
      </w:r>
      <w:r w:rsidR="00DE0F59" w:rsidRPr="00D369AA">
        <w:rPr>
          <w:i/>
          <w:lang w:val="es-CO"/>
        </w:rPr>
        <w:t>COP</w:t>
      </w:r>
      <w:r w:rsidRPr="00D369AA">
        <w:rPr>
          <w:i/>
          <w:lang w:val="es-CO"/>
        </w:rPr>
        <w:t>782.459 millones en el segundo semestre del mismo año. En este último período, el 68,0 % provino de cartera de consumo y el 30,2 % de cartera comercial, las dos principales modalidades de cartera</w:t>
      </w:r>
      <w:r w:rsidR="009C7B4F" w:rsidRPr="00D369AA">
        <w:rPr>
          <w:rStyle w:val="Refdenotaalpie"/>
          <w:i/>
          <w:lang w:val="es-CO"/>
        </w:rPr>
        <w:footnoteReference w:id="38"/>
      </w:r>
      <w:r w:rsidRPr="00D369AA">
        <w:rPr>
          <w:i/>
          <w:lang w:val="es-CO"/>
        </w:rPr>
        <w:t xml:space="preserve">. </w:t>
      </w:r>
    </w:p>
    <w:p w14:paraId="6C656F85" w14:textId="77777777" w:rsidR="009C7B4F" w:rsidRPr="00D369AA" w:rsidRDefault="009C7B4F" w:rsidP="008D31A1">
      <w:pPr>
        <w:shd w:val="clear" w:color="auto" w:fill="FFFFFF"/>
        <w:textAlignment w:val="top"/>
        <w:rPr>
          <w:rFonts w:cs="Arial"/>
          <w:i/>
          <w:color w:val="auto"/>
          <w:szCs w:val="24"/>
          <w:lang w:val="es-CO" w:eastAsia="es-CO"/>
        </w:rPr>
      </w:pPr>
      <w:r w:rsidRPr="00D369AA">
        <w:rPr>
          <w:rFonts w:cs="Arial"/>
          <w:i/>
          <w:color w:val="auto"/>
          <w:szCs w:val="24"/>
          <w:lang w:val="es-CO" w:eastAsia="es-CO"/>
        </w:rPr>
        <w:t>En diciembre de 2014, la calificadoras de riesgo que tradicionalmente han venido evaluando al Banco, ratificaron su calificación con las más altas establecidas para las deudas de corto y largo plazo, lo cual confirma los resultados favorables que ha presentado la Entidad y evidencia la confianza en que su capacidad de pago no se verá afectada ante variaciones del sector o de la economía.</w:t>
      </w:r>
    </w:p>
    <w:p w14:paraId="0A743FF3" w14:textId="77777777" w:rsidR="009C7B4F" w:rsidRPr="00D369AA" w:rsidRDefault="009C7B4F" w:rsidP="008D31A1">
      <w:pPr>
        <w:shd w:val="clear" w:color="auto" w:fill="FFFFFF"/>
        <w:textAlignment w:val="top"/>
        <w:rPr>
          <w:rFonts w:cs="Arial"/>
          <w:color w:val="auto"/>
          <w:szCs w:val="24"/>
          <w:lang w:val="es-CO" w:eastAsia="es-CO"/>
        </w:rPr>
      </w:pPr>
    </w:p>
    <w:p w14:paraId="28C5FFDB" w14:textId="77777777" w:rsidR="009C7B4F" w:rsidRPr="00D369AA" w:rsidRDefault="009C7B4F" w:rsidP="008D31A1">
      <w:pPr>
        <w:shd w:val="clear" w:color="auto" w:fill="FFFFFF"/>
        <w:jc w:val="center"/>
        <w:textAlignment w:val="top"/>
        <w:rPr>
          <w:rFonts w:cs="Arial"/>
          <w:color w:val="auto"/>
          <w:szCs w:val="24"/>
          <w:lang w:val="es-CO" w:eastAsia="es-CO"/>
        </w:rPr>
      </w:pPr>
      <w:r w:rsidRPr="00D369AA">
        <w:rPr>
          <w:rFonts w:cs="Arial"/>
          <w:noProof/>
          <w:color w:val="auto"/>
          <w:szCs w:val="24"/>
          <w:lang w:val="es-CO" w:eastAsia="es-CO"/>
        </w:rPr>
        <w:lastRenderedPageBreak/>
        <w:drawing>
          <wp:inline distT="0" distB="0" distL="0" distR="0" wp14:anchorId="1F50E437" wp14:editId="2D69C83F">
            <wp:extent cx="3352800" cy="771525"/>
            <wp:effectExtent l="19050" t="19050" r="19050" b="285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2800" cy="771525"/>
                    </a:xfrm>
                    <a:prstGeom prst="rect">
                      <a:avLst/>
                    </a:prstGeom>
                    <a:noFill/>
                    <a:ln w="19050">
                      <a:solidFill>
                        <a:schemeClr val="tx1"/>
                      </a:solidFill>
                    </a:ln>
                  </pic:spPr>
                </pic:pic>
              </a:graphicData>
            </a:graphic>
          </wp:inline>
        </w:drawing>
      </w:r>
    </w:p>
    <w:p w14:paraId="4EF53F56" w14:textId="11C372EF" w:rsidR="009C7B4F" w:rsidRPr="00D369AA" w:rsidRDefault="003E7D32" w:rsidP="008D31A1">
      <w:pPr>
        <w:rPr>
          <w:rFonts w:ascii="Times New Roman" w:hAnsi="Times New Roman"/>
          <w:color w:val="auto"/>
          <w:szCs w:val="24"/>
          <w:lang w:val="es-CO" w:eastAsia="es-CO"/>
        </w:rPr>
      </w:pPr>
      <w:r w:rsidRPr="00D369AA">
        <w:rPr>
          <w:rFonts w:cs="Arial"/>
          <w:color w:val="222222"/>
          <w:sz w:val="14"/>
          <w:szCs w:val="14"/>
          <w:shd w:val="clear" w:color="auto" w:fill="FFFFFF"/>
          <w:lang w:val="es-CO" w:eastAsia="es-CO"/>
        </w:rPr>
        <w:t xml:space="preserve"> </w:t>
      </w:r>
    </w:p>
    <w:p w14:paraId="318BAAB9" w14:textId="77777777" w:rsidR="009C7B4F" w:rsidRPr="00D369AA" w:rsidRDefault="009C7B4F" w:rsidP="008D31A1">
      <w:pPr>
        <w:shd w:val="clear" w:color="auto" w:fill="FFFFFF"/>
        <w:textAlignment w:val="top"/>
        <w:rPr>
          <w:rFonts w:cs="Arial"/>
          <w:i/>
          <w:color w:val="auto"/>
          <w:szCs w:val="24"/>
          <w:lang w:val="es-CO" w:eastAsia="es-CO"/>
        </w:rPr>
      </w:pPr>
      <w:r w:rsidRPr="00D369AA">
        <w:rPr>
          <w:rFonts w:cs="Arial"/>
          <w:i/>
          <w:color w:val="auto"/>
          <w:szCs w:val="24"/>
          <w:lang w:val="es-CO" w:eastAsia="es-CO"/>
        </w:rPr>
        <w:t>Como resultado de las evaluaciones, las calificadoras resaltan la experiencia y liderazgo en los nichos de mercado, especialmente en el producto de libranzas, para el cual, mediante diferentes mecanismos han logrado mantener un alto grado de fidelización y profundización de sus clientes.</w:t>
      </w:r>
    </w:p>
    <w:p w14:paraId="562144EF" w14:textId="77777777" w:rsidR="009C7B4F" w:rsidRPr="00D369AA" w:rsidRDefault="009C7B4F" w:rsidP="008D31A1">
      <w:pPr>
        <w:shd w:val="clear" w:color="auto" w:fill="FFFFFF"/>
        <w:textAlignment w:val="top"/>
        <w:rPr>
          <w:rFonts w:cs="Arial"/>
          <w:i/>
          <w:color w:val="auto"/>
          <w:szCs w:val="24"/>
          <w:lang w:val="es-CO" w:eastAsia="es-CO"/>
        </w:rPr>
      </w:pPr>
      <w:r w:rsidRPr="00D369AA">
        <w:rPr>
          <w:rFonts w:cs="Arial"/>
          <w:i/>
          <w:color w:val="auto"/>
          <w:szCs w:val="24"/>
          <w:lang w:val="es-CO" w:eastAsia="es-CO"/>
        </w:rPr>
        <w:t>Destacan el continuo fortalecimiento de la infraestructura tecnológica y los robustos esquemas de gestión del riesgo, aspectos que fortalecen en mayor medida la operación del negocio. De igual manera, señalan la importancia del respaldo corporativo y patrimonial del Grupo Aval.</w:t>
      </w:r>
      <w:r w:rsidRPr="00D369AA">
        <w:rPr>
          <w:rStyle w:val="Refdenotaalpie"/>
          <w:rFonts w:cs="Arial"/>
          <w:i/>
          <w:color w:val="auto"/>
          <w:szCs w:val="24"/>
          <w:lang w:val="es-CO" w:eastAsia="es-CO"/>
        </w:rPr>
        <w:footnoteReference w:id="39"/>
      </w:r>
    </w:p>
    <w:p w14:paraId="249B40CE" w14:textId="62DA2229" w:rsidR="007D3DC7" w:rsidRPr="00D369AA" w:rsidRDefault="004420E9" w:rsidP="008D31A1">
      <w:pPr>
        <w:pStyle w:val="Ttulo3"/>
        <w:rPr>
          <w:lang w:val="es-CO"/>
        </w:rPr>
      </w:pPr>
      <w:r>
        <w:rPr>
          <w:lang w:val="es-CO"/>
        </w:rPr>
        <w:t>I</w:t>
      </w:r>
      <w:r w:rsidR="007D3DC7" w:rsidRPr="00D369AA">
        <w:rPr>
          <w:lang w:val="es-CO"/>
        </w:rPr>
        <w:t>nversión de EEB en Banco Popular S.A.</w:t>
      </w:r>
      <w:r w:rsidR="00F511F4" w:rsidRPr="00D369AA">
        <w:rPr>
          <w:rStyle w:val="Refdenotaalpie"/>
          <w:lang w:val="es-CO"/>
        </w:rPr>
        <w:footnoteReference w:id="40"/>
      </w:r>
    </w:p>
    <w:p w14:paraId="20F2503B" w14:textId="77777777" w:rsidR="007D3DC7" w:rsidRPr="00482928" w:rsidRDefault="007D3DC7" w:rsidP="008D31A1">
      <w:pPr>
        <w:rPr>
          <w:i/>
          <w:lang w:val="es-CO" w:eastAsia="es-CO"/>
        </w:rPr>
      </w:pPr>
      <w:r w:rsidRPr="00482928">
        <w:rPr>
          <w:i/>
          <w:lang w:val="es-CO" w:eastAsia="es-CO"/>
        </w:rPr>
        <w:t xml:space="preserve">EEB es propietario de 8.772.703 acciones ordinarias de Banco Popular, que corresponden al 0,11% del capital según certificado </w:t>
      </w:r>
      <w:proofErr w:type="spellStart"/>
      <w:r w:rsidRPr="00482928">
        <w:rPr>
          <w:i/>
          <w:lang w:val="es-CO" w:eastAsia="es-CO"/>
        </w:rPr>
        <w:t>Deceval</w:t>
      </w:r>
      <w:proofErr w:type="spellEnd"/>
      <w:r w:rsidRPr="00482928">
        <w:rPr>
          <w:i/>
          <w:lang w:val="es-CO" w:eastAsia="es-CO"/>
        </w:rPr>
        <w:t xml:space="preserve"> No. 0271743 del 17 de febrero de 2009.</w:t>
      </w:r>
    </w:p>
    <w:p w14:paraId="0AFCB536" w14:textId="77777777" w:rsidR="007D3DC7" w:rsidRPr="00482928" w:rsidRDefault="007D3DC7" w:rsidP="008D31A1">
      <w:pPr>
        <w:rPr>
          <w:i/>
          <w:lang w:val="es-CO" w:eastAsia="es-CO"/>
        </w:rPr>
      </w:pPr>
      <w:r w:rsidRPr="00482928">
        <w:rPr>
          <w:i/>
          <w:lang w:val="es-CO" w:eastAsia="es-CO"/>
        </w:rPr>
        <w:t xml:space="preserve">BANCO POPULAR S.A., fue constituido mediante Decreto 2143 del 30 de junio de 1950, expedido por el Concejo Municipal de Bogotá, como sociedad anónima de economía mixta y banco prendario de orden Municipal. En dicho decreto se autorizó la Municipio de Bogotá para participar y promover la creación del Banco y como consecuencia de lo anterior el Municipio recibió acciones las cuales posteriormente fueron transferidas a EEB. </w:t>
      </w:r>
    </w:p>
    <w:p w14:paraId="1BC0A0ED" w14:textId="77777777" w:rsidR="007D3DC7" w:rsidRPr="00482928" w:rsidRDefault="007D3DC7" w:rsidP="008D31A1">
      <w:pPr>
        <w:rPr>
          <w:i/>
          <w:lang w:val="es-CO" w:eastAsia="es-CO"/>
        </w:rPr>
      </w:pPr>
      <w:r w:rsidRPr="00482928">
        <w:rPr>
          <w:i/>
          <w:lang w:val="es-CO" w:eastAsia="es-CO"/>
        </w:rPr>
        <w:t>En diciembre de 1969, el Gobierno Nacional expidió el decreto 2186 por el cual le impuso el carácter de sociedad de economía mixta del orden nacional, sometida al régimen de las empresas industriales y comerciales del Estado, vinculadas al Ministerio de Hacienda y Crédito Público.</w:t>
      </w:r>
    </w:p>
    <w:p w14:paraId="47EA6270" w14:textId="77777777" w:rsidR="007D3DC7" w:rsidRPr="00482928" w:rsidRDefault="007D3DC7" w:rsidP="008D31A1">
      <w:pPr>
        <w:rPr>
          <w:i/>
          <w:lang w:val="es-CO" w:eastAsia="es-CO"/>
        </w:rPr>
      </w:pPr>
      <w:r w:rsidRPr="00482928">
        <w:rPr>
          <w:i/>
          <w:lang w:val="es-CO" w:eastAsia="es-CO"/>
        </w:rPr>
        <w:t xml:space="preserve">En noviembre de 1996 el Banco fue privatizado con la compra por parte de la sociedad Popular </w:t>
      </w:r>
      <w:proofErr w:type="spellStart"/>
      <w:r w:rsidRPr="00482928">
        <w:rPr>
          <w:i/>
          <w:lang w:val="es-CO" w:eastAsia="es-CO"/>
        </w:rPr>
        <w:t>Investment</w:t>
      </w:r>
      <w:proofErr w:type="spellEnd"/>
      <w:r w:rsidRPr="00482928">
        <w:rPr>
          <w:i/>
          <w:lang w:val="es-CO" w:eastAsia="es-CO"/>
        </w:rPr>
        <w:t xml:space="preserve"> S.A. del 80% de las acciones. El 13% quedó de </w:t>
      </w:r>
      <w:r w:rsidRPr="00482928">
        <w:rPr>
          <w:i/>
          <w:lang w:val="es-CO" w:eastAsia="es-CO"/>
        </w:rPr>
        <w:lastRenderedPageBreak/>
        <w:t>propiedad de la República de Colombia y el 7% restante de accionistas particulares y oficiales.</w:t>
      </w:r>
    </w:p>
    <w:p w14:paraId="05CF4153" w14:textId="77777777" w:rsidR="007D3DC7" w:rsidRPr="00482928" w:rsidRDefault="007D3DC7" w:rsidP="008D31A1">
      <w:pPr>
        <w:rPr>
          <w:i/>
          <w:lang w:val="es-CO" w:eastAsia="es-CO"/>
        </w:rPr>
      </w:pPr>
      <w:r w:rsidRPr="00482928">
        <w:rPr>
          <w:i/>
          <w:lang w:val="es-CO" w:eastAsia="es-CO"/>
        </w:rPr>
        <w:t xml:space="preserve">En diciembre de 2002 mediante un proceso de escisión se transfirieron acciones que pertenecían a las sociedades Popular </w:t>
      </w:r>
      <w:proofErr w:type="spellStart"/>
      <w:r w:rsidRPr="00482928">
        <w:rPr>
          <w:i/>
          <w:lang w:val="es-CO" w:eastAsia="es-CO"/>
        </w:rPr>
        <w:t>Investment</w:t>
      </w:r>
      <w:proofErr w:type="spellEnd"/>
      <w:r w:rsidRPr="00482928">
        <w:rPr>
          <w:i/>
          <w:lang w:val="es-CO" w:eastAsia="es-CO"/>
        </w:rPr>
        <w:t xml:space="preserve"> S.A., </w:t>
      </w:r>
      <w:proofErr w:type="spellStart"/>
      <w:r w:rsidRPr="00482928">
        <w:rPr>
          <w:i/>
          <w:lang w:val="es-CO" w:eastAsia="es-CO"/>
        </w:rPr>
        <w:t>Capirrendi</w:t>
      </w:r>
      <w:proofErr w:type="spellEnd"/>
      <w:r w:rsidRPr="00482928">
        <w:rPr>
          <w:i/>
          <w:lang w:val="es-CO" w:eastAsia="es-CO"/>
        </w:rPr>
        <w:t xml:space="preserve"> S.A., </w:t>
      </w:r>
      <w:proofErr w:type="spellStart"/>
      <w:r w:rsidRPr="00482928">
        <w:rPr>
          <w:i/>
          <w:lang w:val="es-CO" w:eastAsia="es-CO"/>
        </w:rPr>
        <w:t>Adquivalores</w:t>
      </w:r>
      <w:proofErr w:type="spellEnd"/>
      <w:r w:rsidRPr="00482928">
        <w:rPr>
          <w:i/>
          <w:lang w:val="es-CO" w:eastAsia="es-CO"/>
        </w:rPr>
        <w:t xml:space="preserve"> S.A., </w:t>
      </w:r>
      <w:proofErr w:type="spellStart"/>
      <w:r w:rsidRPr="00482928">
        <w:rPr>
          <w:i/>
          <w:lang w:val="es-CO" w:eastAsia="es-CO"/>
        </w:rPr>
        <w:t>Impladeco</w:t>
      </w:r>
      <w:proofErr w:type="spellEnd"/>
      <w:r w:rsidRPr="00482928">
        <w:rPr>
          <w:i/>
          <w:lang w:val="es-CO" w:eastAsia="es-CO"/>
        </w:rPr>
        <w:t xml:space="preserve"> S.A. y </w:t>
      </w:r>
      <w:proofErr w:type="spellStart"/>
      <w:r w:rsidRPr="00482928">
        <w:rPr>
          <w:i/>
          <w:lang w:val="es-CO" w:eastAsia="es-CO"/>
        </w:rPr>
        <w:t>Movifin</w:t>
      </w:r>
      <w:proofErr w:type="spellEnd"/>
      <w:r w:rsidRPr="00482928">
        <w:rPr>
          <w:i/>
          <w:lang w:val="es-CO" w:eastAsia="es-CO"/>
        </w:rPr>
        <w:t xml:space="preserve"> Ltda. </w:t>
      </w:r>
      <w:proofErr w:type="gramStart"/>
      <w:r w:rsidRPr="00482928">
        <w:rPr>
          <w:i/>
          <w:lang w:val="es-CO" w:eastAsia="es-CO"/>
        </w:rPr>
        <w:t>a</w:t>
      </w:r>
      <w:proofErr w:type="gramEnd"/>
      <w:r w:rsidRPr="00482928">
        <w:rPr>
          <w:i/>
          <w:lang w:val="es-CO" w:eastAsia="es-CO"/>
        </w:rPr>
        <w:t xml:space="preserve"> favor de la sociedad </w:t>
      </w:r>
      <w:proofErr w:type="spellStart"/>
      <w:r w:rsidRPr="00482928">
        <w:rPr>
          <w:i/>
          <w:lang w:val="es-CO" w:eastAsia="es-CO"/>
        </w:rPr>
        <w:t>Rendifin</w:t>
      </w:r>
      <w:proofErr w:type="spellEnd"/>
      <w:r w:rsidRPr="00482928">
        <w:rPr>
          <w:i/>
          <w:lang w:val="es-CO" w:eastAsia="es-CO"/>
        </w:rPr>
        <w:t xml:space="preserve"> S.A., de propiedad en su mayoría del mismo accionista, quedando con el 82% de la entidad.</w:t>
      </w:r>
    </w:p>
    <w:p w14:paraId="7B09D06F" w14:textId="77777777" w:rsidR="007D3DC7" w:rsidRPr="00482928" w:rsidRDefault="007D3DC7" w:rsidP="008D31A1">
      <w:pPr>
        <w:rPr>
          <w:i/>
          <w:lang w:val="es-CO" w:eastAsia="es-CO"/>
        </w:rPr>
      </w:pPr>
      <w:r w:rsidRPr="00482928">
        <w:rPr>
          <w:i/>
          <w:lang w:val="es-CO" w:eastAsia="es-CO"/>
        </w:rPr>
        <w:t xml:space="preserve">En octubre de 2005, el Grupo Aval Acciones y Valores S.A. adquirió el 9,45% de las acciones de </w:t>
      </w:r>
      <w:proofErr w:type="spellStart"/>
      <w:r w:rsidRPr="00482928">
        <w:rPr>
          <w:i/>
          <w:lang w:val="es-CO" w:eastAsia="es-CO"/>
        </w:rPr>
        <w:t>Rendifin</w:t>
      </w:r>
      <w:proofErr w:type="spellEnd"/>
      <w:r w:rsidRPr="00482928">
        <w:rPr>
          <w:i/>
          <w:lang w:val="es-CO" w:eastAsia="es-CO"/>
        </w:rPr>
        <w:t>, quedando esta última con el 72,57%.</w:t>
      </w:r>
    </w:p>
    <w:p w14:paraId="428E36DF" w14:textId="5CBABBA5" w:rsidR="007D3DC7" w:rsidRPr="00482928" w:rsidRDefault="007D3DC7" w:rsidP="008D31A1">
      <w:pPr>
        <w:ind w:right="51"/>
        <w:rPr>
          <w:i/>
          <w:lang w:val="es-CO"/>
        </w:rPr>
      </w:pPr>
      <w:r w:rsidRPr="00482928">
        <w:rPr>
          <w:i/>
          <w:lang w:val="es-CO" w:eastAsia="es-CO"/>
        </w:rPr>
        <w:t xml:space="preserve">En desarrollo de su objeto social, celebra o ejecuta todas las operaciones contratos legalmente permitidos a los establecimientos bancarios de carácter comercial, con sujeción a los requisitos y limitaciones de la ley </w:t>
      </w:r>
      <w:r w:rsidR="00D369AA" w:rsidRPr="00482928">
        <w:rPr>
          <w:i/>
          <w:lang w:val="es-CO" w:eastAsia="es-CO"/>
        </w:rPr>
        <w:t>colombiana</w:t>
      </w:r>
      <w:r w:rsidRPr="00482928">
        <w:rPr>
          <w:i/>
          <w:lang w:val="es-CO" w:eastAsia="es-CO"/>
        </w:rPr>
        <w:t>.</w:t>
      </w:r>
    </w:p>
    <w:p w14:paraId="64DBEF49" w14:textId="77777777" w:rsidR="007D3DC7" w:rsidRPr="00D369AA" w:rsidRDefault="007D3DC7" w:rsidP="008D31A1">
      <w:pPr>
        <w:pStyle w:val="Ttulo3"/>
        <w:rPr>
          <w:lang w:val="es-CO"/>
        </w:rPr>
      </w:pPr>
      <w:r w:rsidRPr="00D369AA">
        <w:rPr>
          <w:lang w:val="es-CO"/>
        </w:rPr>
        <w:t>Composición accionaria Banco Popular</w:t>
      </w:r>
    </w:p>
    <w:p w14:paraId="6477C166" w14:textId="77777777" w:rsidR="009C7B4F" w:rsidRPr="00D369AA" w:rsidRDefault="009C7B4F" w:rsidP="008D31A1">
      <w:pPr>
        <w:ind w:right="51"/>
        <w:rPr>
          <w:lang w:val="es-CO"/>
        </w:rPr>
      </w:pPr>
      <w:r w:rsidRPr="00D369AA">
        <w:rPr>
          <w:lang w:val="es-CO"/>
        </w:rPr>
        <w:t>Según información publicada en la página web de la entidad se encuentran en circulación 7.725.326.503 acciones ordinarias cuyo principal accionista es el Grupo Aval Acciones y valores S.A. con el 93.74%</w:t>
      </w:r>
      <w:r w:rsidR="00037129" w:rsidRPr="00D369AA">
        <w:rPr>
          <w:rStyle w:val="Refdenotaalpie"/>
          <w:lang w:val="es-CO"/>
        </w:rPr>
        <w:footnoteReference w:id="41"/>
      </w:r>
      <w:r w:rsidRPr="00D369AA">
        <w:rPr>
          <w:lang w:val="es-CO"/>
        </w:rPr>
        <w:t xml:space="preserve"> de participación y otros accionistas con el 6.26% restante, entre los cuales se encuentra la EEB S.A. E.S.P con una participación del 0.11% correspondiente a 8.772.703 acciones. </w:t>
      </w:r>
    </w:p>
    <w:p w14:paraId="6CDCFB84" w14:textId="77777777" w:rsidR="00D65E4B" w:rsidRPr="00D369AA" w:rsidRDefault="00D65E4B" w:rsidP="008D31A1">
      <w:pPr>
        <w:rPr>
          <w:rFonts w:cs="Arial"/>
          <w:szCs w:val="24"/>
          <w:lang w:val="es-CO" w:eastAsia="es-CO"/>
        </w:rPr>
      </w:pPr>
      <w:r w:rsidRPr="00D369AA">
        <w:rPr>
          <w:rFonts w:cs="Arial"/>
          <w:szCs w:val="24"/>
          <w:lang w:val="es-CO" w:eastAsia="es-CO"/>
        </w:rPr>
        <w:t xml:space="preserve">EEB posee 8.772.703 acciones que representan un 0.11% del total de acciones. Esta participación, tiene un valor estimado, con base en el precio histórico de la acción, entre COP 4.202 y COP 4.386 millones. </w:t>
      </w:r>
    </w:p>
    <w:p w14:paraId="74A9DFED" w14:textId="161E82D5" w:rsidR="00D65E4B" w:rsidRPr="00D369AA" w:rsidRDefault="001C4279" w:rsidP="001C4279">
      <w:pPr>
        <w:pStyle w:val="Epgrafe"/>
        <w:rPr>
          <w:rFonts w:cs="Arial"/>
          <w:szCs w:val="24"/>
          <w:lang w:val="es-CO"/>
        </w:rPr>
      </w:pPr>
      <w:bookmarkStart w:id="4" w:name="_Toc464137716"/>
      <w:bookmarkStart w:id="5" w:name="_Toc464211495"/>
      <w:r w:rsidRPr="00D369AA">
        <w:rPr>
          <w:lang w:val="es-CO"/>
        </w:rPr>
        <w:lastRenderedPageBreak/>
        <w:t>Gráfico No.</w:t>
      </w:r>
      <w:r w:rsidR="003E7D32" w:rsidRPr="00D369AA">
        <w:rPr>
          <w:lang w:val="es-CO"/>
        </w:rPr>
        <w:t xml:space="preserve"> </w:t>
      </w:r>
      <w:r w:rsidR="00D2659A" w:rsidRPr="00D369AA">
        <w:rPr>
          <w:lang w:val="es-CO"/>
        </w:rPr>
        <w:fldChar w:fldCharType="begin"/>
      </w:r>
      <w:r w:rsidR="00D2659A" w:rsidRPr="00D369AA">
        <w:rPr>
          <w:lang w:val="es-CO"/>
        </w:rPr>
        <w:instrText xml:space="preserve"> SEQ Gráfico_No._ \* ARABIC </w:instrText>
      </w:r>
      <w:r w:rsidR="00D2659A" w:rsidRPr="00D369AA">
        <w:rPr>
          <w:lang w:val="es-CO"/>
        </w:rPr>
        <w:fldChar w:fldCharType="separate"/>
      </w:r>
      <w:r w:rsidR="00F0704E">
        <w:rPr>
          <w:noProof/>
          <w:lang w:val="es-CO"/>
        </w:rPr>
        <w:t>2</w:t>
      </w:r>
      <w:r w:rsidR="00D2659A" w:rsidRPr="00D369AA">
        <w:rPr>
          <w:lang w:val="es-CO"/>
        </w:rPr>
        <w:fldChar w:fldCharType="end"/>
      </w:r>
      <w:r w:rsidRPr="00D369AA">
        <w:rPr>
          <w:lang w:val="es-CO"/>
        </w:rPr>
        <w:t xml:space="preserve"> - </w:t>
      </w:r>
      <w:r w:rsidR="00D65E4B" w:rsidRPr="00D369AA">
        <w:rPr>
          <w:rFonts w:cs="Arial"/>
          <w:szCs w:val="24"/>
          <w:lang w:val="es-CO"/>
        </w:rPr>
        <w:t>Banco Popular S.A. - Composición accionaria a junio 2016</w:t>
      </w:r>
      <w:bookmarkEnd w:id="4"/>
      <w:bookmarkEnd w:id="5"/>
    </w:p>
    <w:p w14:paraId="3400735F" w14:textId="77777777" w:rsidR="00D65E4B" w:rsidRPr="00D369AA" w:rsidRDefault="00D65E4B" w:rsidP="008D31A1">
      <w:pPr>
        <w:rPr>
          <w:rFonts w:cs="Arial"/>
          <w:szCs w:val="24"/>
          <w:lang w:val="es-CO"/>
        </w:rPr>
      </w:pPr>
      <w:r w:rsidRPr="00D369AA">
        <w:rPr>
          <w:rFonts w:cs="Arial"/>
          <w:noProof/>
          <w:szCs w:val="24"/>
          <w:lang w:val="es-CO" w:eastAsia="es-CO"/>
        </w:rPr>
        <w:drawing>
          <wp:inline distT="0" distB="0" distL="0" distR="0" wp14:anchorId="5FD6C9CB" wp14:editId="4E084DCE">
            <wp:extent cx="5057775" cy="31327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8070"/>
                    <a:stretch/>
                  </pic:blipFill>
                  <pic:spPr bwMode="auto">
                    <a:xfrm>
                      <a:off x="0" y="0"/>
                      <a:ext cx="5095414" cy="3156062"/>
                    </a:xfrm>
                    <a:prstGeom prst="rect">
                      <a:avLst/>
                    </a:prstGeom>
                    <a:noFill/>
                    <a:ln>
                      <a:noFill/>
                    </a:ln>
                    <a:extLst>
                      <a:ext uri="{53640926-AAD7-44D8-BBD7-CCE9431645EC}">
                        <a14:shadowObscured xmlns:a14="http://schemas.microsoft.com/office/drawing/2010/main"/>
                      </a:ext>
                    </a:extLst>
                  </pic:spPr>
                </pic:pic>
              </a:graphicData>
            </a:graphic>
          </wp:inline>
        </w:drawing>
      </w:r>
    </w:p>
    <w:p w14:paraId="1056C920" w14:textId="632BBABA" w:rsidR="00D65E4B" w:rsidRPr="00D369AA" w:rsidRDefault="00D65E4B" w:rsidP="0002495C">
      <w:pPr>
        <w:pStyle w:val="Citadestacada"/>
        <w:rPr>
          <w:lang w:val="es-CO"/>
        </w:rPr>
      </w:pPr>
      <w:r w:rsidRPr="00D369AA">
        <w:rPr>
          <w:lang w:val="es-CO"/>
        </w:rPr>
        <w:t>Fuente:</w:t>
      </w:r>
      <w:r w:rsidR="0002495C" w:rsidRPr="00D369AA">
        <w:rPr>
          <w:lang w:val="es-CO"/>
        </w:rPr>
        <w:t xml:space="preserve"> </w:t>
      </w:r>
      <w:r w:rsidR="00CF6675">
        <w:t xml:space="preserve">Estudios Técnicos Proyecto de Acuerdo 472 de 2016. 18 de Octubre de 2016. Página 135.  </w:t>
      </w:r>
    </w:p>
    <w:p w14:paraId="65561C0F" w14:textId="22FFC364" w:rsidR="00D65E4B" w:rsidRPr="005F2502" w:rsidRDefault="005F2502" w:rsidP="005F2502">
      <w:pPr>
        <w:widowControl w:val="0"/>
        <w:spacing w:before="120"/>
        <w:rPr>
          <w:rFonts w:cs="Arial"/>
          <w:szCs w:val="24"/>
          <w:lang w:val="es-CO" w:eastAsia="es-CO"/>
        </w:rPr>
      </w:pPr>
      <w:r w:rsidRPr="005F2502">
        <w:rPr>
          <w:rFonts w:cs="Arial"/>
          <w:szCs w:val="24"/>
          <w:lang w:val="es-CO" w:eastAsia="es-CO"/>
        </w:rPr>
        <w:t>Su i</w:t>
      </w:r>
      <w:r w:rsidR="00D65E4B" w:rsidRPr="005F2502">
        <w:rPr>
          <w:rFonts w:cs="Arial"/>
          <w:szCs w:val="24"/>
          <w:lang w:val="es-CO" w:eastAsia="es-CO"/>
        </w:rPr>
        <w:t xml:space="preserve">nversionista principal es Grupo Aval S.A., </w:t>
      </w:r>
      <w:r>
        <w:rPr>
          <w:rFonts w:cs="Arial"/>
          <w:szCs w:val="24"/>
          <w:lang w:val="es-CO" w:eastAsia="es-CO"/>
        </w:rPr>
        <w:t xml:space="preserve">que es uno de los </w:t>
      </w:r>
      <w:r w:rsidR="00D65E4B" w:rsidRPr="005F2502">
        <w:rPr>
          <w:rFonts w:cs="Arial"/>
          <w:szCs w:val="24"/>
          <w:lang w:val="es-CO" w:eastAsia="es-CO"/>
        </w:rPr>
        <w:t>grupo</w:t>
      </w:r>
      <w:r>
        <w:rPr>
          <w:rFonts w:cs="Arial"/>
          <w:szCs w:val="24"/>
          <w:lang w:val="es-CO" w:eastAsia="es-CO"/>
        </w:rPr>
        <w:t>s</w:t>
      </w:r>
      <w:r w:rsidR="00D65E4B" w:rsidRPr="005F2502">
        <w:rPr>
          <w:rFonts w:cs="Arial"/>
          <w:szCs w:val="24"/>
          <w:lang w:val="es-CO" w:eastAsia="es-CO"/>
        </w:rPr>
        <w:t xml:space="preserve"> financiero</w:t>
      </w:r>
      <w:r>
        <w:rPr>
          <w:rFonts w:cs="Arial"/>
          <w:szCs w:val="24"/>
          <w:lang w:val="es-CO" w:eastAsia="es-CO"/>
        </w:rPr>
        <w:t>s</w:t>
      </w:r>
      <w:r w:rsidR="00D65E4B" w:rsidRPr="005F2502">
        <w:rPr>
          <w:rFonts w:cs="Arial"/>
          <w:szCs w:val="24"/>
          <w:lang w:val="es-CO" w:eastAsia="es-CO"/>
        </w:rPr>
        <w:t xml:space="preserve"> más grande</w:t>
      </w:r>
      <w:r>
        <w:rPr>
          <w:rFonts w:cs="Arial"/>
          <w:szCs w:val="24"/>
          <w:lang w:val="es-CO" w:eastAsia="es-CO"/>
        </w:rPr>
        <w:t>s</w:t>
      </w:r>
      <w:r w:rsidR="00D65E4B" w:rsidRPr="005F2502">
        <w:rPr>
          <w:rFonts w:cs="Arial"/>
          <w:szCs w:val="24"/>
          <w:lang w:val="es-CO" w:eastAsia="es-CO"/>
        </w:rPr>
        <w:t xml:space="preserve"> de</w:t>
      </w:r>
      <w:r>
        <w:rPr>
          <w:rFonts w:cs="Arial"/>
          <w:szCs w:val="24"/>
          <w:lang w:val="es-CO" w:eastAsia="es-CO"/>
        </w:rPr>
        <w:t>l país y</w:t>
      </w:r>
      <w:r w:rsidR="00D65E4B" w:rsidRPr="005F2502">
        <w:rPr>
          <w:rFonts w:cs="Arial"/>
          <w:szCs w:val="24"/>
          <w:lang w:val="es-CO" w:eastAsia="es-CO"/>
        </w:rPr>
        <w:t xml:space="preserve"> Centroamérica, </w:t>
      </w:r>
      <w:r>
        <w:rPr>
          <w:rFonts w:cs="Arial"/>
          <w:szCs w:val="24"/>
          <w:lang w:val="es-CO" w:eastAsia="es-CO"/>
        </w:rPr>
        <w:t xml:space="preserve">que posee </w:t>
      </w:r>
      <w:r w:rsidR="00D65E4B" w:rsidRPr="005F2502">
        <w:rPr>
          <w:rFonts w:cs="Arial"/>
          <w:szCs w:val="24"/>
          <w:lang w:val="es-CO" w:eastAsia="es-CO"/>
        </w:rPr>
        <w:t xml:space="preserve">siete marcas distintivas en Colombia y Centroamérica: Banco de Bogotá, Banco de Occidente, Banco Popular, Banco </w:t>
      </w:r>
      <w:proofErr w:type="spellStart"/>
      <w:r w:rsidR="00D65E4B" w:rsidRPr="005F2502">
        <w:rPr>
          <w:rFonts w:cs="Arial"/>
          <w:szCs w:val="24"/>
          <w:lang w:val="es-CO" w:eastAsia="es-CO"/>
        </w:rPr>
        <w:t>AvVillas</w:t>
      </w:r>
      <w:proofErr w:type="spellEnd"/>
      <w:r w:rsidR="00D65E4B" w:rsidRPr="005F2502">
        <w:rPr>
          <w:rFonts w:cs="Arial"/>
          <w:szCs w:val="24"/>
          <w:lang w:val="es-CO" w:eastAsia="es-CO"/>
        </w:rPr>
        <w:t xml:space="preserve">, Fondo de Pensiones y Cesantías Porvenir, BAC </w:t>
      </w:r>
      <w:proofErr w:type="spellStart"/>
      <w:r w:rsidR="00D65E4B" w:rsidRPr="005F2502">
        <w:rPr>
          <w:rFonts w:cs="Arial"/>
          <w:szCs w:val="24"/>
          <w:lang w:val="es-CO" w:eastAsia="es-CO"/>
        </w:rPr>
        <w:t>Credomatic</w:t>
      </w:r>
      <w:proofErr w:type="spellEnd"/>
      <w:r w:rsidR="00D65E4B" w:rsidRPr="005F2502">
        <w:rPr>
          <w:rFonts w:cs="Arial"/>
          <w:szCs w:val="24"/>
          <w:lang w:val="es-CO" w:eastAsia="es-CO"/>
        </w:rPr>
        <w:t xml:space="preserve"> y </w:t>
      </w:r>
      <w:proofErr w:type="spellStart"/>
      <w:r w:rsidR="00D65E4B" w:rsidRPr="005F2502">
        <w:rPr>
          <w:rFonts w:cs="Arial"/>
          <w:szCs w:val="24"/>
          <w:lang w:val="es-CO" w:eastAsia="es-CO"/>
        </w:rPr>
        <w:t>Corficolombiana</w:t>
      </w:r>
      <w:proofErr w:type="spellEnd"/>
      <w:r w:rsidR="00D65E4B" w:rsidRPr="005F2502">
        <w:rPr>
          <w:rFonts w:cs="Arial"/>
          <w:szCs w:val="24"/>
          <w:lang w:val="es-CO" w:eastAsia="es-CO"/>
        </w:rPr>
        <w:t>.</w:t>
      </w:r>
    </w:p>
    <w:p w14:paraId="337F47B0" w14:textId="77777777" w:rsidR="007D3DC7" w:rsidRPr="00D369AA" w:rsidRDefault="007D3DC7" w:rsidP="008D31A1">
      <w:pPr>
        <w:ind w:right="51"/>
        <w:rPr>
          <w:bCs/>
          <w:szCs w:val="24"/>
          <w:lang w:val="es-CO"/>
        </w:rPr>
      </w:pPr>
    </w:p>
    <w:p w14:paraId="34EDF56B" w14:textId="79354CD5" w:rsidR="007D3DC7" w:rsidRPr="00D369AA" w:rsidRDefault="007D3DC7" w:rsidP="008D31A1">
      <w:pPr>
        <w:pStyle w:val="Ttulo3"/>
        <w:rPr>
          <w:lang w:val="es-CO"/>
        </w:rPr>
      </w:pPr>
      <w:r w:rsidRPr="00D369AA">
        <w:rPr>
          <w:lang w:val="es-CO"/>
        </w:rPr>
        <w:t>Mercado Público de Valores</w:t>
      </w:r>
    </w:p>
    <w:p w14:paraId="27ECD27A" w14:textId="01A1B59B" w:rsidR="007D3DC7" w:rsidRPr="00CF6675" w:rsidRDefault="007D3DC7" w:rsidP="008D31A1">
      <w:pPr>
        <w:rPr>
          <w:rFonts w:cs="Arial"/>
          <w:i/>
          <w:szCs w:val="24"/>
          <w:lang w:val="es-CO"/>
        </w:rPr>
      </w:pPr>
      <w:r w:rsidRPr="00CF6675">
        <w:rPr>
          <w:rFonts w:cs="Arial"/>
          <w:i/>
          <w:szCs w:val="24"/>
          <w:lang w:val="es-CO"/>
        </w:rPr>
        <w:t xml:space="preserve">Banco Popular </w:t>
      </w:r>
      <w:r w:rsidR="00CF6675" w:rsidRPr="00CF6675">
        <w:rPr>
          <w:rFonts w:cs="Arial"/>
          <w:i/>
          <w:szCs w:val="24"/>
          <w:lang w:val="es-CO"/>
        </w:rPr>
        <w:t>es</w:t>
      </w:r>
      <w:r w:rsidRPr="00CF6675">
        <w:rPr>
          <w:rFonts w:cs="Arial"/>
          <w:i/>
          <w:szCs w:val="24"/>
          <w:lang w:val="es-CO"/>
        </w:rPr>
        <w:t xml:space="preserve"> un emisor frecuente en el mercado público de valores a través de títulos de renta fija; a pesar de que la acción se encuentra inscrita en la Bolsa de valores de Colombia dicha acción tiene una baja o nula </w:t>
      </w:r>
      <w:proofErr w:type="spellStart"/>
      <w:r w:rsidRPr="00CF6675">
        <w:rPr>
          <w:rFonts w:cs="Arial"/>
          <w:i/>
          <w:szCs w:val="24"/>
          <w:lang w:val="es-CO"/>
        </w:rPr>
        <w:t>bursatilidad</w:t>
      </w:r>
      <w:proofErr w:type="spellEnd"/>
      <w:r w:rsidRPr="00CF6675">
        <w:rPr>
          <w:rFonts w:cs="Arial"/>
          <w:i/>
          <w:szCs w:val="24"/>
          <w:lang w:val="es-CO"/>
        </w:rPr>
        <w:t xml:space="preserve"> dada la alta concentración accionaria en manos del Grupo Aval.</w:t>
      </w:r>
    </w:p>
    <w:p w14:paraId="727791EB" w14:textId="7A88EA09" w:rsidR="000F4D4E" w:rsidRPr="00D369AA" w:rsidRDefault="000F4D4E" w:rsidP="008D31A1">
      <w:pPr>
        <w:rPr>
          <w:rFonts w:cs="Arial"/>
          <w:szCs w:val="24"/>
          <w:lang w:val="es-CO" w:eastAsia="es-CO"/>
        </w:rPr>
      </w:pPr>
      <w:r w:rsidRPr="00D369AA">
        <w:rPr>
          <w:rFonts w:cs="Arial"/>
          <w:szCs w:val="24"/>
          <w:lang w:val="es-CO" w:eastAsia="es-CO"/>
        </w:rPr>
        <w:t xml:space="preserve">Al 22 de septiembre de este año, el precio de la acción fue de COP 489, para el periodo Mayo a agosto del 2016 este título no presentó movimiento alguno en el mercado accionario, con un precio histórico anual que osciló entre </w:t>
      </w:r>
      <w:r w:rsidR="00DE0F59" w:rsidRPr="00D369AA">
        <w:rPr>
          <w:rFonts w:cs="Arial"/>
          <w:szCs w:val="24"/>
          <w:lang w:val="es-CO" w:eastAsia="es-CO"/>
        </w:rPr>
        <w:t>COP</w:t>
      </w:r>
      <w:r w:rsidRPr="00D369AA">
        <w:rPr>
          <w:rFonts w:cs="Arial"/>
          <w:szCs w:val="24"/>
          <w:lang w:val="es-CO" w:eastAsia="es-CO"/>
        </w:rPr>
        <w:t xml:space="preserve">479 y </w:t>
      </w:r>
      <w:r w:rsidR="00DE0F59" w:rsidRPr="00D369AA">
        <w:rPr>
          <w:rFonts w:cs="Arial"/>
          <w:szCs w:val="24"/>
          <w:lang w:val="es-CO" w:eastAsia="es-CO"/>
        </w:rPr>
        <w:lastRenderedPageBreak/>
        <w:t>COP</w:t>
      </w:r>
      <w:r w:rsidRPr="00D369AA">
        <w:rPr>
          <w:rFonts w:cs="Arial"/>
          <w:szCs w:val="24"/>
          <w:lang w:val="es-CO" w:eastAsia="es-CO"/>
        </w:rPr>
        <w:t>500. A esta fecha, el Banco tiene una capitalización bursátil de COP 3.777.685 millones.</w:t>
      </w:r>
    </w:p>
    <w:p w14:paraId="7025CF84" w14:textId="77777777" w:rsidR="000F4D4E" w:rsidRPr="00D369AA" w:rsidRDefault="000F4D4E" w:rsidP="008D31A1">
      <w:pPr>
        <w:rPr>
          <w:rFonts w:cs="Arial"/>
          <w:szCs w:val="24"/>
          <w:lang w:val="es-CO" w:eastAsia="es-CO"/>
        </w:rPr>
      </w:pPr>
    </w:p>
    <w:p w14:paraId="7596F190" w14:textId="7979B203" w:rsidR="000F4D4E" w:rsidRPr="00D369AA" w:rsidRDefault="000F4D4E" w:rsidP="001C4279">
      <w:pPr>
        <w:pStyle w:val="Epgrafe"/>
        <w:rPr>
          <w:rFonts w:cs="Arial"/>
          <w:szCs w:val="24"/>
          <w:lang w:val="es-CO"/>
        </w:rPr>
      </w:pPr>
      <w:bookmarkStart w:id="6" w:name="_Toc464211533"/>
      <w:r w:rsidRPr="00D369AA">
        <w:rPr>
          <w:rFonts w:cs="Arial"/>
          <w:szCs w:val="24"/>
          <w:lang w:val="es-CO"/>
        </w:rPr>
        <w:t>Banco Popular S.A. - Capitalización bursátil</w:t>
      </w:r>
      <w:bookmarkEnd w:id="6"/>
    </w:p>
    <w:p w14:paraId="3ABE0FD5" w14:textId="77777777" w:rsidR="000F4D4E" w:rsidRPr="00D369AA" w:rsidRDefault="00C02A42" w:rsidP="008D31A1">
      <w:pPr>
        <w:jc w:val="center"/>
        <w:rPr>
          <w:rFonts w:cs="Arial"/>
          <w:szCs w:val="24"/>
          <w:lang w:val="es-CO" w:eastAsia="es-CO"/>
        </w:rPr>
      </w:pPr>
      <w:r w:rsidRPr="00D369AA">
        <w:rPr>
          <w:noProof/>
          <w:lang w:val="es-CO" w:eastAsia="es-CO"/>
        </w:rPr>
        <w:drawing>
          <wp:inline distT="0" distB="0" distL="0" distR="0" wp14:anchorId="3F4BED32" wp14:editId="7240DDA2">
            <wp:extent cx="3567600" cy="162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7600" cy="1620000"/>
                    </a:xfrm>
                    <a:prstGeom prst="rect">
                      <a:avLst/>
                    </a:prstGeom>
                    <a:noFill/>
                    <a:ln>
                      <a:noFill/>
                    </a:ln>
                  </pic:spPr>
                </pic:pic>
              </a:graphicData>
            </a:graphic>
          </wp:inline>
        </w:drawing>
      </w:r>
    </w:p>
    <w:p w14:paraId="28723539" w14:textId="77777777" w:rsidR="000F4D4E" w:rsidRPr="00D369AA" w:rsidRDefault="004E6616" w:rsidP="008552D2">
      <w:pPr>
        <w:pStyle w:val="Citadestacada"/>
        <w:rPr>
          <w:lang w:val="es-CO"/>
        </w:rPr>
      </w:pPr>
      <w:r w:rsidRPr="00D369AA">
        <w:rPr>
          <w:rStyle w:val="Textoennegrita"/>
          <w:b w:val="0"/>
          <w:bCs/>
          <w:lang w:val="es-CO"/>
        </w:rPr>
        <w:t>Fuente: Exposición de motivos PA - 472. Pg. 29.</w:t>
      </w:r>
    </w:p>
    <w:p w14:paraId="39CB7D37" w14:textId="77777777" w:rsidR="00E51D07" w:rsidRPr="00D369AA" w:rsidRDefault="004E4ADF" w:rsidP="008D31A1">
      <w:pPr>
        <w:ind w:right="51"/>
        <w:rPr>
          <w:bCs/>
          <w:szCs w:val="24"/>
          <w:lang w:val="es-CO"/>
        </w:rPr>
      </w:pPr>
      <w:r w:rsidRPr="00D369AA">
        <w:rPr>
          <w:bCs/>
          <w:szCs w:val="24"/>
          <w:lang w:val="es-CO"/>
        </w:rPr>
        <w:t xml:space="preserve">A continuación se presenta el comportamiento del precio histórico de la acción del Banco Popular de conformidad con información publicada por la bolsa de valores </w:t>
      </w:r>
      <w:r w:rsidR="00F443DC" w:rsidRPr="00D369AA">
        <w:rPr>
          <w:bCs/>
          <w:szCs w:val="24"/>
          <w:lang w:val="es-CO"/>
        </w:rPr>
        <w:t>entre los meses de enero de 2015 y 2016</w:t>
      </w:r>
      <w:r w:rsidRPr="00D369AA">
        <w:rPr>
          <w:bCs/>
          <w:szCs w:val="24"/>
          <w:lang w:val="es-CO"/>
        </w:rPr>
        <w:t>.</w:t>
      </w:r>
    </w:p>
    <w:p w14:paraId="741115A7" w14:textId="7B9C6484" w:rsidR="002F4D54" w:rsidRPr="00D369AA" w:rsidRDefault="001C4279" w:rsidP="008D31A1">
      <w:pPr>
        <w:pStyle w:val="Epgrafe"/>
        <w:rPr>
          <w:b w:val="0"/>
          <w:bCs w:val="0"/>
          <w:szCs w:val="24"/>
          <w:lang w:val="es-CO"/>
        </w:rPr>
      </w:pPr>
      <w:r w:rsidRPr="00D369AA">
        <w:rPr>
          <w:lang w:val="es-CO"/>
        </w:rPr>
        <w:t xml:space="preserve"> </w:t>
      </w:r>
      <w:r w:rsidR="002F4D54" w:rsidRPr="00D369AA">
        <w:rPr>
          <w:lang w:val="es-CO"/>
        </w:rPr>
        <w:t>Precio histórico de la acción Banco Popular S.A.</w:t>
      </w:r>
    </w:p>
    <w:p w14:paraId="4E78AC97" w14:textId="77777777" w:rsidR="00915972" w:rsidRPr="00D369AA" w:rsidRDefault="00A84B81" w:rsidP="008D31A1">
      <w:pPr>
        <w:pStyle w:val="Prrafodelista"/>
        <w:ind w:left="1440" w:right="51"/>
        <w:jc w:val="center"/>
        <w:rPr>
          <w:b/>
          <w:bCs/>
          <w:szCs w:val="24"/>
          <w:lang w:val="es-CO"/>
        </w:rPr>
      </w:pPr>
      <w:r w:rsidRPr="00D369AA">
        <w:rPr>
          <w:b/>
          <w:bCs/>
          <w:noProof/>
          <w:szCs w:val="24"/>
          <w:lang w:val="es-CO" w:eastAsia="es-CO"/>
        </w:rPr>
        <w:drawing>
          <wp:inline distT="0" distB="0" distL="0" distR="0" wp14:anchorId="0DE3F9F0" wp14:editId="0D4D1493">
            <wp:extent cx="4410075" cy="29527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noFill/>
                    <a:ln w="19050">
                      <a:solidFill>
                        <a:schemeClr val="tx1"/>
                      </a:solidFill>
                    </a:ln>
                  </pic:spPr>
                </pic:pic>
              </a:graphicData>
            </a:graphic>
          </wp:inline>
        </w:drawing>
      </w:r>
    </w:p>
    <w:p w14:paraId="0681FFB1" w14:textId="28E5E324" w:rsidR="005E73F1" w:rsidRPr="00D369AA" w:rsidRDefault="004420E9" w:rsidP="0002495C">
      <w:pPr>
        <w:pStyle w:val="Citadestacada"/>
        <w:rPr>
          <w:b/>
          <w:szCs w:val="24"/>
          <w:lang w:val="es-CO"/>
        </w:rPr>
      </w:pPr>
      <w:r>
        <w:rPr>
          <w:lang w:val="es-CO"/>
        </w:rPr>
        <w:t xml:space="preserve">                </w:t>
      </w:r>
      <w:r w:rsidR="00A9516E" w:rsidRPr="00D369AA">
        <w:rPr>
          <w:lang w:val="es-CO"/>
        </w:rPr>
        <w:t>Fuente</w:t>
      </w:r>
      <w:r w:rsidR="004F53A2" w:rsidRPr="00D369AA">
        <w:rPr>
          <w:lang w:val="es-CO"/>
        </w:rPr>
        <w:t xml:space="preserve"> https://www.bvc.com.co/pps/tibco/portalbvc/Home/</w:t>
      </w:r>
      <w:r>
        <w:rPr>
          <w:lang w:val="es-CO"/>
        </w:rPr>
        <w:t xml:space="preserve"> </w:t>
      </w:r>
      <w:r w:rsidR="004F53A2" w:rsidRPr="00D369AA">
        <w:rPr>
          <w:lang w:val="es-CO"/>
        </w:rPr>
        <w:t>Mercados/</w:t>
      </w:r>
      <w:proofErr w:type="spellStart"/>
      <w:r w:rsidR="004F53A2" w:rsidRPr="00D369AA">
        <w:rPr>
          <w:lang w:val="es-CO"/>
        </w:rPr>
        <w:t>enlinea</w:t>
      </w:r>
      <w:proofErr w:type="spellEnd"/>
      <w:r w:rsidR="004F53A2" w:rsidRPr="00D369AA">
        <w:rPr>
          <w:lang w:val="es-CO"/>
        </w:rPr>
        <w:t>/acciones#</w:t>
      </w:r>
    </w:p>
    <w:p w14:paraId="1ED04B83" w14:textId="77777777" w:rsidR="005E73F1" w:rsidRPr="00D369AA" w:rsidRDefault="005E73F1" w:rsidP="008D31A1">
      <w:pPr>
        <w:pStyle w:val="Ttulo2"/>
        <w:rPr>
          <w:lang w:val="es-CO"/>
        </w:rPr>
      </w:pPr>
      <w:r w:rsidRPr="00D369AA">
        <w:rPr>
          <w:lang w:val="es-CO"/>
        </w:rPr>
        <w:lastRenderedPageBreak/>
        <w:t>PROMIGAS S.A. E.S.P.</w:t>
      </w:r>
    </w:p>
    <w:p w14:paraId="37EDB569" w14:textId="0343F274" w:rsidR="000F4D4E" w:rsidRPr="00D369AA" w:rsidRDefault="000F4D4E" w:rsidP="008D31A1">
      <w:pPr>
        <w:pStyle w:val="Ttulo3"/>
        <w:rPr>
          <w:lang w:val="es-CO"/>
        </w:rPr>
      </w:pPr>
      <w:r w:rsidRPr="00D369AA">
        <w:rPr>
          <w:lang w:val="es-CO"/>
        </w:rPr>
        <w:t>Descripción de la empresa</w:t>
      </w:r>
    </w:p>
    <w:p w14:paraId="23C36C92" w14:textId="77777777" w:rsidR="00ED2285" w:rsidRPr="00D369AA" w:rsidRDefault="00E36B24" w:rsidP="008D31A1">
      <w:pPr>
        <w:shd w:val="clear" w:color="auto" w:fill="FFFFFF"/>
        <w:spacing w:before="100" w:beforeAutospacing="1" w:after="100" w:afterAutospacing="1"/>
        <w:rPr>
          <w:bCs/>
          <w:szCs w:val="24"/>
          <w:lang w:val="es-CO"/>
        </w:rPr>
      </w:pPr>
      <w:proofErr w:type="spellStart"/>
      <w:r w:rsidRPr="00D369AA">
        <w:rPr>
          <w:bCs/>
          <w:szCs w:val="24"/>
          <w:lang w:val="es-CO"/>
        </w:rPr>
        <w:t>Promigas</w:t>
      </w:r>
      <w:proofErr w:type="spellEnd"/>
      <w:r w:rsidR="00CE4634" w:rsidRPr="00D369AA">
        <w:rPr>
          <w:bCs/>
          <w:szCs w:val="24"/>
          <w:lang w:val="es-CO"/>
        </w:rPr>
        <w:t xml:space="preserve"> S.A. E.S.P. es</w:t>
      </w:r>
      <w:r w:rsidRPr="00D369AA">
        <w:rPr>
          <w:bCs/>
          <w:szCs w:val="24"/>
          <w:lang w:val="es-CO"/>
        </w:rPr>
        <w:t xml:space="preserve"> una empresa dedicada principalmente al transporte y distribución de gas natural, distribución y comercialización de energía eléctrica, soluciones integradas para la industria y generación de energía. </w:t>
      </w:r>
    </w:p>
    <w:p w14:paraId="0E3FDBE5" w14:textId="77777777" w:rsidR="00B24490" w:rsidRPr="00564C1C" w:rsidRDefault="00B24490" w:rsidP="00B24490">
      <w:pPr>
        <w:shd w:val="clear" w:color="auto" w:fill="FFFFFF"/>
        <w:spacing w:before="100" w:beforeAutospacing="1" w:after="100" w:afterAutospacing="1"/>
        <w:rPr>
          <w:rFonts w:cs="Arial"/>
          <w:b/>
          <w:i/>
          <w:color w:val="000000" w:themeColor="text1"/>
          <w:szCs w:val="24"/>
          <w:lang w:val="es-CO" w:eastAsia="es-CO"/>
        </w:rPr>
      </w:pPr>
      <w:r w:rsidRPr="00564C1C">
        <w:rPr>
          <w:rFonts w:cs="Arial"/>
          <w:b/>
          <w:i/>
          <w:color w:val="000000" w:themeColor="text1"/>
          <w:szCs w:val="24"/>
          <w:lang w:val="es-CO" w:eastAsia="es-CO"/>
        </w:rPr>
        <w:t>Negocios de transporte</w:t>
      </w:r>
    </w:p>
    <w:p w14:paraId="42E39B9C" w14:textId="77777777" w:rsidR="00B24490" w:rsidRPr="00564C1C" w:rsidRDefault="00B24490" w:rsidP="00B24490">
      <w:pPr>
        <w:pStyle w:val="Prrafodelista"/>
        <w:numPr>
          <w:ilvl w:val="0"/>
          <w:numId w:val="9"/>
        </w:numPr>
        <w:shd w:val="clear" w:color="auto" w:fill="FFFFFF"/>
        <w:suppressAutoHyphens w:val="0"/>
        <w:spacing w:before="100" w:beforeAutospacing="1" w:after="100" w:afterAutospacing="1"/>
        <w:rPr>
          <w:rFonts w:cs="Arial"/>
          <w:i/>
          <w:color w:val="000000" w:themeColor="text1"/>
          <w:szCs w:val="24"/>
          <w:lang w:val="es-CO" w:eastAsia="es-CO"/>
        </w:rPr>
      </w:pPr>
      <w:r w:rsidRPr="00564C1C">
        <w:rPr>
          <w:rFonts w:cs="Arial"/>
          <w:i/>
          <w:color w:val="000000" w:themeColor="text1"/>
          <w:szCs w:val="24"/>
          <w:lang w:val="es-CO" w:eastAsia="es-CO"/>
        </w:rPr>
        <w:t>Transporte de Gas Natural</w:t>
      </w:r>
    </w:p>
    <w:p w14:paraId="30D58B16" w14:textId="77777777" w:rsidR="00B24490" w:rsidRPr="00564C1C" w:rsidRDefault="00B24490" w:rsidP="00B24490">
      <w:pPr>
        <w:shd w:val="clear" w:color="auto" w:fill="FFFFFF"/>
        <w:spacing w:before="100" w:beforeAutospacing="1" w:after="100" w:afterAutospacing="1"/>
        <w:rPr>
          <w:rFonts w:cs="Arial"/>
          <w:color w:val="000000" w:themeColor="text1"/>
          <w:szCs w:val="24"/>
          <w:lang w:val="es-CO" w:eastAsia="es-CO"/>
        </w:rPr>
      </w:pPr>
      <w:r w:rsidRPr="00564C1C">
        <w:rPr>
          <w:rFonts w:cs="Arial"/>
          <w:color w:val="000000" w:themeColor="text1"/>
          <w:szCs w:val="24"/>
          <w:lang w:val="es-CO" w:eastAsia="es-CO"/>
        </w:rPr>
        <w:t>Esta empresa, tr</w:t>
      </w:r>
      <w:r w:rsidRPr="00564C1C">
        <w:rPr>
          <w:rFonts w:cs="Arial"/>
          <w:i/>
          <w:color w:val="000000" w:themeColor="text1"/>
          <w:szCs w:val="24"/>
          <w:lang w:val="es-CO" w:eastAsia="es-CO"/>
        </w:rPr>
        <w:t xml:space="preserve">ansporta el 50 % del gas natural de Colombia por medio de 2900 km de redes de gasoductos y proveen servicios para los productores de </w:t>
      </w:r>
      <w:proofErr w:type="spellStart"/>
      <w:r w:rsidRPr="00564C1C">
        <w:rPr>
          <w:rFonts w:cs="Arial"/>
          <w:i/>
          <w:color w:val="000000" w:themeColor="text1"/>
          <w:szCs w:val="24"/>
          <w:lang w:val="es-CO" w:eastAsia="es-CO"/>
        </w:rPr>
        <w:t>hidrocaburos</w:t>
      </w:r>
      <w:proofErr w:type="spellEnd"/>
      <w:r w:rsidRPr="00564C1C">
        <w:rPr>
          <w:rFonts w:cs="Arial"/>
          <w:i/>
          <w:color w:val="000000" w:themeColor="text1"/>
          <w:szCs w:val="24"/>
          <w:lang w:val="es-CO" w:eastAsia="es-CO"/>
        </w:rPr>
        <w:t xml:space="preserve"> y grandes industrias, que incluyen compresión y deshidratación de gas natural; construcción de gasoductos y líneas de interconexión; y soluciones energéticas como generación, cogeneración y autogeneración</w:t>
      </w:r>
      <w:r w:rsidRPr="00564C1C">
        <w:rPr>
          <w:rFonts w:cs="Arial"/>
          <w:color w:val="000000" w:themeColor="text1"/>
          <w:szCs w:val="24"/>
          <w:lang w:val="es-CO" w:eastAsia="es-CO"/>
        </w:rPr>
        <w:t>.</w:t>
      </w:r>
      <w:r w:rsidRPr="00564C1C">
        <w:rPr>
          <w:rStyle w:val="Refdenotaalpie"/>
          <w:rFonts w:cs="Arial"/>
          <w:i/>
          <w:color w:val="000000" w:themeColor="text1"/>
          <w:szCs w:val="24"/>
          <w:lang w:val="es-CO" w:eastAsia="es-CO"/>
        </w:rPr>
        <w:footnoteReference w:id="42"/>
      </w:r>
      <w:r w:rsidRPr="00564C1C">
        <w:rPr>
          <w:rFonts w:cs="Arial"/>
          <w:i/>
          <w:color w:val="000000" w:themeColor="text1"/>
          <w:szCs w:val="24"/>
          <w:lang w:val="es-CO" w:eastAsia="es-CO"/>
        </w:rPr>
        <w:t>.</w:t>
      </w:r>
    </w:p>
    <w:p w14:paraId="0B45958D" w14:textId="77777777" w:rsidR="00B24490" w:rsidRPr="00564C1C" w:rsidRDefault="00B24490" w:rsidP="00B24490">
      <w:pPr>
        <w:pStyle w:val="Prrafodelista"/>
        <w:numPr>
          <w:ilvl w:val="0"/>
          <w:numId w:val="9"/>
        </w:numPr>
        <w:shd w:val="clear" w:color="auto" w:fill="FFFFFF"/>
        <w:suppressAutoHyphens w:val="0"/>
        <w:spacing w:before="100" w:beforeAutospacing="1" w:after="100" w:afterAutospacing="1"/>
        <w:rPr>
          <w:rFonts w:cs="Arial"/>
          <w:i/>
          <w:color w:val="000000" w:themeColor="text1"/>
          <w:szCs w:val="24"/>
          <w:lang w:val="es-CO" w:eastAsia="es-CO"/>
        </w:rPr>
      </w:pPr>
      <w:r w:rsidRPr="00564C1C">
        <w:rPr>
          <w:rFonts w:cs="Arial"/>
          <w:i/>
          <w:color w:val="000000" w:themeColor="text1"/>
          <w:szCs w:val="24"/>
          <w:lang w:val="es-CO" w:eastAsia="es-CO"/>
        </w:rPr>
        <w:t>Soluciones Integradas para la Industria y generación de energía</w:t>
      </w:r>
    </w:p>
    <w:p w14:paraId="0786EB70" w14:textId="77777777" w:rsidR="00B24490" w:rsidRPr="00564C1C" w:rsidRDefault="00B24490" w:rsidP="00B24490">
      <w:pPr>
        <w:shd w:val="clear" w:color="auto" w:fill="FFFFFF"/>
        <w:spacing w:before="100" w:beforeAutospacing="1" w:after="100" w:afterAutospacing="1"/>
        <w:ind w:left="709"/>
        <w:rPr>
          <w:rFonts w:cs="Arial"/>
          <w:color w:val="000000" w:themeColor="text1"/>
          <w:szCs w:val="24"/>
          <w:lang w:val="es-CO" w:eastAsia="es-CO"/>
        </w:rPr>
      </w:pPr>
      <w:r w:rsidRPr="00564C1C">
        <w:rPr>
          <w:rFonts w:cs="Arial"/>
          <w:color w:val="000000" w:themeColor="text1"/>
          <w:szCs w:val="24"/>
          <w:lang w:val="es-CO" w:eastAsia="es-CO"/>
        </w:rPr>
        <w:t xml:space="preserve">Por intermedio de </w:t>
      </w:r>
      <w:proofErr w:type="spellStart"/>
      <w:r w:rsidRPr="00564C1C">
        <w:rPr>
          <w:rFonts w:cs="Arial"/>
          <w:color w:val="000000" w:themeColor="text1"/>
          <w:szCs w:val="24"/>
          <w:lang w:val="es-CO" w:eastAsia="es-CO"/>
        </w:rPr>
        <w:t>Promisol</w:t>
      </w:r>
      <w:proofErr w:type="spellEnd"/>
      <w:r w:rsidRPr="00564C1C">
        <w:rPr>
          <w:rFonts w:cs="Arial"/>
          <w:color w:val="000000" w:themeColor="text1"/>
          <w:szCs w:val="24"/>
          <w:lang w:val="es-CO" w:eastAsia="es-CO"/>
        </w:rPr>
        <w:t xml:space="preserve"> ofrecen servicios para productores de hidrocarburos.</w:t>
      </w:r>
    </w:p>
    <w:p w14:paraId="5E02D76A" w14:textId="77777777" w:rsidR="00B24490" w:rsidRPr="00564C1C" w:rsidRDefault="00B24490" w:rsidP="00B24490">
      <w:pPr>
        <w:pStyle w:val="Prrafodelista"/>
        <w:numPr>
          <w:ilvl w:val="1"/>
          <w:numId w:val="9"/>
        </w:numPr>
        <w:shd w:val="clear" w:color="auto" w:fill="FFFFFF"/>
        <w:suppressAutoHyphens w:val="0"/>
        <w:spacing w:before="100" w:beforeAutospacing="1" w:after="100" w:afterAutospacing="1"/>
        <w:jc w:val="left"/>
        <w:rPr>
          <w:rFonts w:cs="Arial"/>
          <w:i/>
          <w:color w:val="000000" w:themeColor="text1"/>
          <w:szCs w:val="24"/>
          <w:lang w:val="es-CO" w:eastAsia="es-CO"/>
        </w:rPr>
      </w:pPr>
      <w:r w:rsidRPr="00564C1C">
        <w:rPr>
          <w:rFonts w:cs="Arial"/>
          <w:i/>
          <w:color w:val="000000" w:themeColor="text1"/>
          <w:szCs w:val="24"/>
          <w:lang w:val="es-CO" w:eastAsia="es-CO"/>
        </w:rPr>
        <w:t>Servicios de tratamiento del gas natural y compresión para la indu</w:t>
      </w:r>
      <w:r w:rsidRPr="00564C1C">
        <w:rPr>
          <w:rFonts w:cs="Arial"/>
          <w:i/>
          <w:color w:val="000000" w:themeColor="text1"/>
          <w:szCs w:val="24"/>
          <w:lang w:val="es-CO" w:eastAsia="es-CO"/>
        </w:rPr>
        <w:t>s</w:t>
      </w:r>
      <w:r w:rsidRPr="00564C1C">
        <w:rPr>
          <w:rFonts w:cs="Arial"/>
          <w:i/>
          <w:color w:val="000000" w:themeColor="text1"/>
          <w:szCs w:val="24"/>
          <w:lang w:val="es-CO" w:eastAsia="es-CO"/>
        </w:rPr>
        <w:t>tria de hidrocarburos.</w:t>
      </w:r>
    </w:p>
    <w:p w14:paraId="2E0EF266" w14:textId="77777777" w:rsidR="00B24490" w:rsidRPr="00564C1C" w:rsidRDefault="00B24490" w:rsidP="00B24490">
      <w:pPr>
        <w:pStyle w:val="Prrafodelista"/>
        <w:numPr>
          <w:ilvl w:val="1"/>
          <w:numId w:val="9"/>
        </w:numPr>
        <w:shd w:val="clear" w:color="auto" w:fill="FFFFFF"/>
        <w:suppressAutoHyphens w:val="0"/>
        <w:spacing w:before="100" w:beforeAutospacing="1" w:after="100" w:afterAutospacing="1"/>
        <w:jc w:val="left"/>
        <w:rPr>
          <w:rFonts w:cs="Arial"/>
          <w:i/>
          <w:color w:val="000000" w:themeColor="text1"/>
          <w:szCs w:val="24"/>
          <w:lang w:val="es-CO" w:eastAsia="es-CO"/>
        </w:rPr>
      </w:pPr>
      <w:r w:rsidRPr="00564C1C">
        <w:rPr>
          <w:rFonts w:cs="Arial"/>
          <w:i/>
          <w:color w:val="000000" w:themeColor="text1"/>
          <w:szCs w:val="24"/>
          <w:lang w:val="es-CO" w:eastAsia="es-CO"/>
        </w:rPr>
        <w:t xml:space="preserve">Soluciones </w:t>
      </w:r>
      <w:proofErr w:type="spellStart"/>
      <w:r w:rsidRPr="00564C1C">
        <w:rPr>
          <w:rFonts w:cs="Arial"/>
          <w:i/>
          <w:color w:val="000000" w:themeColor="text1"/>
          <w:szCs w:val="24"/>
          <w:lang w:val="es-CO" w:eastAsia="es-CO"/>
        </w:rPr>
        <w:t>energéticas.Instalan</w:t>
      </w:r>
      <w:proofErr w:type="spellEnd"/>
      <w:r w:rsidRPr="00564C1C">
        <w:rPr>
          <w:rFonts w:cs="Arial"/>
          <w:i/>
          <w:color w:val="000000" w:themeColor="text1"/>
          <w:szCs w:val="24"/>
          <w:lang w:val="es-CO" w:eastAsia="es-CO"/>
        </w:rPr>
        <w:t>, operan y mantienen plantas de c</w:t>
      </w:r>
      <w:r w:rsidRPr="00564C1C">
        <w:rPr>
          <w:rFonts w:cs="Arial"/>
          <w:i/>
          <w:color w:val="000000" w:themeColor="text1"/>
          <w:szCs w:val="24"/>
          <w:lang w:val="es-CO" w:eastAsia="es-CO"/>
        </w:rPr>
        <w:t>o</w:t>
      </w:r>
      <w:r w:rsidRPr="00564C1C">
        <w:rPr>
          <w:rFonts w:cs="Arial"/>
          <w:i/>
          <w:color w:val="000000" w:themeColor="text1"/>
          <w:szCs w:val="24"/>
          <w:lang w:val="es-CO" w:eastAsia="es-CO"/>
        </w:rPr>
        <w:t>generación con una capacidad superior a 60 MW</w:t>
      </w:r>
    </w:p>
    <w:p w14:paraId="0E75F452" w14:textId="77777777" w:rsidR="00B24490" w:rsidRPr="00564C1C" w:rsidRDefault="00B24490" w:rsidP="00B24490">
      <w:pPr>
        <w:shd w:val="clear" w:color="auto" w:fill="FFFFFF"/>
        <w:spacing w:before="100" w:beforeAutospacing="1" w:after="100" w:afterAutospacing="1"/>
        <w:rPr>
          <w:rFonts w:cs="Arial"/>
          <w:b/>
          <w:i/>
          <w:color w:val="000000" w:themeColor="text1"/>
          <w:szCs w:val="24"/>
          <w:lang w:val="es-CO" w:eastAsia="es-CO"/>
        </w:rPr>
      </w:pPr>
      <w:r w:rsidRPr="00564C1C">
        <w:rPr>
          <w:rFonts w:cs="Arial"/>
          <w:b/>
          <w:i/>
          <w:color w:val="000000" w:themeColor="text1"/>
          <w:szCs w:val="24"/>
          <w:lang w:val="es-CO" w:eastAsia="es-CO"/>
        </w:rPr>
        <w:t>Negocios de distribución</w:t>
      </w:r>
    </w:p>
    <w:p w14:paraId="5E2AA948" w14:textId="77777777" w:rsidR="00B24490" w:rsidRPr="00564C1C" w:rsidRDefault="00B24490" w:rsidP="00B24490">
      <w:pPr>
        <w:pStyle w:val="Prrafodelista"/>
        <w:numPr>
          <w:ilvl w:val="0"/>
          <w:numId w:val="9"/>
        </w:numPr>
        <w:shd w:val="clear" w:color="auto" w:fill="FFFFFF"/>
        <w:suppressAutoHyphens w:val="0"/>
        <w:spacing w:before="100" w:beforeAutospacing="1" w:after="100" w:afterAutospacing="1"/>
        <w:rPr>
          <w:rFonts w:cs="Arial"/>
          <w:b/>
          <w:i/>
          <w:color w:val="000000" w:themeColor="text1"/>
          <w:szCs w:val="24"/>
          <w:lang w:val="es-CO" w:eastAsia="es-CO"/>
        </w:rPr>
      </w:pPr>
      <w:r w:rsidRPr="00564C1C">
        <w:rPr>
          <w:rFonts w:cs="Arial"/>
          <w:i/>
          <w:color w:val="000000" w:themeColor="text1"/>
          <w:szCs w:val="24"/>
          <w:lang w:val="es-CO" w:eastAsia="es-CO"/>
        </w:rPr>
        <w:t>Distribución de Gas Natural</w:t>
      </w:r>
    </w:p>
    <w:p w14:paraId="25AD118A" w14:textId="77777777" w:rsidR="00B24490" w:rsidRPr="00564C1C" w:rsidRDefault="00B24490" w:rsidP="00B24490">
      <w:pPr>
        <w:shd w:val="clear" w:color="auto" w:fill="FFFFFF"/>
        <w:spacing w:before="100" w:beforeAutospacing="1" w:after="100" w:afterAutospacing="1"/>
        <w:rPr>
          <w:rFonts w:cs="Arial"/>
          <w:color w:val="000000" w:themeColor="text1"/>
          <w:shd w:val="clear" w:color="auto" w:fill="FFFFFF"/>
        </w:rPr>
      </w:pPr>
      <w:r w:rsidRPr="00564C1C">
        <w:rPr>
          <w:rFonts w:cs="Arial"/>
          <w:i/>
          <w:color w:val="000000" w:themeColor="text1"/>
          <w:shd w:val="clear" w:color="auto" w:fill="FFFFFF"/>
        </w:rPr>
        <w:t xml:space="preserve">Llevan gas natural a más de 2 962 000 usuarios en Colombia, lo que representa 40 % del mercado nacional al atender a más de 11,5 millones de personas. En </w:t>
      </w:r>
      <w:r w:rsidRPr="00564C1C">
        <w:rPr>
          <w:rFonts w:cs="Arial"/>
          <w:i/>
          <w:color w:val="000000" w:themeColor="text1"/>
          <w:shd w:val="clear" w:color="auto" w:fill="FFFFFF"/>
        </w:rPr>
        <w:lastRenderedPageBreak/>
        <w:t xml:space="preserve">Perú, se conectaron 91 188 nuevos usuarios durante el año, acumulando 255 000 en dicho país, a través de su participación en </w:t>
      </w:r>
      <w:proofErr w:type="spellStart"/>
      <w:r w:rsidRPr="00564C1C">
        <w:rPr>
          <w:rFonts w:cs="Arial"/>
          <w:i/>
          <w:color w:val="000000" w:themeColor="text1"/>
          <w:shd w:val="clear" w:color="auto" w:fill="FFFFFF"/>
        </w:rPr>
        <w:t>Cálidda</w:t>
      </w:r>
      <w:proofErr w:type="spellEnd"/>
      <w:r w:rsidRPr="00564C1C">
        <w:rPr>
          <w:rStyle w:val="Refdenotaalpie"/>
          <w:rFonts w:cs="Arial"/>
          <w:i/>
          <w:color w:val="000000" w:themeColor="text1"/>
          <w:shd w:val="clear" w:color="auto" w:fill="FFFFFF"/>
        </w:rPr>
        <w:footnoteReference w:id="43"/>
      </w:r>
      <w:r w:rsidRPr="00564C1C">
        <w:rPr>
          <w:rFonts w:cs="Arial"/>
          <w:color w:val="000000" w:themeColor="text1"/>
          <w:shd w:val="clear" w:color="auto" w:fill="FFFFFF"/>
        </w:rPr>
        <w:t>.</w:t>
      </w:r>
    </w:p>
    <w:p w14:paraId="7B86A190" w14:textId="77777777" w:rsidR="00B24490" w:rsidRPr="00564C1C" w:rsidRDefault="00B24490" w:rsidP="00B24490">
      <w:pPr>
        <w:pStyle w:val="Prrafodelista"/>
        <w:numPr>
          <w:ilvl w:val="0"/>
          <w:numId w:val="9"/>
        </w:numPr>
        <w:shd w:val="clear" w:color="auto" w:fill="FFFFFF"/>
        <w:suppressAutoHyphens w:val="0"/>
        <w:spacing w:after="0"/>
        <w:ind w:left="714" w:hanging="357"/>
        <w:rPr>
          <w:rFonts w:cs="Arial"/>
          <w:b/>
          <w:i/>
          <w:color w:val="000000" w:themeColor="text1"/>
          <w:szCs w:val="24"/>
          <w:lang w:val="es-CO" w:eastAsia="es-CO"/>
        </w:rPr>
      </w:pPr>
      <w:r w:rsidRPr="00564C1C">
        <w:rPr>
          <w:rFonts w:cs="Arial"/>
          <w:i/>
          <w:color w:val="000000" w:themeColor="text1"/>
          <w:szCs w:val="24"/>
          <w:lang w:val="es-CO" w:eastAsia="es-CO"/>
        </w:rPr>
        <w:t>Financiación no bancaria</w:t>
      </w:r>
    </w:p>
    <w:p w14:paraId="698B7290" w14:textId="77777777" w:rsidR="00B24490" w:rsidRDefault="00B24490" w:rsidP="00B24490">
      <w:pPr>
        <w:pStyle w:val="Prrafodelista"/>
        <w:ind w:left="720"/>
        <w:rPr>
          <w:rFonts w:cs="Arial"/>
          <w:i/>
          <w:lang w:val="es-CO"/>
        </w:rPr>
      </w:pPr>
    </w:p>
    <w:p w14:paraId="56AC4C5E" w14:textId="77777777" w:rsidR="00B24490" w:rsidRPr="00B24490" w:rsidRDefault="00B24490" w:rsidP="00B24490">
      <w:pPr>
        <w:pStyle w:val="Prrafodelista"/>
        <w:ind w:left="720"/>
        <w:rPr>
          <w:rFonts w:cs="Arial"/>
          <w:i/>
          <w:lang w:val="es-CO"/>
        </w:rPr>
      </w:pPr>
      <w:r w:rsidRPr="00B24490">
        <w:rPr>
          <w:rFonts w:cs="Arial"/>
          <w:i/>
          <w:lang w:val="es-CO"/>
        </w:rPr>
        <w:t xml:space="preserve">Brilla es un Programa de Financiación no Bancaria, creado en 2007 por la compañía </w:t>
      </w:r>
      <w:proofErr w:type="spellStart"/>
      <w:r w:rsidRPr="00B24490">
        <w:rPr>
          <w:rFonts w:cs="Arial"/>
          <w:i/>
          <w:lang w:val="es-CO"/>
        </w:rPr>
        <w:t>Promigas</w:t>
      </w:r>
      <w:proofErr w:type="spellEnd"/>
      <w:r w:rsidRPr="00B24490">
        <w:rPr>
          <w:rFonts w:cs="Arial"/>
          <w:i/>
          <w:lang w:val="es-CO"/>
        </w:rPr>
        <w:t xml:space="preserve"> y las Distribuidoras de gas natural de su portafolio, con el fin de beneficiar a los usuarios del servicio a través de un modelo de negocio inclusivo.</w:t>
      </w:r>
    </w:p>
    <w:p w14:paraId="1142D24A" w14:textId="2AFA90A2" w:rsidR="00B24490" w:rsidRPr="00BD5181" w:rsidRDefault="00B24490" w:rsidP="00B24490">
      <w:pPr>
        <w:pStyle w:val="Prrafodelista"/>
        <w:shd w:val="clear" w:color="auto" w:fill="FFFFFF"/>
        <w:ind w:left="714"/>
        <w:rPr>
          <w:rFonts w:cs="Arial"/>
          <w:b/>
          <w:i/>
          <w:color w:val="000000" w:themeColor="text1"/>
          <w:szCs w:val="24"/>
          <w:lang w:val="es-CO" w:eastAsia="es-CO"/>
        </w:rPr>
      </w:pPr>
      <w:r w:rsidRPr="00B24490">
        <w:rPr>
          <w:rFonts w:cs="Arial"/>
          <w:i/>
          <w:lang w:val="es-CO"/>
        </w:rPr>
        <w:t xml:space="preserve">Las empresas identificaron que muchos de sus clientes potenciales carecían de empleos formales y que el costo de la conexión al servicio, aproximadamente USD600 dólares, que representaba tres veces los ingresos mensuales de las familias, era una barrera de penetración a este mercado. Por esto decidieron ofrecerles a sus usuarios una alternativa de financiación y cuando estos fueron terminando de pagar la conexión, las empresas visualizaron la oportunidad de ofrecerles un cupo de crédito por igual monto al otorgado inicialmente, asociando su utilización a la adquisición de productos que mejoraran su calidad de vida. Aproximadamente el 88% de </w:t>
      </w:r>
      <w:r w:rsidRPr="00BD5181">
        <w:rPr>
          <w:rFonts w:cs="Arial"/>
          <w:i/>
          <w:color w:val="000000" w:themeColor="text1"/>
          <w:lang w:val="es-CO"/>
        </w:rPr>
        <w:t xml:space="preserve">los usuarios residenciales de gas natural de </w:t>
      </w:r>
      <w:proofErr w:type="spellStart"/>
      <w:r w:rsidRPr="00BD5181">
        <w:rPr>
          <w:rFonts w:cs="Arial"/>
          <w:i/>
          <w:color w:val="000000" w:themeColor="text1"/>
          <w:lang w:val="es-CO"/>
        </w:rPr>
        <w:t>Promigas</w:t>
      </w:r>
      <w:proofErr w:type="spellEnd"/>
      <w:r w:rsidRPr="00BD5181">
        <w:rPr>
          <w:rFonts w:cs="Arial"/>
          <w:i/>
          <w:color w:val="000000" w:themeColor="text1"/>
          <w:lang w:val="es-CO"/>
        </w:rPr>
        <w:t xml:space="preserve"> pertenecen a los estratos socioeconómicos más bajos del país</w:t>
      </w:r>
    </w:p>
    <w:p w14:paraId="7C3A07E4" w14:textId="5117F15F" w:rsidR="00B24490" w:rsidRPr="00E613DA" w:rsidRDefault="00B24490" w:rsidP="00E613DA">
      <w:pPr>
        <w:pStyle w:val="Prrafodelista"/>
        <w:numPr>
          <w:ilvl w:val="0"/>
          <w:numId w:val="9"/>
        </w:numPr>
        <w:shd w:val="clear" w:color="auto" w:fill="FFFFFF"/>
        <w:suppressAutoHyphens w:val="0"/>
        <w:spacing w:after="0"/>
        <w:ind w:left="714" w:hanging="357"/>
        <w:rPr>
          <w:rFonts w:cs="Arial"/>
          <w:b/>
          <w:i/>
          <w:color w:val="000000" w:themeColor="text1"/>
          <w:szCs w:val="24"/>
          <w:lang w:val="es-CO" w:eastAsia="es-CO"/>
        </w:rPr>
      </w:pPr>
      <w:r w:rsidRPr="00BD5181">
        <w:rPr>
          <w:rFonts w:cs="Arial"/>
          <w:i/>
          <w:color w:val="000000" w:themeColor="text1"/>
          <w:szCs w:val="24"/>
          <w:lang w:val="es-CO" w:eastAsia="es-CO"/>
        </w:rPr>
        <w:t>Distribución y comercialización de energía</w:t>
      </w:r>
    </w:p>
    <w:p w14:paraId="1E93AFCB" w14:textId="77777777" w:rsidR="00E613DA" w:rsidRPr="00E613DA" w:rsidRDefault="00E613DA" w:rsidP="00E613DA">
      <w:pPr>
        <w:pStyle w:val="Prrafodelista"/>
        <w:shd w:val="clear" w:color="auto" w:fill="FFFFFF"/>
        <w:suppressAutoHyphens w:val="0"/>
        <w:spacing w:after="0"/>
        <w:ind w:left="714"/>
        <w:rPr>
          <w:rFonts w:cs="Arial"/>
          <w:b/>
          <w:i/>
          <w:color w:val="000000" w:themeColor="text1"/>
          <w:szCs w:val="24"/>
          <w:lang w:val="es-CO" w:eastAsia="es-CO"/>
        </w:rPr>
      </w:pPr>
    </w:p>
    <w:p w14:paraId="594DA22C" w14:textId="77777777" w:rsidR="00B24490" w:rsidRPr="00BD5181" w:rsidRDefault="00B24490" w:rsidP="00B24490">
      <w:pPr>
        <w:pStyle w:val="Prrafodelista"/>
        <w:numPr>
          <w:ilvl w:val="0"/>
          <w:numId w:val="9"/>
        </w:numPr>
        <w:shd w:val="clear" w:color="auto" w:fill="FFFFFF"/>
        <w:suppressAutoHyphens w:val="0"/>
        <w:spacing w:after="0"/>
        <w:ind w:left="714" w:hanging="357"/>
        <w:rPr>
          <w:rFonts w:cs="Arial"/>
          <w:b/>
          <w:i/>
          <w:color w:val="000000" w:themeColor="text1"/>
          <w:szCs w:val="24"/>
          <w:lang w:val="es-CO" w:eastAsia="es-CO"/>
        </w:rPr>
      </w:pPr>
      <w:r w:rsidRPr="00BD5181">
        <w:rPr>
          <w:rFonts w:cs="Arial"/>
          <w:i/>
          <w:color w:val="000000" w:themeColor="text1"/>
          <w:shd w:val="clear" w:color="auto" w:fill="FFFFFF"/>
        </w:rPr>
        <w:t xml:space="preserve">Operan y </w:t>
      </w:r>
      <w:proofErr w:type="spellStart"/>
      <w:r w:rsidRPr="00BD5181">
        <w:rPr>
          <w:rFonts w:cs="Arial"/>
          <w:i/>
          <w:color w:val="000000" w:themeColor="text1"/>
          <w:shd w:val="clear" w:color="auto" w:fill="FFFFFF"/>
        </w:rPr>
        <w:t>mantien</w:t>
      </w:r>
      <w:proofErr w:type="spellEnd"/>
      <w:r w:rsidRPr="00BD5181">
        <w:rPr>
          <w:rFonts w:cs="Arial"/>
          <w:i/>
          <w:color w:val="000000" w:themeColor="text1"/>
          <w:shd w:val="clear" w:color="auto" w:fill="FFFFFF"/>
        </w:rPr>
        <w:t xml:space="preserve"> alrededor de 24 000 km de redes de distribución de energía eléctrica, llevando este servicio a más de 321 000 usuarios en 38 poblaciones del departamento del Cauca en el sur del país</w:t>
      </w:r>
      <w:r w:rsidRPr="00BD5181">
        <w:rPr>
          <w:rStyle w:val="Refdenotaalpie"/>
          <w:rFonts w:cs="Arial"/>
          <w:i/>
          <w:color w:val="000000" w:themeColor="text1"/>
          <w:shd w:val="clear" w:color="auto" w:fill="FFFFFF"/>
        </w:rPr>
        <w:footnoteReference w:id="44"/>
      </w:r>
      <w:r w:rsidRPr="00BD5181">
        <w:rPr>
          <w:rFonts w:cs="Arial"/>
          <w:i/>
          <w:color w:val="000000" w:themeColor="text1"/>
          <w:shd w:val="clear" w:color="auto" w:fill="FFFFFF"/>
        </w:rPr>
        <w:t>.</w:t>
      </w:r>
    </w:p>
    <w:p w14:paraId="12536501" w14:textId="77777777" w:rsidR="00B24490" w:rsidRPr="00D9045A" w:rsidRDefault="00B24490" w:rsidP="00B24490">
      <w:pPr>
        <w:ind w:right="51"/>
        <w:rPr>
          <w:b/>
          <w:bCs/>
          <w:i/>
          <w:szCs w:val="24"/>
        </w:rPr>
      </w:pPr>
    </w:p>
    <w:p w14:paraId="7B27EA62" w14:textId="77777777" w:rsidR="00E613DA" w:rsidRDefault="00B24490" w:rsidP="00E613DA">
      <w:pPr>
        <w:ind w:right="51"/>
        <w:rPr>
          <w:bCs/>
          <w:szCs w:val="24"/>
        </w:rPr>
      </w:pPr>
      <w:r w:rsidRPr="0063135C">
        <w:rPr>
          <w:bCs/>
          <w:szCs w:val="24"/>
        </w:rPr>
        <w:t>El total de activos</w:t>
      </w:r>
      <w:r>
        <w:rPr>
          <w:bCs/>
          <w:szCs w:val="24"/>
        </w:rPr>
        <w:t xml:space="preserve"> de </w:t>
      </w:r>
      <w:proofErr w:type="spellStart"/>
      <w:r>
        <w:rPr>
          <w:bCs/>
          <w:szCs w:val="24"/>
        </w:rPr>
        <w:t>Promigas</w:t>
      </w:r>
      <w:proofErr w:type="spellEnd"/>
      <w:r>
        <w:rPr>
          <w:bCs/>
          <w:szCs w:val="24"/>
        </w:rPr>
        <w:t xml:space="preserve"> </w:t>
      </w:r>
      <w:r w:rsidRPr="0063135C">
        <w:rPr>
          <w:bCs/>
          <w:szCs w:val="24"/>
        </w:rPr>
        <w:t xml:space="preserve">creció </w:t>
      </w:r>
      <w:r>
        <w:rPr>
          <w:bCs/>
          <w:szCs w:val="24"/>
        </w:rPr>
        <w:t>11</w:t>
      </w:r>
      <w:r w:rsidRPr="0063135C">
        <w:rPr>
          <w:bCs/>
          <w:szCs w:val="24"/>
        </w:rPr>
        <w:t>,</w:t>
      </w:r>
      <w:r>
        <w:rPr>
          <w:bCs/>
          <w:szCs w:val="24"/>
        </w:rPr>
        <w:t>3</w:t>
      </w:r>
      <w:r w:rsidRPr="0063135C">
        <w:rPr>
          <w:bCs/>
          <w:szCs w:val="24"/>
        </w:rPr>
        <w:t xml:space="preserve"> %</w:t>
      </w:r>
      <w:r>
        <w:rPr>
          <w:bCs/>
          <w:szCs w:val="24"/>
        </w:rPr>
        <w:t xml:space="preserve"> en el año 2015 respecto del año 2014 alcanzando los $7.1 billones como resultado de la ejecución de inversiones en proyectos tales como el Gasoducto del Sur, así como otras adecuaciones realizadas en sus estaciones y sistemas. De igual forma, para el año 2015 </w:t>
      </w:r>
      <w:proofErr w:type="spellStart"/>
      <w:r>
        <w:rPr>
          <w:bCs/>
          <w:szCs w:val="24"/>
        </w:rPr>
        <w:t>Promigas</w:t>
      </w:r>
      <w:proofErr w:type="spellEnd"/>
      <w:r>
        <w:rPr>
          <w:bCs/>
          <w:szCs w:val="24"/>
        </w:rPr>
        <w:t xml:space="preserve"> registro ingresos operacionales del orden de los $2.6 billones de pesos y una utilidad operacional del orden de los $869.000 millones.  </w:t>
      </w:r>
    </w:p>
    <w:p w14:paraId="7C1CD2D9" w14:textId="4557BE04" w:rsidR="00B24490" w:rsidRPr="00E613DA" w:rsidRDefault="00B24490" w:rsidP="00E613DA">
      <w:pPr>
        <w:ind w:right="51"/>
        <w:rPr>
          <w:bCs/>
          <w:szCs w:val="24"/>
        </w:rPr>
      </w:pPr>
      <w:proofErr w:type="spellStart"/>
      <w:r w:rsidRPr="00B24490">
        <w:rPr>
          <w:bCs/>
          <w:i/>
          <w:szCs w:val="24"/>
        </w:rPr>
        <w:lastRenderedPageBreak/>
        <w:t>Promigas</w:t>
      </w:r>
      <w:proofErr w:type="spellEnd"/>
      <w:r w:rsidRPr="00B24490">
        <w:rPr>
          <w:bCs/>
          <w:i/>
          <w:szCs w:val="24"/>
        </w:rPr>
        <w:t xml:space="preserve"> se encuentra desarrollando nuevos negocios entre los cuales se encuentra: 1. Construcción y desarrollo del proyecto Sociedad Portuaria El </w:t>
      </w:r>
      <w:proofErr w:type="spellStart"/>
      <w:r w:rsidRPr="00B24490">
        <w:rPr>
          <w:bCs/>
          <w:i/>
          <w:szCs w:val="24"/>
        </w:rPr>
        <w:t>Cayao</w:t>
      </w:r>
      <w:proofErr w:type="spellEnd"/>
      <w:r w:rsidRPr="00B24490">
        <w:rPr>
          <w:bCs/>
          <w:i/>
          <w:szCs w:val="24"/>
        </w:rPr>
        <w:t xml:space="preserve">  - SPEC Gases, con el cual se espera implementar la primera planta de importación y regasificación de gas natural en Colombia, 2. Proyecto Gases del Pacífico (Perú) con </w:t>
      </w:r>
      <w:proofErr w:type="spellStart"/>
      <w:r w:rsidRPr="00B24490">
        <w:rPr>
          <w:bCs/>
          <w:i/>
          <w:szCs w:val="24"/>
        </w:rPr>
        <w:t>el</w:t>
      </w:r>
      <w:proofErr w:type="spellEnd"/>
      <w:r w:rsidRPr="00B24490">
        <w:rPr>
          <w:bCs/>
          <w:i/>
          <w:szCs w:val="24"/>
        </w:rPr>
        <w:t xml:space="preserve"> se espera atender a usuarios de las localidades de Trujillo, Pacasmayo, Chimbote, Huaraz, Chiclayo, Lambayeque y Cajamarca, esperando conectar más de 150 000 usuarios los primeros 5 años</w:t>
      </w:r>
      <w:r w:rsidRPr="00B24490">
        <w:rPr>
          <w:rStyle w:val="Refdenotaalpie"/>
          <w:bCs/>
          <w:i/>
          <w:szCs w:val="24"/>
        </w:rPr>
        <w:footnoteReference w:id="45"/>
      </w:r>
      <w:r w:rsidRPr="00B24490">
        <w:rPr>
          <w:bCs/>
          <w:i/>
          <w:szCs w:val="24"/>
        </w:rPr>
        <w:t>.</w:t>
      </w:r>
    </w:p>
    <w:p w14:paraId="4DD22064" w14:textId="4DDC1F86" w:rsidR="00546DF6" w:rsidRPr="00D369AA" w:rsidRDefault="004420E9" w:rsidP="008D31A1">
      <w:pPr>
        <w:pStyle w:val="Ttulo3"/>
        <w:rPr>
          <w:lang w:val="es-CO"/>
        </w:rPr>
      </w:pPr>
      <w:r>
        <w:rPr>
          <w:lang w:val="es-CO"/>
        </w:rPr>
        <w:t>I</w:t>
      </w:r>
      <w:r w:rsidR="00546DF6" w:rsidRPr="00D369AA">
        <w:rPr>
          <w:lang w:val="es-CO"/>
        </w:rPr>
        <w:t xml:space="preserve">nversión de EEB en </w:t>
      </w:r>
      <w:proofErr w:type="spellStart"/>
      <w:r w:rsidR="00546DF6" w:rsidRPr="00D369AA">
        <w:rPr>
          <w:lang w:val="es-CO"/>
        </w:rPr>
        <w:t>Promigas</w:t>
      </w:r>
      <w:proofErr w:type="spellEnd"/>
      <w:r w:rsidR="00546DF6" w:rsidRPr="00D369AA">
        <w:rPr>
          <w:lang w:val="es-CO"/>
        </w:rPr>
        <w:t xml:space="preserve"> S.A. E.S.P.</w:t>
      </w:r>
    </w:p>
    <w:p w14:paraId="31BD1F3A" w14:textId="4F5703F1" w:rsidR="004863AF" w:rsidRPr="00D369AA" w:rsidRDefault="004863AF" w:rsidP="004863AF">
      <w:pPr>
        <w:rPr>
          <w:lang w:val="es-CO" w:eastAsia="es-CO"/>
        </w:rPr>
      </w:pPr>
      <w:r w:rsidRPr="00D369AA">
        <w:rPr>
          <w:lang w:val="es-CO" w:eastAsia="es-CO"/>
        </w:rPr>
        <w:t xml:space="preserve">Como antecedentes de la adquisición </w:t>
      </w:r>
      <w:r w:rsidR="001B5474" w:rsidRPr="00D369AA">
        <w:rPr>
          <w:lang w:val="es-CO" w:eastAsia="es-CO"/>
        </w:rPr>
        <w:t xml:space="preserve">de </w:t>
      </w:r>
      <w:proofErr w:type="spellStart"/>
      <w:r w:rsidR="001B5474" w:rsidRPr="00D369AA">
        <w:rPr>
          <w:lang w:val="es-CO" w:eastAsia="es-CO"/>
        </w:rPr>
        <w:t>Promigas</w:t>
      </w:r>
      <w:proofErr w:type="spellEnd"/>
      <w:r w:rsidR="001B5474" w:rsidRPr="00D369AA">
        <w:rPr>
          <w:lang w:val="es-CO" w:eastAsia="es-CO"/>
        </w:rPr>
        <w:t xml:space="preserve"> por parte de EEB,</w:t>
      </w:r>
      <w:r w:rsidR="003E7D32" w:rsidRPr="00D369AA">
        <w:rPr>
          <w:lang w:val="es-CO" w:eastAsia="es-CO"/>
        </w:rPr>
        <w:t xml:space="preserve"> </w:t>
      </w:r>
      <w:r w:rsidRPr="00D369AA">
        <w:rPr>
          <w:lang w:val="es-CO" w:eastAsia="es-CO"/>
        </w:rPr>
        <w:t>el 19 de enero de 2011, la EEB suscribió un acuerdo para la compra del 30%</w:t>
      </w:r>
      <w:r w:rsidRPr="00D369AA">
        <w:rPr>
          <w:rStyle w:val="Refdenotaalpie"/>
          <w:rFonts w:eastAsiaTheme="majorEastAsia"/>
          <w:lang w:val="es-CO" w:eastAsia="es-CO"/>
        </w:rPr>
        <w:footnoteReference w:id="46"/>
      </w:r>
      <w:r w:rsidRPr="00D369AA">
        <w:rPr>
          <w:lang w:val="es-CO" w:eastAsia="es-CO"/>
        </w:rPr>
        <w:t xml:space="preserve"> de las inversiones que el Fondo </w:t>
      </w:r>
      <w:proofErr w:type="spellStart"/>
      <w:r w:rsidRPr="00D369AA">
        <w:rPr>
          <w:lang w:val="es-CO" w:eastAsia="es-CO"/>
        </w:rPr>
        <w:t>Ashmore</w:t>
      </w:r>
      <w:proofErr w:type="spellEnd"/>
      <w:r w:rsidRPr="00D369AA">
        <w:rPr>
          <w:lang w:val="es-CO" w:eastAsia="es-CO"/>
        </w:rPr>
        <w:t xml:space="preserve"> poseía en </w:t>
      </w:r>
      <w:proofErr w:type="spellStart"/>
      <w:r w:rsidRPr="00D369AA">
        <w:rPr>
          <w:lang w:val="es-CO" w:eastAsia="es-CO"/>
        </w:rPr>
        <w:t>Promigas</w:t>
      </w:r>
      <w:proofErr w:type="spellEnd"/>
      <w:r w:rsidRPr="00D369AA">
        <w:rPr>
          <w:lang w:val="es-CO" w:eastAsia="es-CO"/>
        </w:rPr>
        <w:t xml:space="preserve"> S.A. E.S.P., la cual ascendía al 52,13%. La inversión estaba distribuida en tres vehículos: AEI </w:t>
      </w:r>
      <w:proofErr w:type="spellStart"/>
      <w:r w:rsidRPr="00D369AA">
        <w:rPr>
          <w:lang w:val="es-CO" w:eastAsia="es-CO"/>
        </w:rPr>
        <w:t>Promigas</w:t>
      </w:r>
      <w:proofErr w:type="spellEnd"/>
      <w:r w:rsidRPr="00D369AA">
        <w:rPr>
          <w:lang w:val="es-CO" w:eastAsia="es-CO"/>
        </w:rPr>
        <w:t xml:space="preserve"> Ltd. (18.73%), AEI </w:t>
      </w:r>
      <w:proofErr w:type="spellStart"/>
      <w:r w:rsidRPr="00D369AA">
        <w:rPr>
          <w:lang w:val="es-CO" w:eastAsia="es-CO"/>
        </w:rPr>
        <w:t>Promigas</w:t>
      </w:r>
      <w:proofErr w:type="spellEnd"/>
      <w:r w:rsidRPr="00D369AA">
        <w:rPr>
          <w:lang w:val="es-CO" w:eastAsia="es-CO"/>
        </w:rPr>
        <w:t xml:space="preserve"> Holdings Ltd. (16.70%) y AEI </w:t>
      </w:r>
      <w:proofErr w:type="spellStart"/>
      <w:r w:rsidRPr="00D369AA">
        <w:rPr>
          <w:lang w:val="es-CO" w:eastAsia="es-CO"/>
        </w:rPr>
        <w:t>Promigas</w:t>
      </w:r>
      <w:proofErr w:type="spellEnd"/>
      <w:r w:rsidRPr="00D369AA">
        <w:rPr>
          <w:lang w:val="es-CO" w:eastAsia="es-CO"/>
        </w:rPr>
        <w:t xml:space="preserve"> </w:t>
      </w:r>
      <w:proofErr w:type="spellStart"/>
      <w:r w:rsidRPr="00D369AA">
        <w:rPr>
          <w:lang w:val="es-CO" w:eastAsia="es-CO"/>
        </w:rPr>
        <w:t>Investments</w:t>
      </w:r>
      <w:proofErr w:type="spellEnd"/>
      <w:r w:rsidRPr="00D369AA">
        <w:rPr>
          <w:lang w:val="es-CO" w:eastAsia="es-CO"/>
        </w:rPr>
        <w:t xml:space="preserve"> Ltd. (16.70%).</w:t>
      </w:r>
    </w:p>
    <w:p w14:paraId="6EAC25AF" w14:textId="77777777" w:rsidR="004863AF" w:rsidRPr="00D369AA" w:rsidRDefault="004863AF" w:rsidP="004863AF">
      <w:pPr>
        <w:ind w:right="51"/>
        <w:rPr>
          <w:lang w:val="es-CO"/>
        </w:rPr>
      </w:pPr>
      <w:r w:rsidRPr="00D369AA">
        <w:rPr>
          <w:lang w:val="es-CO" w:eastAsia="es-CO"/>
        </w:rPr>
        <w:t xml:space="preserve">Este hecho le representó a EEB la adquisición de forma indirecta del 15.64% de dicha compañía. Para formalizar la operación, EEB constituyó </w:t>
      </w:r>
      <w:r w:rsidRPr="00D369AA">
        <w:rPr>
          <w:lang w:val="es-CO"/>
        </w:rPr>
        <w:t>EEB GAS S.A.S.</w:t>
      </w:r>
    </w:p>
    <w:p w14:paraId="5D2E8AB5" w14:textId="77B1DC3F" w:rsidR="004863AF" w:rsidRPr="00D369AA" w:rsidRDefault="001B5474" w:rsidP="001F6790">
      <w:pPr>
        <w:pStyle w:val="Epgrafe"/>
        <w:rPr>
          <w:lang w:val="es-CO"/>
        </w:rPr>
      </w:pPr>
      <w:r w:rsidRPr="00D369AA">
        <w:rPr>
          <w:rFonts w:eastAsia="Calibri"/>
          <w:i w:val="0"/>
          <w:lang w:val="es-CO"/>
        </w:rPr>
        <w:t xml:space="preserve"> Diagrama y tabla estructura propiedad del vendedor de </w:t>
      </w:r>
      <w:proofErr w:type="spellStart"/>
      <w:r w:rsidRPr="00D369AA">
        <w:rPr>
          <w:rFonts w:eastAsia="Calibri"/>
          <w:i w:val="0"/>
          <w:lang w:val="es-CO"/>
        </w:rPr>
        <w:t>Promigas</w:t>
      </w:r>
      <w:proofErr w:type="spellEnd"/>
      <w:r w:rsidRPr="00D369AA">
        <w:rPr>
          <w:rFonts w:eastAsia="Calibri"/>
          <w:i w:val="0"/>
          <w:lang w:val="es-CO"/>
        </w:rPr>
        <w:t xml:space="preserve"> previo a la adquisición</w:t>
      </w:r>
    </w:p>
    <w:p w14:paraId="5D8C1D64" w14:textId="77777777" w:rsidR="004863AF" w:rsidRPr="00D369AA" w:rsidRDefault="004863AF" w:rsidP="00E613DA">
      <w:pPr>
        <w:rPr>
          <w:lang w:val="es-CO"/>
        </w:rPr>
      </w:pPr>
      <w:r w:rsidRPr="00D369AA">
        <w:rPr>
          <w:noProof/>
          <w:lang w:val="es-CO" w:eastAsia="es-CO"/>
        </w:rPr>
        <w:drawing>
          <wp:inline distT="0" distB="0" distL="0" distR="0" wp14:anchorId="44026AAF" wp14:editId="2BC39E7B">
            <wp:extent cx="5612130" cy="997672"/>
            <wp:effectExtent l="0" t="0" r="762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997672"/>
                    </a:xfrm>
                    <a:prstGeom prst="rect">
                      <a:avLst/>
                    </a:prstGeom>
                    <a:noFill/>
                    <a:ln>
                      <a:noFill/>
                    </a:ln>
                  </pic:spPr>
                </pic:pic>
              </a:graphicData>
            </a:graphic>
          </wp:inline>
        </w:drawing>
      </w:r>
    </w:p>
    <w:p w14:paraId="635064C9" w14:textId="0AD457C3" w:rsidR="004863AF" w:rsidRPr="00D369AA" w:rsidRDefault="000815D5" w:rsidP="004863AF">
      <w:pPr>
        <w:jc w:val="center"/>
        <w:rPr>
          <w:lang w:val="es-CO"/>
        </w:rPr>
      </w:pPr>
      <w:r>
        <w:rPr>
          <w:lang w:val="es-CO"/>
        </w:rPr>
        <w:lastRenderedPageBreak/>
        <w:t xml:space="preserve"> </w:t>
      </w:r>
      <w:r w:rsidR="004863AF" w:rsidRPr="00D369AA">
        <w:rPr>
          <w:noProof/>
          <w:lang w:val="es-CO" w:eastAsia="es-CO"/>
        </w:rPr>
        <w:drawing>
          <wp:inline distT="0" distB="0" distL="0" distR="0" wp14:anchorId="0AA3A589" wp14:editId="43122BDF">
            <wp:extent cx="2990335" cy="2507162"/>
            <wp:effectExtent l="0" t="0" r="635" b="762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8553" cy="2522436"/>
                    </a:xfrm>
                    <a:prstGeom prst="rect">
                      <a:avLst/>
                    </a:prstGeom>
                    <a:noFill/>
                  </pic:spPr>
                </pic:pic>
              </a:graphicData>
            </a:graphic>
          </wp:inline>
        </w:drawing>
      </w:r>
    </w:p>
    <w:p w14:paraId="1E375C99" w14:textId="0F3778EF" w:rsidR="004863AF" w:rsidRPr="000815D5" w:rsidRDefault="000815D5" w:rsidP="004863AF">
      <w:pPr>
        <w:ind w:right="51"/>
        <w:rPr>
          <w:b/>
          <w:bCs/>
          <w:sz w:val="16"/>
          <w:szCs w:val="24"/>
          <w:lang w:val="es-CO"/>
        </w:rPr>
      </w:pPr>
      <w:r>
        <w:rPr>
          <w:sz w:val="16"/>
          <w:lang w:val="es-CO"/>
        </w:rPr>
        <w:t xml:space="preserve">                  </w:t>
      </w:r>
      <w:r w:rsidRPr="000815D5">
        <w:rPr>
          <w:sz w:val="16"/>
          <w:lang w:val="es-CO"/>
        </w:rPr>
        <w:t xml:space="preserve">Fuente </w:t>
      </w:r>
      <w:r w:rsidRPr="000815D5">
        <w:rPr>
          <w:sz w:val="16"/>
        </w:rPr>
        <w:t xml:space="preserve">Estudios Técnicos Proyecto de Acuerdo 472 de 2016. 18 de Octubre de 2016. Páginas 96 y 97. </w:t>
      </w:r>
    </w:p>
    <w:p w14:paraId="4CE80A6F" w14:textId="77777777" w:rsidR="004863AF" w:rsidRPr="00D369AA" w:rsidRDefault="004863AF" w:rsidP="008D31A1">
      <w:pPr>
        <w:ind w:right="51"/>
        <w:rPr>
          <w:b/>
          <w:bCs/>
          <w:szCs w:val="24"/>
          <w:lang w:val="es-CO"/>
        </w:rPr>
      </w:pPr>
    </w:p>
    <w:p w14:paraId="7CE52EA5" w14:textId="77777777" w:rsidR="00546DF6" w:rsidRPr="00D369AA" w:rsidRDefault="00546DF6" w:rsidP="008D31A1">
      <w:pPr>
        <w:pStyle w:val="Ttulo3"/>
        <w:rPr>
          <w:lang w:val="es-CO"/>
        </w:rPr>
      </w:pPr>
      <w:r w:rsidRPr="00D369AA">
        <w:rPr>
          <w:lang w:val="es-CO"/>
        </w:rPr>
        <w:t xml:space="preserve">Composición accionaria </w:t>
      </w:r>
      <w:proofErr w:type="spellStart"/>
      <w:r w:rsidRPr="00D369AA">
        <w:rPr>
          <w:lang w:val="es-CO"/>
        </w:rPr>
        <w:t>Promigas</w:t>
      </w:r>
      <w:proofErr w:type="spellEnd"/>
    </w:p>
    <w:p w14:paraId="7F3B6679" w14:textId="77777777" w:rsidR="00F17766" w:rsidRPr="00D369AA" w:rsidRDefault="00546DF6" w:rsidP="008D31A1">
      <w:pPr>
        <w:rPr>
          <w:lang w:val="es-CO"/>
        </w:rPr>
      </w:pPr>
      <w:r w:rsidRPr="00D369AA">
        <w:rPr>
          <w:lang w:val="es-CO"/>
        </w:rPr>
        <w:t xml:space="preserve">De acuerdo con la información pública disponible, a marzo de 2016 la composición accionaria de </w:t>
      </w:r>
      <w:proofErr w:type="spellStart"/>
      <w:r w:rsidRPr="00D369AA">
        <w:rPr>
          <w:lang w:val="es-CO"/>
        </w:rPr>
        <w:t>Promigas</w:t>
      </w:r>
      <w:proofErr w:type="spellEnd"/>
      <w:r w:rsidRPr="00D369AA">
        <w:rPr>
          <w:lang w:val="es-CO"/>
        </w:rPr>
        <w:t xml:space="preserve"> corresponde en un 84,6% a inversionistas privados y fondos y, en un 15.64%, a EEB GAS S.A.S.</w:t>
      </w:r>
    </w:p>
    <w:p w14:paraId="24D73DF3" w14:textId="77777777" w:rsidR="002F4D54" w:rsidRDefault="002F4D54" w:rsidP="008D31A1">
      <w:pPr>
        <w:pStyle w:val="Prrafodelista"/>
        <w:ind w:left="1440" w:right="51"/>
        <w:jc w:val="center"/>
        <w:rPr>
          <w:b/>
          <w:bCs/>
          <w:szCs w:val="24"/>
          <w:lang w:val="es-CO"/>
        </w:rPr>
      </w:pPr>
    </w:p>
    <w:p w14:paraId="2A30483D" w14:textId="77777777" w:rsidR="00B24490" w:rsidRDefault="00B24490" w:rsidP="008D31A1">
      <w:pPr>
        <w:pStyle w:val="Prrafodelista"/>
        <w:ind w:left="1440" w:right="51"/>
        <w:jc w:val="center"/>
        <w:rPr>
          <w:b/>
          <w:bCs/>
          <w:szCs w:val="24"/>
          <w:lang w:val="es-CO"/>
        </w:rPr>
      </w:pPr>
    </w:p>
    <w:p w14:paraId="70704ED8" w14:textId="339D22ED" w:rsidR="002F4D54" w:rsidRPr="00D369AA" w:rsidRDefault="001C4279" w:rsidP="008D31A1">
      <w:pPr>
        <w:pStyle w:val="Epgrafe"/>
        <w:rPr>
          <w:b w:val="0"/>
          <w:bCs w:val="0"/>
          <w:szCs w:val="24"/>
          <w:lang w:val="es-CO"/>
        </w:rPr>
      </w:pPr>
      <w:r w:rsidRPr="00D369AA">
        <w:rPr>
          <w:lang w:val="es-CO"/>
        </w:rPr>
        <w:t xml:space="preserve"> </w:t>
      </w:r>
      <w:r w:rsidR="002F4D54" w:rsidRPr="00D369AA">
        <w:rPr>
          <w:lang w:val="es-CO"/>
        </w:rPr>
        <w:t xml:space="preserve">Composición Accionaria </w:t>
      </w:r>
      <w:proofErr w:type="spellStart"/>
      <w:r w:rsidR="002F4D54" w:rsidRPr="00D369AA">
        <w:rPr>
          <w:lang w:val="es-CO"/>
        </w:rPr>
        <w:t>Promigas</w:t>
      </w:r>
      <w:proofErr w:type="spellEnd"/>
      <w:r w:rsidR="002F4D54" w:rsidRPr="00D369AA">
        <w:rPr>
          <w:lang w:val="es-CO"/>
        </w:rPr>
        <w:t xml:space="preserve"> S.A.</w:t>
      </w:r>
    </w:p>
    <w:p w14:paraId="1F8D9DD2" w14:textId="1F6FD2C4" w:rsidR="00BB3FD3" w:rsidRPr="00D369AA" w:rsidRDefault="00BB3FD3" w:rsidP="00A25247">
      <w:pPr>
        <w:pStyle w:val="Prrafodelista"/>
        <w:ind w:left="0" w:right="51"/>
        <w:jc w:val="center"/>
        <w:rPr>
          <w:b/>
          <w:bCs/>
          <w:szCs w:val="24"/>
          <w:lang w:val="es-CO"/>
        </w:rPr>
      </w:pPr>
    </w:p>
    <w:p w14:paraId="16EC43C1" w14:textId="77777777" w:rsidR="00AC706F" w:rsidRPr="00D369AA" w:rsidRDefault="00AC706F" w:rsidP="00A25247">
      <w:pPr>
        <w:pStyle w:val="Prrafodelista"/>
        <w:ind w:left="0" w:right="51"/>
        <w:rPr>
          <w:bCs/>
          <w:sz w:val="16"/>
          <w:szCs w:val="16"/>
          <w:lang w:val="es-CO"/>
        </w:rPr>
      </w:pPr>
    </w:p>
    <w:p w14:paraId="00EFFB04" w14:textId="77777777" w:rsidR="00AC706F" w:rsidRPr="00D369AA" w:rsidRDefault="00122A65" w:rsidP="00E922F2">
      <w:pPr>
        <w:pStyle w:val="Prrafodelista"/>
        <w:ind w:left="0" w:right="51"/>
        <w:jc w:val="center"/>
        <w:rPr>
          <w:bCs/>
          <w:sz w:val="16"/>
          <w:szCs w:val="16"/>
          <w:lang w:val="es-CO"/>
        </w:rPr>
      </w:pPr>
      <w:r w:rsidRPr="00D369AA">
        <w:rPr>
          <w:noProof/>
          <w:lang w:val="es-CO" w:eastAsia="es-CO"/>
        </w:rPr>
        <w:lastRenderedPageBreak/>
        <w:drawing>
          <wp:inline distT="0" distB="0" distL="0" distR="0" wp14:anchorId="478CF8BC" wp14:editId="46AE6043">
            <wp:extent cx="3109438" cy="21428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3677" cy="2145788"/>
                    </a:xfrm>
                    <a:prstGeom prst="rect">
                      <a:avLst/>
                    </a:prstGeom>
                    <a:noFill/>
                    <a:ln>
                      <a:noFill/>
                    </a:ln>
                  </pic:spPr>
                </pic:pic>
              </a:graphicData>
            </a:graphic>
          </wp:inline>
        </w:drawing>
      </w:r>
    </w:p>
    <w:p w14:paraId="132E0BFC" w14:textId="4BBF98BE" w:rsidR="00BB3FD3" w:rsidRPr="00D369AA" w:rsidRDefault="000815D5" w:rsidP="0002495C">
      <w:pPr>
        <w:pStyle w:val="Citadestacada"/>
        <w:rPr>
          <w:lang w:val="es-CO"/>
        </w:rPr>
      </w:pPr>
      <w:r>
        <w:rPr>
          <w:lang w:val="es-CO"/>
        </w:rPr>
        <w:t>Fuente:</w:t>
      </w:r>
      <w:hyperlink r:id="rId49" w:history="1">
        <w:r w:rsidR="0063135C" w:rsidRPr="00D369AA">
          <w:rPr>
            <w:rStyle w:val="Hipervnculo"/>
            <w:bCs w:val="0"/>
            <w:szCs w:val="16"/>
            <w:lang w:val="es-CO"/>
          </w:rPr>
          <w:t>http://www.promigas.com/Es/Inversores/Documents/Acciones/Composicion_Accionaria/Composicion_accionaria_31_de_marzo_de_2016.pdf</w:t>
        </w:r>
      </w:hyperlink>
    </w:p>
    <w:p w14:paraId="688E8C03" w14:textId="77777777" w:rsidR="00F17766" w:rsidRPr="00D369AA" w:rsidRDefault="00F17766" w:rsidP="008D31A1">
      <w:pPr>
        <w:rPr>
          <w:rFonts w:cs="Arial"/>
          <w:szCs w:val="24"/>
          <w:lang w:val="es-CO"/>
        </w:rPr>
      </w:pPr>
      <w:r w:rsidRPr="00D369AA">
        <w:rPr>
          <w:rFonts w:cs="Arial"/>
          <w:szCs w:val="24"/>
          <w:lang w:val="es-CO"/>
        </w:rPr>
        <w:t xml:space="preserve">Los accionistas que tienen una participación superior al 10% en </w:t>
      </w:r>
      <w:proofErr w:type="spellStart"/>
      <w:r w:rsidRPr="00D369AA">
        <w:rPr>
          <w:rFonts w:cs="Arial"/>
          <w:szCs w:val="24"/>
          <w:lang w:val="es-CO"/>
        </w:rPr>
        <w:t>Promigas</w:t>
      </w:r>
      <w:proofErr w:type="spellEnd"/>
      <w:r w:rsidRPr="00D369AA">
        <w:rPr>
          <w:rFonts w:cs="Arial"/>
          <w:szCs w:val="24"/>
          <w:lang w:val="es-CO"/>
        </w:rPr>
        <w:t xml:space="preserve"> son los siguientes:</w:t>
      </w:r>
    </w:p>
    <w:p w14:paraId="4418BD4B" w14:textId="4FD1572D" w:rsidR="00F17766" w:rsidRPr="00E765F2" w:rsidRDefault="00F17766" w:rsidP="00D955A5">
      <w:pPr>
        <w:pStyle w:val="Prrafodelista"/>
        <w:numPr>
          <w:ilvl w:val="0"/>
          <w:numId w:val="17"/>
        </w:numPr>
        <w:spacing w:before="120" w:after="0"/>
        <w:contextualSpacing/>
        <w:rPr>
          <w:rFonts w:cs="Arial"/>
          <w:szCs w:val="24"/>
          <w:lang w:val="es-CO"/>
        </w:rPr>
      </w:pPr>
      <w:r w:rsidRPr="00E765F2">
        <w:rPr>
          <w:rFonts w:cs="Arial"/>
          <w:szCs w:val="24"/>
          <w:lang w:val="es-CO"/>
        </w:rPr>
        <w:t>Corporación Financiera Colombiana.</w:t>
      </w:r>
    </w:p>
    <w:p w14:paraId="2D0A3955" w14:textId="77777777" w:rsidR="00E765F2" w:rsidRPr="00E765F2" w:rsidRDefault="00E765F2" w:rsidP="00E765F2">
      <w:pPr>
        <w:pStyle w:val="Prrafodelista"/>
        <w:spacing w:before="120" w:after="0"/>
        <w:ind w:left="720"/>
        <w:contextualSpacing/>
        <w:rPr>
          <w:rFonts w:cs="Arial"/>
          <w:i/>
          <w:szCs w:val="24"/>
          <w:lang w:val="es-CO"/>
        </w:rPr>
      </w:pPr>
    </w:p>
    <w:p w14:paraId="0422C975" w14:textId="77777777" w:rsidR="00F17766" w:rsidRDefault="00F17766" w:rsidP="008D31A1">
      <w:pPr>
        <w:pStyle w:val="Prrafodelista"/>
        <w:numPr>
          <w:ilvl w:val="0"/>
          <w:numId w:val="17"/>
        </w:numPr>
        <w:spacing w:before="120" w:after="0"/>
        <w:contextualSpacing/>
        <w:rPr>
          <w:rFonts w:cs="Arial"/>
          <w:szCs w:val="24"/>
          <w:lang w:val="es-CO"/>
        </w:rPr>
      </w:pPr>
      <w:r w:rsidRPr="00D369AA">
        <w:rPr>
          <w:rFonts w:cs="Arial"/>
          <w:szCs w:val="24"/>
          <w:lang w:val="es-CO"/>
        </w:rPr>
        <w:t xml:space="preserve">EEB GAS SAS: Empresa propiedad de EEB </w:t>
      </w:r>
      <w:r w:rsidR="00332291" w:rsidRPr="00D369AA">
        <w:rPr>
          <w:rFonts w:cs="Arial"/>
          <w:szCs w:val="24"/>
          <w:lang w:val="es-CO"/>
        </w:rPr>
        <w:t xml:space="preserve">S.A. E.S.P. </w:t>
      </w:r>
      <w:r w:rsidRPr="00D369AA">
        <w:rPr>
          <w:rFonts w:cs="Arial"/>
          <w:szCs w:val="24"/>
          <w:lang w:val="es-CO"/>
        </w:rPr>
        <w:t>en un 100%.</w:t>
      </w:r>
    </w:p>
    <w:p w14:paraId="7C463F80" w14:textId="77777777" w:rsidR="00E765F2" w:rsidRDefault="00E765F2" w:rsidP="00E765F2">
      <w:pPr>
        <w:pStyle w:val="Prrafodelista"/>
        <w:spacing w:before="120" w:after="0"/>
        <w:ind w:left="720"/>
        <w:contextualSpacing/>
        <w:rPr>
          <w:rFonts w:cs="Arial"/>
          <w:szCs w:val="24"/>
          <w:lang w:val="es-CO"/>
        </w:rPr>
      </w:pPr>
    </w:p>
    <w:p w14:paraId="45972D80" w14:textId="0E7D53F2" w:rsidR="00F17766" w:rsidRPr="00D369AA" w:rsidRDefault="00F17766" w:rsidP="008D31A1">
      <w:pPr>
        <w:pStyle w:val="Prrafodelista"/>
        <w:numPr>
          <w:ilvl w:val="0"/>
          <w:numId w:val="17"/>
        </w:numPr>
        <w:spacing w:before="120" w:after="0"/>
        <w:contextualSpacing/>
        <w:rPr>
          <w:rFonts w:cs="Arial"/>
          <w:szCs w:val="24"/>
          <w:lang w:val="es-CO"/>
        </w:rPr>
      </w:pPr>
      <w:r w:rsidRPr="00D369AA">
        <w:rPr>
          <w:rFonts w:cs="Arial"/>
          <w:szCs w:val="24"/>
          <w:lang w:val="es-CO"/>
        </w:rPr>
        <w:t>CFC GAS HOLDING S.A.S.:</w:t>
      </w:r>
      <w:r w:rsidRPr="00E765F2">
        <w:rPr>
          <w:rFonts w:cs="Arial"/>
          <w:i/>
          <w:szCs w:val="24"/>
          <w:lang w:val="es-CO"/>
        </w:rPr>
        <w:t xml:space="preserve"> Sociedad Anónima Simplificada, con domicilio en Colombia, a través de la cual </w:t>
      </w:r>
      <w:proofErr w:type="spellStart"/>
      <w:r w:rsidRPr="00E765F2">
        <w:rPr>
          <w:rFonts w:cs="Arial"/>
          <w:i/>
          <w:szCs w:val="24"/>
          <w:lang w:val="es-CO"/>
        </w:rPr>
        <w:t>Corficolombiana</w:t>
      </w:r>
      <w:proofErr w:type="spellEnd"/>
      <w:r w:rsidRPr="00E765F2">
        <w:rPr>
          <w:rFonts w:cs="Arial"/>
          <w:i/>
          <w:szCs w:val="24"/>
          <w:lang w:val="es-CO"/>
        </w:rPr>
        <w:t xml:space="preserve"> S.A. tiene una participación indirecta en </w:t>
      </w:r>
      <w:proofErr w:type="spellStart"/>
      <w:r w:rsidRPr="00E765F2">
        <w:rPr>
          <w:rFonts w:cs="Arial"/>
          <w:i/>
          <w:szCs w:val="24"/>
          <w:lang w:val="es-CO"/>
        </w:rPr>
        <w:t>Promigas</w:t>
      </w:r>
      <w:proofErr w:type="spellEnd"/>
      <w:r w:rsidR="00E765F2">
        <w:rPr>
          <w:rStyle w:val="Refdenotaalpie"/>
          <w:rFonts w:cs="Arial"/>
          <w:i/>
          <w:szCs w:val="24"/>
          <w:lang w:val="es-CO"/>
        </w:rPr>
        <w:footnoteReference w:id="47"/>
      </w:r>
      <w:r w:rsidRPr="00D369AA">
        <w:rPr>
          <w:rFonts w:cs="Arial"/>
          <w:szCs w:val="24"/>
          <w:lang w:val="es-CO"/>
        </w:rPr>
        <w:t>.</w:t>
      </w:r>
    </w:p>
    <w:p w14:paraId="53B9507B" w14:textId="77777777" w:rsidR="0063135C" w:rsidRPr="00D369AA" w:rsidRDefault="0063135C" w:rsidP="008D31A1">
      <w:pPr>
        <w:ind w:right="51"/>
        <w:rPr>
          <w:b/>
          <w:bCs/>
          <w:szCs w:val="24"/>
          <w:lang w:val="es-CO"/>
        </w:rPr>
      </w:pPr>
    </w:p>
    <w:p w14:paraId="07515561" w14:textId="519E6E7B" w:rsidR="00546DF6" w:rsidRPr="00D369AA" w:rsidRDefault="00546DF6" w:rsidP="008D31A1">
      <w:pPr>
        <w:pStyle w:val="Ttulo3"/>
        <w:rPr>
          <w:lang w:val="es-CO"/>
        </w:rPr>
      </w:pPr>
      <w:r w:rsidRPr="00D369AA">
        <w:rPr>
          <w:lang w:val="es-CO"/>
        </w:rPr>
        <w:t>Mercado Público de Valores</w:t>
      </w:r>
    </w:p>
    <w:p w14:paraId="357A9CAE" w14:textId="77777777" w:rsidR="00F74EB6" w:rsidRPr="00D369AA" w:rsidRDefault="00F74EB6" w:rsidP="008D31A1">
      <w:pPr>
        <w:rPr>
          <w:rFonts w:cs="Arial"/>
          <w:szCs w:val="24"/>
          <w:lang w:val="es-CO"/>
        </w:rPr>
      </w:pPr>
      <w:r w:rsidRPr="00D369AA">
        <w:rPr>
          <w:rFonts w:cs="Arial"/>
          <w:szCs w:val="24"/>
          <w:lang w:val="es-CO"/>
        </w:rPr>
        <w:t>La empresa tiene una capitalización bursátil COP 6</w:t>
      </w:r>
      <w:proofErr w:type="gramStart"/>
      <w:r w:rsidRPr="00D369AA">
        <w:rPr>
          <w:rFonts w:cs="Arial"/>
          <w:szCs w:val="24"/>
          <w:lang w:val="es-CO"/>
        </w:rPr>
        <w:t>,241,660</w:t>
      </w:r>
      <w:proofErr w:type="gramEnd"/>
      <w:r w:rsidRPr="00D369AA">
        <w:rPr>
          <w:rFonts w:cs="Arial"/>
          <w:szCs w:val="24"/>
          <w:lang w:val="es-CO"/>
        </w:rPr>
        <w:t xml:space="preserve"> millones, basado en el precio de la acción al 22 de septiembre de 2016.</w:t>
      </w:r>
    </w:p>
    <w:p w14:paraId="3BD97DB4" w14:textId="77777777" w:rsidR="008D31A1" w:rsidRPr="00D369AA" w:rsidRDefault="008D31A1" w:rsidP="008D31A1">
      <w:pPr>
        <w:rPr>
          <w:rFonts w:cs="Arial"/>
          <w:szCs w:val="24"/>
          <w:lang w:val="es-CO"/>
        </w:rPr>
      </w:pPr>
    </w:p>
    <w:p w14:paraId="21B8289A" w14:textId="4693857E" w:rsidR="00F74EB6" w:rsidRPr="00D369AA" w:rsidRDefault="001C4279" w:rsidP="008D31A1">
      <w:pPr>
        <w:pStyle w:val="Epgrafe"/>
        <w:rPr>
          <w:rFonts w:cs="Arial"/>
          <w:szCs w:val="24"/>
          <w:lang w:val="es-CO"/>
        </w:rPr>
      </w:pPr>
      <w:bookmarkStart w:id="7" w:name="_Toc464211520"/>
      <w:r w:rsidRPr="00D369AA">
        <w:rPr>
          <w:lang w:val="es-CO"/>
        </w:rPr>
        <w:lastRenderedPageBreak/>
        <w:t xml:space="preserve"> </w:t>
      </w:r>
      <w:proofErr w:type="spellStart"/>
      <w:r w:rsidR="00F74EB6" w:rsidRPr="00D369AA">
        <w:rPr>
          <w:rFonts w:cs="Arial"/>
          <w:szCs w:val="24"/>
          <w:lang w:val="es-CO"/>
        </w:rPr>
        <w:t>Promigas</w:t>
      </w:r>
      <w:proofErr w:type="spellEnd"/>
      <w:r w:rsidR="00F74EB6" w:rsidRPr="00D369AA">
        <w:rPr>
          <w:rFonts w:cs="Arial"/>
          <w:szCs w:val="24"/>
          <w:lang w:val="es-CO"/>
        </w:rPr>
        <w:t xml:space="preserve"> S.A. E.S.P. - Capitalización bursátil</w:t>
      </w:r>
      <w:bookmarkEnd w:id="7"/>
      <w:r w:rsidR="00F74EB6" w:rsidRPr="00D369AA">
        <w:rPr>
          <w:rFonts w:cs="Arial"/>
          <w:szCs w:val="24"/>
          <w:lang w:val="es-CO"/>
        </w:rPr>
        <w:t xml:space="preserve"> </w:t>
      </w:r>
      <w:proofErr w:type="spellStart"/>
      <w:r w:rsidR="002E10E3" w:rsidRPr="00D369AA">
        <w:rPr>
          <w:rFonts w:cs="Arial"/>
          <w:szCs w:val="24"/>
          <w:lang w:val="es-CO"/>
        </w:rPr>
        <w:t>Promigas</w:t>
      </w:r>
      <w:proofErr w:type="spellEnd"/>
    </w:p>
    <w:p w14:paraId="30FA56FD" w14:textId="77777777" w:rsidR="00F74EB6" w:rsidRPr="00D369AA" w:rsidRDefault="00C02A42" w:rsidP="00F8693E">
      <w:pPr>
        <w:jc w:val="center"/>
        <w:rPr>
          <w:rFonts w:cs="Arial"/>
          <w:szCs w:val="24"/>
          <w:lang w:val="es-CO"/>
        </w:rPr>
      </w:pPr>
      <w:r w:rsidRPr="00D369AA">
        <w:rPr>
          <w:noProof/>
          <w:lang w:val="es-CO" w:eastAsia="es-CO"/>
        </w:rPr>
        <w:drawing>
          <wp:inline distT="0" distB="0" distL="0" distR="0" wp14:anchorId="42A2E3F7" wp14:editId="2658E0FA">
            <wp:extent cx="3567600" cy="162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7600" cy="1620000"/>
                    </a:xfrm>
                    <a:prstGeom prst="rect">
                      <a:avLst/>
                    </a:prstGeom>
                    <a:noFill/>
                    <a:ln>
                      <a:noFill/>
                    </a:ln>
                  </pic:spPr>
                </pic:pic>
              </a:graphicData>
            </a:graphic>
          </wp:inline>
        </w:drawing>
      </w:r>
    </w:p>
    <w:p w14:paraId="0EE806D9" w14:textId="77777777" w:rsidR="00EC60A5" w:rsidRPr="00D369AA" w:rsidRDefault="004E6616" w:rsidP="0002495C">
      <w:pPr>
        <w:pStyle w:val="Citadestacada"/>
        <w:rPr>
          <w:lang w:val="es-CO"/>
        </w:rPr>
      </w:pPr>
      <w:r w:rsidRPr="00D369AA">
        <w:rPr>
          <w:rStyle w:val="Textoennegrita"/>
          <w:b w:val="0"/>
          <w:bCs/>
          <w:lang w:val="es-CO"/>
        </w:rPr>
        <w:t>Fuente: Exposición de motivos PA - 472. Pg. 43.</w:t>
      </w:r>
    </w:p>
    <w:p w14:paraId="765B6BA0" w14:textId="77777777" w:rsidR="004340F1" w:rsidRPr="00D369AA" w:rsidRDefault="005A0570" w:rsidP="008D31A1">
      <w:pPr>
        <w:ind w:right="51"/>
        <w:rPr>
          <w:b/>
          <w:bCs/>
          <w:szCs w:val="24"/>
          <w:lang w:val="es-CO"/>
        </w:rPr>
      </w:pPr>
      <w:r w:rsidRPr="00D369AA">
        <w:rPr>
          <w:bCs/>
          <w:szCs w:val="24"/>
          <w:lang w:val="es-CO"/>
        </w:rPr>
        <w:t xml:space="preserve">La siguiente gráfica presenta el comportamiento del precio histórico de la acción de </w:t>
      </w:r>
      <w:proofErr w:type="spellStart"/>
      <w:r w:rsidRPr="00D369AA">
        <w:rPr>
          <w:bCs/>
          <w:szCs w:val="24"/>
          <w:lang w:val="es-CO"/>
        </w:rPr>
        <w:t>Promigas</w:t>
      </w:r>
      <w:proofErr w:type="spellEnd"/>
      <w:r w:rsidRPr="00D369AA">
        <w:rPr>
          <w:bCs/>
          <w:szCs w:val="24"/>
          <w:lang w:val="es-CO"/>
        </w:rPr>
        <w:t xml:space="preserve"> S.A. E.S.P</w:t>
      </w:r>
      <w:r w:rsidR="00332291" w:rsidRPr="00D369AA">
        <w:rPr>
          <w:bCs/>
          <w:szCs w:val="24"/>
          <w:lang w:val="es-CO"/>
        </w:rPr>
        <w:t>.</w:t>
      </w:r>
      <w:r w:rsidRPr="00D369AA">
        <w:rPr>
          <w:bCs/>
          <w:szCs w:val="24"/>
          <w:lang w:val="es-CO"/>
        </w:rPr>
        <w:t xml:space="preserve"> de conformidad con información publicada por la bolsa de valores para los últimos doce (12) meses.</w:t>
      </w:r>
    </w:p>
    <w:p w14:paraId="2C3CCD31" w14:textId="77777777" w:rsidR="00EF626E" w:rsidRPr="00D369AA" w:rsidRDefault="00EF626E" w:rsidP="008D31A1">
      <w:pPr>
        <w:ind w:right="51"/>
        <w:rPr>
          <w:b/>
          <w:bCs/>
          <w:szCs w:val="24"/>
          <w:lang w:val="es-CO"/>
        </w:rPr>
      </w:pPr>
    </w:p>
    <w:p w14:paraId="33989237" w14:textId="77777777" w:rsidR="00EF626E" w:rsidRPr="00D369AA" w:rsidRDefault="00EF626E" w:rsidP="008D31A1">
      <w:pPr>
        <w:ind w:right="51"/>
        <w:rPr>
          <w:b/>
          <w:bCs/>
          <w:szCs w:val="24"/>
          <w:lang w:val="es-CO"/>
        </w:rPr>
      </w:pPr>
    </w:p>
    <w:p w14:paraId="7F2E1168" w14:textId="4E334099" w:rsidR="004340F1" w:rsidRPr="00D369AA" w:rsidRDefault="001C4279" w:rsidP="008D31A1">
      <w:pPr>
        <w:pStyle w:val="Epgrafe"/>
        <w:rPr>
          <w:b w:val="0"/>
          <w:bCs w:val="0"/>
          <w:szCs w:val="24"/>
          <w:lang w:val="es-CO"/>
        </w:rPr>
      </w:pPr>
      <w:r w:rsidRPr="00D369AA">
        <w:rPr>
          <w:lang w:val="es-CO"/>
        </w:rPr>
        <w:t xml:space="preserve"> </w:t>
      </w:r>
      <w:r w:rsidR="002F4D54" w:rsidRPr="00D369AA">
        <w:rPr>
          <w:szCs w:val="24"/>
          <w:lang w:val="es-CO"/>
        </w:rPr>
        <w:t>Precio histórico de la acción PROMIGAS S.A. E.S.P</w:t>
      </w:r>
    </w:p>
    <w:p w14:paraId="255EC349" w14:textId="77777777" w:rsidR="004340F1" w:rsidRPr="00D369AA" w:rsidRDefault="004340F1" w:rsidP="008D31A1">
      <w:pPr>
        <w:ind w:right="51"/>
        <w:jc w:val="center"/>
        <w:rPr>
          <w:b/>
          <w:bCs/>
          <w:szCs w:val="24"/>
          <w:lang w:val="es-CO"/>
        </w:rPr>
      </w:pPr>
      <w:r w:rsidRPr="00D369AA">
        <w:rPr>
          <w:b/>
          <w:bCs/>
          <w:noProof/>
          <w:szCs w:val="24"/>
          <w:lang w:val="es-CO" w:eastAsia="es-CO"/>
        </w:rPr>
        <w:drawing>
          <wp:inline distT="0" distB="0" distL="0" distR="0" wp14:anchorId="597A4F8B" wp14:editId="6F7D442E">
            <wp:extent cx="4571950" cy="2867025"/>
            <wp:effectExtent l="19050" t="19050" r="196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7072" cy="2882779"/>
                    </a:xfrm>
                    <a:prstGeom prst="rect">
                      <a:avLst/>
                    </a:prstGeom>
                    <a:noFill/>
                    <a:ln w="19050">
                      <a:solidFill>
                        <a:schemeClr val="tx1"/>
                      </a:solidFill>
                    </a:ln>
                  </pic:spPr>
                </pic:pic>
              </a:graphicData>
            </a:graphic>
          </wp:inline>
        </w:drawing>
      </w:r>
    </w:p>
    <w:p w14:paraId="3F768EC7" w14:textId="77777777" w:rsidR="004340F1" w:rsidRPr="00D369AA" w:rsidRDefault="004340F1" w:rsidP="0002495C">
      <w:pPr>
        <w:pStyle w:val="Citadestacada"/>
        <w:rPr>
          <w:b/>
          <w:szCs w:val="24"/>
          <w:lang w:val="es-CO"/>
        </w:rPr>
      </w:pPr>
      <w:r w:rsidRPr="00D369AA">
        <w:rPr>
          <w:lang w:val="es-CO"/>
        </w:rPr>
        <w:t>Fuente https://www.bvc.com.co/pps/tibco/portalbvc/Home/Mercados/enlinea/acciones#</w:t>
      </w:r>
    </w:p>
    <w:p w14:paraId="5E74901C" w14:textId="10FD3018" w:rsidR="00F05E8F" w:rsidRPr="00D369AA" w:rsidRDefault="00F05E8F" w:rsidP="00F05E8F">
      <w:pPr>
        <w:pStyle w:val="Ttulo1"/>
        <w:rPr>
          <w:lang w:val="es-CO"/>
        </w:rPr>
      </w:pPr>
      <w:r w:rsidRPr="00D369AA">
        <w:rPr>
          <w:lang w:val="es-CO"/>
        </w:rPr>
        <w:lastRenderedPageBreak/>
        <w:t>Consideraciones del Ponente</w:t>
      </w:r>
    </w:p>
    <w:p w14:paraId="38C96B4C" w14:textId="5278BEFF" w:rsidR="00F05E8F" w:rsidRPr="00D369AA" w:rsidRDefault="00F05E8F" w:rsidP="00F05E8F">
      <w:pPr>
        <w:ind w:right="51"/>
        <w:rPr>
          <w:bCs/>
          <w:szCs w:val="24"/>
          <w:lang w:val="es-CO"/>
        </w:rPr>
      </w:pPr>
      <w:r w:rsidRPr="00D369AA">
        <w:rPr>
          <w:bCs/>
          <w:szCs w:val="24"/>
          <w:lang w:val="es-CO"/>
        </w:rPr>
        <w:t xml:space="preserve">A continuación se realizará una descripción de los aspectos más relevantes en los que se centra el análisis, referente a la autorización a la EEB E.S.P. y EEB GAS S.A. para enajenar la participación accionaria que posee </w:t>
      </w:r>
      <w:r w:rsidRPr="00D369AA">
        <w:rPr>
          <w:lang w:val="es-CO" w:eastAsia="es-CO"/>
        </w:rPr>
        <w:t>en</w:t>
      </w:r>
      <w:r w:rsidRPr="00D369AA">
        <w:rPr>
          <w:i/>
          <w:lang w:val="es-CO" w:eastAsia="es-CO"/>
        </w:rPr>
        <w:t xml:space="preserve"> </w:t>
      </w:r>
      <w:r w:rsidRPr="00D369AA">
        <w:rPr>
          <w:lang w:val="es-CO" w:eastAsia="es-CO"/>
        </w:rPr>
        <w:t xml:space="preserve">Interconexión Eléctrica S.A. E.S.P. – ISA-, Grupo </w:t>
      </w:r>
      <w:proofErr w:type="spellStart"/>
      <w:r w:rsidRPr="00D369AA">
        <w:rPr>
          <w:lang w:val="es-CO" w:eastAsia="es-CO"/>
        </w:rPr>
        <w:t>Nutresa</w:t>
      </w:r>
      <w:proofErr w:type="spellEnd"/>
      <w:r w:rsidRPr="00D369AA">
        <w:rPr>
          <w:lang w:val="es-CO" w:eastAsia="es-CO"/>
        </w:rPr>
        <w:t xml:space="preserve"> S.A., Banco Popular S.A. y </w:t>
      </w:r>
      <w:proofErr w:type="spellStart"/>
      <w:r w:rsidRPr="00D369AA">
        <w:rPr>
          <w:lang w:val="es-CO" w:eastAsia="es-CO"/>
        </w:rPr>
        <w:t>Promigas</w:t>
      </w:r>
      <w:proofErr w:type="spellEnd"/>
      <w:r w:rsidRPr="00D369AA">
        <w:rPr>
          <w:lang w:val="es-CO" w:eastAsia="es-CO"/>
        </w:rPr>
        <w:t xml:space="preserve"> S.A. E.S.P, respectivamente</w:t>
      </w:r>
      <w:r w:rsidRPr="00D369AA">
        <w:rPr>
          <w:b/>
          <w:lang w:val="es-CO" w:eastAsia="es-CO"/>
        </w:rPr>
        <w:t>.</w:t>
      </w:r>
      <w:r w:rsidR="003E7D32" w:rsidRPr="00D369AA">
        <w:rPr>
          <w:bCs/>
          <w:szCs w:val="24"/>
          <w:lang w:val="es-CO"/>
        </w:rPr>
        <w:t xml:space="preserve"> </w:t>
      </w:r>
    </w:p>
    <w:p w14:paraId="22261662" w14:textId="77777777" w:rsidR="00A17A17" w:rsidRPr="00D369AA" w:rsidRDefault="00A17A17" w:rsidP="00F05E8F">
      <w:pPr>
        <w:ind w:right="51"/>
        <w:rPr>
          <w:bCs/>
          <w:szCs w:val="24"/>
          <w:lang w:val="es-CO"/>
        </w:rPr>
      </w:pPr>
    </w:p>
    <w:p w14:paraId="2A3563ED" w14:textId="26E965EA" w:rsidR="00F05E8F" w:rsidRPr="00D369AA" w:rsidRDefault="00F05E8F" w:rsidP="00F05E8F">
      <w:pPr>
        <w:pStyle w:val="Epgrafe"/>
        <w:rPr>
          <w:bCs w:val="0"/>
          <w:szCs w:val="24"/>
          <w:lang w:val="es-CO"/>
        </w:rPr>
      </w:pPr>
      <w:r w:rsidRPr="00D369AA">
        <w:rPr>
          <w:lang w:val="es-CO"/>
        </w:rPr>
        <w:t xml:space="preserve">Resumen </w:t>
      </w:r>
      <w:proofErr w:type="spellStart"/>
      <w:r w:rsidR="00CB40DD">
        <w:rPr>
          <w:lang w:val="es-CO"/>
        </w:rPr>
        <w:t>Estimaciòn</w:t>
      </w:r>
      <w:proofErr w:type="spellEnd"/>
      <w:r w:rsidR="00CB40DD">
        <w:rPr>
          <w:lang w:val="es-CO"/>
        </w:rPr>
        <w:t xml:space="preserve"> del </w:t>
      </w:r>
      <w:r w:rsidRPr="00D369AA">
        <w:rPr>
          <w:lang w:val="es-CO"/>
        </w:rPr>
        <w:t>valor participación accionaria de EEB en activos</w:t>
      </w:r>
    </w:p>
    <w:tbl>
      <w:tblPr>
        <w:tblW w:w="8946" w:type="dxa"/>
        <w:tblInd w:w="55" w:type="dxa"/>
        <w:tblCellMar>
          <w:left w:w="70" w:type="dxa"/>
          <w:right w:w="70" w:type="dxa"/>
        </w:tblCellMar>
        <w:tblLook w:val="04A0" w:firstRow="1" w:lastRow="0" w:firstColumn="1" w:lastColumn="0" w:noHBand="0" w:noVBand="1"/>
      </w:tblPr>
      <w:tblGrid>
        <w:gridCol w:w="1940"/>
        <w:gridCol w:w="1222"/>
        <w:gridCol w:w="1509"/>
        <w:gridCol w:w="1127"/>
        <w:gridCol w:w="1273"/>
        <w:gridCol w:w="1875"/>
      </w:tblGrid>
      <w:tr w:rsidR="00A17A17" w:rsidRPr="00D369AA" w14:paraId="2B955F66" w14:textId="77777777" w:rsidTr="00A17A17">
        <w:trPr>
          <w:trHeight w:val="300"/>
        </w:trPr>
        <w:tc>
          <w:tcPr>
            <w:tcW w:w="1940" w:type="dxa"/>
            <w:tcBorders>
              <w:top w:val="nil"/>
              <w:left w:val="nil"/>
              <w:bottom w:val="nil"/>
              <w:right w:val="nil"/>
            </w:tcBorders>
            <w:shd w:val="clear" w:color="auto" w:fill="auto"/>
            <w:noWrap/>
            <w:vAlign w:val="bottom"/>
            <w:hideMark/>
          </w:tcPr>
          <w:p w14:paraId="4DDFA8B2" w14:textId="77777777" w:rsidR="00A17A17" w:rsidRPr="00D369AA" w:rsidRDefault="00A17A17" w:rsidP="00A17A17">
            <w:pPr>
              <w:suppressAutoHyphens w:val="0"/>
              <w:spacing w:after="0"/>
              <w:jc w:val="left"/>
              <w:rPr>
                <w:rFonts w:ascii="Calibri" w:hAnsi="Calibri"/>
                <w:b/>
                <w:bCs/>
                <w:sz w:val="20"/>
                <w:szCs w:val="22"/>
                <w:lang w:val="es-CO" w:eastAsia="es-CO"/>
              </w:rPr>
            </w:pPr>
            <w:r w:rsidRPr="00D369AA">
              <w:rPr>
                <w:rFonts w:ascii="Calibri" w:hAnsi="Calibri"/>
                <w:b/>
                <w:bCs/>
                <w:sz w:val="20"/>
                <w:szCs w:val="22"/>
                <w:lang w:val="es-CO" w:eastAsia="es-CO"/>
              </w:rPr>
              <w:t>Activo</w:t>
            </w:r>
          </w:p>
        </w:tc>
        <w:tc>
          <w:tcPr>
            <w:tcW w:w="1222" w:type="dxa"/>
            <w:tcBorders>
              <w:top w:val="nil"/>
              <w:left w:val="nil"/>
              <w:bottom w:val="nil"/>
              <w:right w:val="nil"/>
            </w:tcBorders>
            <w:shd w:val="clear" w:color="auto" w:fill="auto"/>
            <w:noWrap/>
            <w:vAlign w:val="bottom"/>
            <w:hideMark/>
          </w:tcPr>
          <w:p w14:paraId="1857940D" w14:textId="77777777" w:rsidR="00A17A17" w:rsidRPr="00D369AA" w:rsidRDefault="00A17A17" w:rsidP="00A17A17">
            <w:pPr>
              <w:suppressAutoHyphens w:val="0"/>
              <w:spacing w:after="0"/>
              <w:jc w:val="center"/>
              <w:rPr>
                <w:rFonts w:ascii="Calibri" w:hAnsi="Calibri"/>
                <w:b/>
                <w:bCs/>
                <w:sz w:val="20"/>
                <w:szCs w:val="22"/>
                <w:lang w:val="es-CO" w:eastAsia="es-CO"/>
              </w:rPr>
            </w:pPr>
            <w:r w:rsidRPr="00D369AA">
              <w:rPr>
                <w:rFonts w:ascii="Calibri" w:hAnsi="Calibri"/>
                <w:b/>
                <w:bCs/>
                <w:sz w:val="20"/>
                <w:szCs w:val="22"/>
                <w:lang w:val="es-CO" w:eastAsia="es-CO"/>
              </w:rPr>
              <w:t>Participación EEB</w:t>
            </w:r>
          </w:p>
        </w:tc>
        <w:tc>
          <w:tcPr>
            <w:tcW w:w="1509" w:type="dxa"/>
            <w:tcBorders>
              <w:top w:val="nil"/>
              <w:left w:val="nil"/>
              <w:bottom w:val="nil"/>
              <w:right w:val="nil"/>
            </w:tcBorders>
            <w:shd w:val="clear" w:color="auto" w:fill="auto"/>
            <w:noWrap/>
            <w:vAlign w:val="bottom"/>
            <w:hideMark/>
          </w:tcPr>
          <w:p w14:paraId="72D772F6" w14:textId="77777777" w:rsidR="00A17A17" w:rsidRPr="00D369AA" w:rsidRDefault="00A17A17" w:rsidP="00A17A17">
            <w:pPr>
              <w:suppressAutoHyphens w:val="0"/>
              <w:spacing w:after="0"/>
              <w:jc w:val="center"/>
              <w:rPr>
                <w:rFonts w:ascii="Calibri" w:hAnsi="Calibri"/>
                <w:b/>
                <w:bCs/>
                <w:sz w:val="20"/>
                <w:szCs w:val="22"/>
                <w:lang w:val="es-CO" w:eastAsia="es-CO"/>
              </w:rPr>
            </w:pPr>
            <w:r w:rsidRPr="00D369AA">
              <w:rPr>
                <w:rFonts w:ascii="Calibri" w:hAnsi="Calibri"/>
                <w:b/>
                <w:bCs/>
                <w:sz w:val="20"/>
                <w:szCs w:val="22"/>
                <w:lang w:val="es-CO" w:eastAsia="es-CO"/>
              </w:rPr>
              <w:t>No. Acciones EEB</w:t>
            </w:r>
          </w:p>
        </w:tc>
        <w:tc>
          <w:tcPr>
            <w:tcW w:w="2400" w:type="dxa"/>
            <w:gridSpan w:val="2"/>
            <w:tcBorders>
              <w:top w:val="nil"/>
              <w:left w:val="nil"/>
              <w:bottom w:val="single" w:sz="4" w:space="0" w:color="auto"/>
              <w:right w:val="nil"/>
            </w:tcBorders>
            <w:shd w:val="clear" w:color="auto" w:fill="auto"/>
            <w:noWrap/>
            <w:vAlign w:val="bottom"/>
            <w:hideMark/>
          </w:tcPr>
          <w:p w14:paraId="4E624911" w14:textId="77777777" w:rsidR="00A17A17" w:rsidRPr="00D369AA" w:rsidRDefault="00A17A17" w:rsidP="00A17A17">
            <w:pPr>
              <w:suppressAutoHyphens w:val="0"/>
              <w:spacing w:after="0"/>
              <w:jc w:val="center"/>
              <w:rPr>
                <w:rFonts w:ascii="Calibri" w:hAnsi="Calibri"/>
                <w:b/>
                <w:bCs/>
                <w:sz w:val="20"/>
                <w:szCs w:val="22"/>
                <w:lang w:val="es-CO" w:eastAsia="es-CO"/>
              </w:rPr>
            </w:pPr>
            <w:r w:rsidRPr="00D369AA">
              <w:rPr>
                <w:rFonts w:ascii="Calibri" w:hAnsi="Calibri"/>
                <w:b/>
                <w:bCs/>
                <w:sz w:val="20"/>
                <w:szCs w:val="22"/>
                <w:lang w:val="es-CO" w:eastAsia="es-CO"/>
              </w:rPr>
              <w:t>Valor de la acción (COP)</w:t>
            </w:r>
          </w:p>
        </w:tc>
        <w:tc>
          <w:tcPr>
            <w:tcW w:w="1875" w:type="dxa"/>
            <w:tcBorders>
              <w:top w:val="nil"/>
              <w:left w:val="nil"/>
              <w:bottom w:val="nil"/>
              <w:right w:val="nil"/>
            </w:tcBorders>
            <w:shd w:val="clear" w:color="auto" w:fill="auto"/>
            <w:noWrap/>
            <w:vAlign w:val="bottom"/>
            <w:hideMark/>
          </w:tcPr>
          <w:p w14:paraId="2B99FB33" w14:textId="77777777" w:rsidR="00A17A17" w:rsidRPr="00D369AA" w:rsidRDefault="00A17A17" w:rsidP="00A17A17">
            <w:pPr>
              <w:suppressAutoHyphens w:val="0"/>
              <w:spacing w:after="0"/>
              <w:jc w:val="center"/>
              <w:rPr>
                <w:rFonts w:ascii="Calibri" w:hAnsi="Calibri"/>
                <w:b/>
                <w:bCs/>
                <w:sz w:val="20"/>
                <w:szCs w:val="22"/>
                <w:lang w:val="es-CO" w:eastAsia="es-CO"/>
              </w:rPr>
            </w:pPr>
            <w:r w:rsidRPr="00D369AA">
              <w:rPr>
                <w:rFonts w:ascii="Calibri" w:hAnsi="Calibri"/>
                <w:b/>
                <w:bCs/>
                <w:sz w:val="20"/>
                <w:szCs w:val="22"/>
                <w:lang w:val="es-CO" w:eastAsia="es-CO"/>
              </w:rPr>
              <w:t>Rango valor de</w:t>
            </w:r>
          </w:p>
          <w:p w14:paraId="4D46AE31" w14:textId="77777777" w:rsidR="00A17A17" w:rsidRPr="00D369AA" w:rsidRDefault="00A17A17" w:rsidP="00A17A17">
            <w:pPr>
              <w:suppressAutoHyphens w:val="0"/>
              <w:spacing w:after="0"/>
              <w:jc w:val="center"/>
              <w:rPr>
                <w:rFonts w:ascii="Calibri" w:hAnsi="Calibri"/>
                <w:b/>
                <w:bCs/>
                <w:sz w:val="20"/>
                <w:szCs w:val="22"/>
                <w:lang w:val="es-CO" w:eastAsia="es-CO"/>
              </w:rPr>
            </w:pPr>
            <w:r w:rsidRPr="00D369AA">
              <w:rPr>
                <w:rFonts w:ascii="Calibri" w:hAnsi="Calibri"/>
                <w:b/>
                <w:bCs/>
                <w:sz w:val="20"/>
                <w:szCs w:val="22"/>
                <w:lang w:val="es-CO" w:eastAsia="es-CO"/>
              </w:rPr>
              <w:t xml:space="preserve"> mercado (COP)</w:t>
            </w:r>
          </w:p>
        </w:tc>
      </w:tr>
      <w:tr w:rsidR="00A17A17" w:rsidRPr="00D369AA" w14:paraId="7CA97A92" w14:textId="77777777" w:rsidTr="00A17A17">
        <w:trPr>
          <w:trHeight w:val="300"/>
        </w:trPr>
        <w:tc>
          <w:tcPr>
            <w:tcW w:w="1940" w:type="dxa"/>
            <w:tcBorders>
              <w:top w:val="single" w:sz="4" w:space="0" w:color="auto"/>
              <w:left w:val="nil"/>
              <w:bottom w:val="nil"/>
              <w:right w:val="nil"/>
            </w:tcBorders>
            <w:shd w:val="clear" w:color="auto" w:fill="auto"/>
            <w:noWrap/>
            <w:vAlign w:val="bottom"/>
            <w:hideMark/>
          </w:tcPr>
          <w:p w14:paraId="1C799E7A"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ISA S.A. E.S.P.</w:t>
            </w:r>
          </w:p>
        </w:tc>
        <w:tc>
          <w:tcPr>
            <w:tcW w:w="1222" w:type="dxa"/>
            <w:tcBorders>
              <w:top w:val="single" w:sz="4" w:space="0" w:color="auto"/>
              <w:left w:val="nil"/>
              <w:bottom w:val="nil"/>
              <w:right w:val="nil"/>
            </w:tcBorders>
            <w:shd w:val="clear" w:color="auto" w:fill="auto"/>
            <w:noWrap/>
            <w:vAlign w:val="bottom"/>
            <w:hideMark/>
          </w:tcPr>
          <w:p w14:paraId="00C180AC"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1.67%</w:t>
            </w:r>
          </w:p>
        </w:tc>
        <w:tc>
          <w:tcPr>
            <w:tcW w:w="1509" w:type="dxa"/>
            <w:tcBorders>
              <w:top w:val="single" w:sz="4" w:space="0" w:color="auto"/>
              <w:left w:val="nil"/>
              <w:bottom w:val="nil"/>
              <w:right w:val="nil"/>
            </w:tcBorders>
            <w:shd w:val="clear" w:color="auto" w:fill="auto"/>
            <w:noWrap/>
            <w:vAlign w:val="bottom"/>
            <w:hideMark/>
          </w:tcPr>
          <w:p w14:paraId="1A71EB80" w14:textId="7B82C93B"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18,448,050 </w:t>
            </w:r>
          </w:p>
        </w:tc>
        <w:tc>
          <w:tcPr>
            <w:tcW w:w="1127" w:type="dxa"/>
            <w:tcBorders>
              <w:top w:val="nil"/>
              <w:left w:val="nil"/>
              <w:bottom w:val="nil"/>
              <w:right w:val="nil"/>
            </w:tcBorders>
            <w:shd w:val="clear" w:color="auto" w:fill="auto"/>
            <w:noWrap/>
            <w:vAlign w:val="bottom"/>
            <w:hideMark/>
          </w:tcPr>
          <w:p w14:paraId="1F645D01"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Cierre </w:t>
            </w:r>
          </w:p>
        </w:tc>
        <w:tc>
          <w:tcPr>
            <w:tcW w:w="1273" w:type="dxa"/>
            <w:tcBorders>
              <w:top w:val="nil"/>
              <w:left w:val="nil"/>
              <w:bottom w:val="nil"/>
              <w:right w:val="nil"/>
            </w:tcBorders>
            <w:shd w:val="clear" w:color="auto" w:fill="auto"/>
            <w:noWrap/>
            <w:vAlign w:val="bottom"/>
            <w:hideMark/>
          </w:tcPr>
          <w:p w14:paraId="6850A3A0" w14:textId="2B811417"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9,900 </w:t>
            </w:r>
          </w:p>
        </w:tc>
        <w:tc>
          <w:tcPr>
            <w:tcW w:w="1875" w:type="dxa"/>
            <w:tcBorders>
              <w:top w:val="single" w:sz="4" w:space="0" w:color="auto"/>
              <w:left w:val="nil"/>
              <w:bottom w:val="nil"/>
              <w:right w:val="nil"/>
            </w:tcBorders>
            <w:shd w:val="clear" w:color="auto" w:fill="auto"/>
            <w:noWrap/>
            <w:vAlign w:val="bottom"/>
            <w:hideMark/>
          </w:tcPr>
          <w:p w14:paraId="78A2126B"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182,635,695,000 </w:t>
            </w:r>
          </w:p>
        </w:tc>
      </w:tr>
      <w:tr w:rsidR="00A17A17" w:rsidRPr="00D369AA" w14:paraId="641C7C04" w14:textId="77777777" w:rsidTr="00A17A17">
        <w:trPr>
          <w:trHeight w:val="300"/>
        </w:trPr>
        <w:tc>
          <w:tcPr>
            <w:tcW w:w="1940" w:type="dxa"/>
            <w:tcBorders>
              <w:top w:val="nil"/>
              <w:left w:val="nil"/>
              <w:bottom w:val="nil"/>
              <w:right w:val="nil"/>
            </w:tcBorders>
            <w:shd w:val="clear" w:color="auto" w:fill="auto"/>
            <w:noWrap/>
            <w:vAlign w:val="bottom"/>
            <w:hideMark/>
          </w:tcPr>
          <w:p w14:paraId="0CD01BDE" w14:textId="77777777" w:rsidR="00A17A17" w:rsidRPr="00D369AA" w:rsidRDefault="00A17A17" w:rsidP="00A17A17">
            <w:pPr>
              <w:suppressAutoHyphens w:val="0"/>
              <w:spacing w:after="0"/>
              <w:jc w:val="left"/>
              <w:rPr>
                <w:rFonts w:ascii="Calibri" w:hAnsi="Calibri"/>
                <w:sz w:val="20"/>
                <w:szCs w:val="22"/>
                <w:lang w:val="es-CO" w:eastAsia="es-CO"/>
              </w:rPr>
            </w:pPr>
          </w:p>
        </w:tc>
        <w:tc>
          <w:tcPr>
            <w:tcW w:w="1222" w:type="dxa"/>
            <w:tcBorders>
              <w:top w:val="nil"/>
              <w:left w:val="nil"/>
              <w:bottom w:val="nil"/>
              <w:right w:val="nil"/>
            </w:tcBorders>
            <w:shd w:val="clear" w:color="auto" w:fill="auto"/>
            <w:noWrap/>
            <w:vAlign w:val="bottom"/>
            <w:hideMark/>
          </w:tcPr>
          <w:p w14:paraId="26C9CB9F" w14:textId="77777777" w:rsidR="00A17A17" w:rsidRPr="00D369AA" w:rsidRDefault="00A17A17" w:rsidP="00A17A17">
            <w:pPr>
              <w:suppressAutoHyphens w:val="0"/>
              <w:spacing w:after="0"/>
              <w:jc w:val="right"/>
              <w:rPr>
                <w:rFonts w:ascii="Calibri" w:hAnsi="Calibri"/>
                <w:sz w:val="20"/>
                <w:szCs w:val="22"/>
                <w:lang w:val="es-CO" w:eastAsia="es-CO"/>
              </w:rPr>
            </w:pPr>
          </w:p>
        </w:tc>
        <w:tc>
          <w:tcPr>
            <w:tcW w:w="1509" w:type="dxa"/>
            <w:tcBorders>
              <w:top w:val="nil"/>
              <w:left w:val="nil"/>
              <w:bottom w:val="nil"/>
              <w:right w:val="nil"/>
            </w:tcBorders>
            <w:shd w:val="clear" w:color="auto" w:fill="auto"/>
            <w:noWrap/>
            <w:vAlign w:val="bottom"/>
            <w:hideMark/>
          </w:tcPr>
          <w:p w14:paraId="2695608A" w14:textId="77777777" w:rsidR="00A17A17" w:rsidRPr="00D369AA" w:rsidRDefault="00A17A17" w:rsidP="00A17A17">
            <w:pPr>
              <w:suppressAutoHyphens w:val="0"/>
              <w:spacing w:after="0"/>
              <w:jc w:val="left"/>
              <w:rPr>
                <w:rFonts w:ascii="Calibri" w:hAnsi="Calibri"/>
                <w:sz w:val="20"/>
                <w:szCs w:val="22"/>
                <w:lang w:val="es-CO" w:eastAsia="es-CO"/>
              </w:rPr>
            </w:pPr>
          </w:p>
        </w:tc>
        <w:tc>
          <w:tcPr>
            <w:tcW w:w="1127" w:type="dxa"/>
            <w:tcBorders>
              <w:top w:val="nil"/>
              <w:left w:val="nil"/>
              <w:bottom w:val="nil"/>
              <w:right w:val="nil"/>
            </w:tcBorders>
            <w:shd w:val="clear" w:color="auto" w:fill="auto"/>
            <w:noWrap/>
            <w:vAlign w:val="bottom"/>
            <w:hideMark/>
          </w:tcPr>
          <w:p w14:paraId="4BA55670"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Máx. (52s.) </w:t>
            </w:r>
          </w:p>
        </w:tc>
        <w:tc>
          <w:tcPr>
            <w:tcW w:w="1273" w:type="dxa"/>
            <w:tcBorders>
              <w:top w:val="nil"/>
              <w:left w:val="nil"/>
              <w:bottom w:val="nil"/>
              <w:right w:val="nil"/>
            </w:tcBorders>
            <w:shd w:val="clear" w:color="auto" w:fill="auto"/>
            <w:noWrap/>
            <w:vAlign w:val="bottom"/>
            <w:hideMark/>
          </w:tcPr>
          <w:p w14:paraId="20F1EB65" w14:textId="378AAC32"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9,940 </w:t>
            </w:r>
          </w:p>
        </w:tc>
        <w:tc>
          <w:tcPr>
            <w:tcW w:w="1875" w:type="dxa"/>
            <w:tcBorders>
              <w:top w:val="nil"/>
              <w:left w:val="nil"/>
              <w:bottom w:val="nil"/>
              <w:right w:val="nil"/>
            </w:tcBorders>
            <w:shd w:val="clear" w:color="auto" w:fill="auto"/>
            <w:noWrap/>
            <w:vAlign w:val="bottom"/>
            <w:hideMark/>
          </w:tcPr>
          <w:p w14:paraId="7BE039F6"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183,373,617,000 </w:t>
            </w:r>
          </w:p>
        </w:tc>
      </w:tr>
      <w:tr w:rsidR="00A17A17" w:rsidRPr="00D369AA" w14:paraId="413E6FD6" w14:textId="77777777" w:rsidTr="00A17A17">
        <w:trPr>
          <w:trHeight w:val="300"/>
        </w:trPr>
        <w:tc>
          <w:tcPr>
            <w:tcW w:w="1940" w:type="dxa"/>
            <w:tcBorders>
              <w:top w:val="nil"/>
              <w:left w:val="nil"/>
              <w:bottom w:val="single" w:sz="4" w:space="0" w:color="auto"/>
              <w:right w:val="nil"/>
            </w:tcBorders>
            <w:shd w:val="clear" w:color="auto" w:fill="auto"/>
            <w:noWrap/>
            <w:vAlign w:val="bottom"/>
            <w:hideMark/>
          </w:tcPr>
          <w:p w14:paraId="33CE83CA"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222" w:type="dxa"/>
            <w:tcBorders>
              <w:top w:val="nil"/>
              <w:left w:val="nil"/>
              <w:bottom w:val="single" w:sz="4" w:space="0" w:color="auto"/>
              <w:right w:val="nil"/>
            </w:tcBorders>
            <w:shd w:val="clear" w:color="auto" w:fill="auto"/>
            <w:noWrap/>
            <w:vAlign w:val="bottom"/>
            <w:hideMark/>
          </w:tcPr>
          <w:p w14:paraId="14A2AA29"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w:t>
            </w:r>
          </w:p>
        </w:tc>
        <w:tc>
          <w:tcPr>
            <w:tcW w:w="1509" w:type="dxa"/>
            <w:tcBorders>
              <w:top w:val="nil"/>
              <w:left w:val="nil"/>
              <w:bottom w:val="single" w:sz="4" w:space="0" w:color="auto"/>
              <w:right w:val="nil"/>
            </w:tcBorders>
            <w:shd w:val="clear" w:color="auto" w:fill="auto"/>
            <w:noWrap/>
            <w:vAlign w:val="bottom"/>
            <w:hideMark/>
          </w:tcPr>
          <w:p w14:paraId="3F66AF33"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127" w:type="dxa"/>
            <w:tcBorders>
              <w:top w:val="nil"/>
              <w:left w:val="nil"/>
              <w:bottom w:val="single" w:sz="4" w:space="0" w:color="auto"/>
              <w:right w:val="nil"/>
            </w:tcBorders>
            <w:shd w:val="clear" w:color="auto" w:fill="auto"/>
            <w:noWrap/>
            <w:vAlign w:val="bottom"/>
            <w:hideMark/>
          </w:tcPr>
          <w:p w14:paraId="615C1C3B"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Mín. (52s.) </w:t>
            </w:r>
          </w:p>
        </w:tc>
        <w:tc>
          <w:tcPr>
            <w:tcW w:w="1273" w:type="dxa"/>
            <w:tcBorders>
              <w:top w:val="nil"/>
              <w:left w:val="nil"/>
              <w:bottom w:val="single" w:sz="4" w:space="0" w:color="auto"/>
              <w:right w:val="nil"/>
            </w:tcBorders>
            <w:shd w:val="clear" w:color="auto" w:fill="auto"/>
            <w:noWrap/>
            <w:vAlign w:val="bottom"/>
            <w:hideMark/>
          </w:tcPr>
          <w:p w14:paraId="25B3E212" w14:textId="4669A707"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6,130 </w:t>
            </w:r>
          </w:p>
        </w:tc>
        <w:tc>
          <w:tcPr>
            <w:tcW w:w="1875" w:type="dxa"/>
            <w:tcBorders>
              <w:top w:val="nil"/>
              <w:left w:val="nil"/>
              <w:bottom w:val="single" w:sz="4" w:space="0" w:color="auto"/>
              <w:right w:val="nil"/>
            </w:tcBorders>
            <w:shd w:val="clear" w:color="auto" w:fill="auto"/>
            <w:noWrap/>
            <w:vAlign w:val="bottom"/>
            <w:hideMark/>
          </w:tcPr>
          <w:p w14:paraId="00F48FD4"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113,086,546,500 </w:t>
            </w:r>
          </w:p>
        </w:tc>
      </w:tr>
      <w:tr w:rsidR="00A17A17" w:rsidRPr="00D369AA" w14:paraId="2AE60AF8" w14:textId="77777777" w:rsidTr="00A17A17">
        <w:trPr>
          <w:trHeight w:val="300"/>
        </w:trPr>
        <w:tc>
          <w:tcPr>
            <w:tcW w:w="1940" w:type="dxa"/>
            <w:tcBorders>
              <w:top w:val="nil"/>
              <w:left w:val="nil"/>
              <w:bottom w:val="nil"/>
              <w:right w:val="nil"/>
            </w:tcBorders>
            <w:shd w:val="clear" w:color="auto" w:fill="auto"/>
            <w:noWrap/>
            <w:vAlign w:val="bottom"/>
            <w:hideMark/>
          </w:tcPr>
          <w:p w14:paraId="13554AF3"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Grupo </w:t>
            </w:r>
            <w:proofErr w:type="spellStart"/>
            <w:r w:rsidRPr="00D369AA">
              <w:rPr>
                <w:rFonts w:ascii="Calibri" w:hAnsi="Calibri"/>
                <w:sz w:val="20"/>
                <w:szCs w:val="22"/>
                <w:lang w:val="es-CO" w:eastAsia="es-CO"/>
              </w:rPr>
              <w:t>Nutresa</w:t>
            </w:r>
            <w:proofErr w:type="spellEnd"/>
            <w:r w:rsidRPr="00D369AA">
              <w:rPr>
                <w:rFonts w:ascii="Calibri" w:hAnsi="Calibri"/>
                <w:sz w:val="20"/>
                <w:szCs w:val="22"/>
                <w:lang w:val="es-CO" w:eastAsia="es-CO"/>
              </w:rPr>
              <w:t xml:space="preserve"> S.A.</w:t>
            </w:r>
          </w:p>
        </w:tc>
        <w:tc>
          <w:tcPr>
            <w:tcW w:w="1222" w:type="dxa"/>
            <w:tcBorders>
              <w:top w:val="nil"/>
              <w:left w:val="nil"/>
              <w:bottom w:val="nil"/>
              <w:right w:val="nil"/>
            </w:tcBorders>
            <w:shd w:val="clear" w:color="auto" w:fill="auto"/>
            <w:noWrap/>
            <w:vAlign w:val="bottom"/>
            <w:hideMark/>
          </w:tcPr>
          <w:p w14:paraId="4A2901ED"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0.001%</w:t>
            </w:r>
          </w:p>
        </w:tc>
        <w:tc>
          <w:tcPr>
            <w:tcW w:w="1509" w:type="dxa"/>
            <w:tcBorders>
              <w:top w:val="nil"/>
              <w:left w:val="nil"/>
              <w:bottom w:val="nil"/>
              <w:right w:val="nil"/>
            </w:tcBorders>
            <w:shd w:val="clear" w:color="auto" w:fill="auto"/>
            <w:noWrap/>
            <w:vAlign w:val="bottom"/>
            <w:hideMark/>
          </w:tcPr>
          <w:p w14:paraId="223BBD09" w14:textId="7BF18600"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223 </w:t>
            </w:r>
          </w:p>
        </w:tc>
        <w:tc>
          <w:tcPr>
            <w:tcW w:w="1127" w:type="dxa"/>
            <w:tcBorders>
              <w:top w:val="nil"/>
              <w:left w:val="nil"/>
              <w:bottom w:val="nil"/>
              <w:right w:val="nil"/>
            </w:tcBorders>
            <w:shd w:val="clear" w:color="auto" w:fill="auto"/>
            <w:noWrap/>
            <w:vAlign w:val="bottom"/>
            <w:hideMark/>
          </w:tcPr>
          <w:p w14:paraId="68CFD73C"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Cierre </w:t>
            </w:r>
          </w:p>
        </w:tc>
        <w:tc>
          <w:tcPr>
            <w:tcW w:w="1273" w:type="dxa"/>
            <w:tcBorders>
              <w:top w:val="nil"/>
              <w:left w:val="nil"/>
              <w:bottom w:val="nil"/>
              <w:right w:val="nil"/>
            </w:tcBorders>
            <w:shd w:val="clear" w:color="auto" w:fill="auto"/>
            <w:noWrap/>
            <w:vAlign w:val="bottom"/>
            <w:hideMark/>
          </w:tcPr>
          <w:p w14:paraId="08811841" w14:textId="5BD6BEE2"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25,700 </w:t>
            </w:r>
          </w:p>
        </w:tc>
        <w:tc>
          <w:tcPr>
            <w:tcW w:w="1875" w:type="dxa"/>
            <w:tcBorders>
              <w:top w:val="nil"/>
              <w:left w:val="nil"/>
              <w:bottom w:val="nil"/>
              <w:right w:val="nil"/>
            </w:tcBorders>
            <w:shd w:val="clear" w:color="auto" w:fill="auto"/>
            <w:noWrap/>
            <w:vAlign w:val="bottom"/>
            <w:hideMark/>
          </w:tcPr>
          <w:p w14:paraId="5B8C27F7"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5,731,100 </w:t>
            </w:r>
          </w:p>
        </w:tc>
      </w:tr>
      <w:tr w:rsidR="00A17A17" w:rsidRPr="00D369AA" w14:paraId="68698CFF" w14:textId="77777777" w:rsidTr="00A17A17">
        <w:trPr>
          <w:trHeight w:val="300"/>
        </w:trPr>
        <w:tc>
          <w:tcPr>
            <w:tcW w:w="1940" w:type="dxa"/>
            <w:tcBorders>
              <w:top w:val="nil"/>
              <w:left w:val="nil"/>
              <w:bottom w:val="nil"/>
              <w:right w:val="nil"/>
            </w:tcBorders>
            <w:shd w:val="clear" w:color="auto" w:fill="auto"/>
            <w:noWrap/>
            <w:vAlign w:val="bottom"/>
            <w:hideMark/>
          </w:tcPr>
          <w:p w14:paraId="563F9692" w14:textId="77777777" w:rsidR="00A17A17" w:rsidRPr="00D369AA" w:rsidRDefault="00A17A17" w:rsidP="00A17A17">
            <w:pPr>
              <w:suppressAutoHyphens w:val="0"/>
              <w:spacing w:after="0"/>
              <w:jc w:val="left"/>
              <w:rPr>
                <w:rFonts w:ascii="Calibri" w:hAnsi="Calibri"/>
                <w:sz w:val="20"/>
                <w:szCs w:val="22"/>
                <w:lang w:val="es-CO" w:eastAsia="es-CO"/>
              </w:rPr>
            </w:pPr>
          </w:p>
        </w:tc>
        <w:tc>
          <w:tcPr>
            <w:tcW w:w="1222" w:type="dxa"/>
            <w:tcBorders>
              <w:top w:val="nil"/>
              <w:left w:val="nil"/>
              <w:bottom w:val="nil"/>
              <w:right w:val="nil"/>
            </w:tcBorders>
            <w:shd w:val="clear" w:color="auto" w:fill="auto"/>
            <w:noWrap/>
            <w:vAlign w:val="bottom"/>
            <w:hideMark/>
          </w:tcPr>
          <w:p w14:paraId="60804E02" w14:textId="77777777" w:rsidR="00A17A17" w:rsidRPr="00D369AA" w:rsidRDefault="00A17A17" w:rsidP="00A17A17">
            <w:pPr>
              <w:suppressAutoHyphens w:val="0"/>
              <w:spacing w:after="0"/>
              <w:jc w:val="right"/>
              <w:rPr>
                <w:rFonts w:ascii="Calibri" w:hAnsi="Calibri"/>
                <w:sz w:val="20"/>
                <w:szCs w:val="22"/>
                <w:lang w:val="es-CO" w:eastAsia="es-CO"/>
              </w:rPr>
            </w:pPr>
          </w:p>
        </w:tc>
        <w:tc>
          <w:tcPr>
            <w:tcW w:w="1509" w:type="dxa"/>
            <w:tcBorders>
              <w:top w:val="nil"/>
              <w:left w:val="nil"/>
              <w:bottom w:val="nil"/>
              <w:right w:val="nil"/>
            </w:tcBorders>
            <w:shd w:val="clear" w:color="auto" w:fill="auto"/>
            <w:noWrap/>
            <w:vAlign w:val="bottom"/>
            <w:hideMark/>
          </w:tcPr>
          <w:p w14:paraId="353D7CF1" w14:textId="77777777" w:rsidR="00A17A17" w:rsidRPr="00D369AA" w:rsidRDefault="00A17A17" w:rsidP="00A17A17">
            <w:pPr>
              <w:suppressAutoHyphens w:val="0"/>
              <w:spacing w:after="0"/>
              <w:jc w:val="left"/>
              <w:rPr>
                <w:rFonts w:ascii="Calibri" w:hAnsi="Calibri"/>
                <w:sz w:val="20"/>
                <w:szCs w:val="22"/>
                <w:lang w:val="es-CO" w:eastAsia="es-CO"/>
              </w:rPr>
            </w:pPr>
          </w:p>
        </w:tc>
        <w:tc>
          <w:tcPr>
            <w:tcW w:w="1127" w:type="dxa"/>
            <w:tcBorders>
              <w:top w:val="nil"/>
              <w:left w:val="nil"/>
              <w:bottom w:val="nil"/>
              <w:right w:val="nil"/>
            </w:tcBorders>
            <w:shd w:val="clear" w:color="auto" w:fill="auto"/>
            <w:noWrap/>
            <w:vAlign w:val="bottom"/>
            <w:hideMark/>
          </w:tcPr>
          <w:p w14:paraId="12EEF7B4"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Máx. (52s.) </w:t>
            </w:r>
          </w:p>
        </w:tc>
        <w:tc>
          <w:tcPr>
            <w:tcW w:w="1273" w:type="dxa"/>
            <w:tcBorders>
              <w:top w:val="nil"/>
              <w:left w:val="nil"/>
              <w:bottom w:val="nil"/>
              <w:right w:val="nil"/>
            </w:tcBorders>
            <w:shd w:val="clear" w:color="auto" w:fill="auto"/>
            <w:noWrap/>
            <w:vAlign w:val="bottom"/>
            <w:hideMark/>
          </w:tcPr>
          <w:p w14:paraId="74A1792C" w14:textId="526855E5"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26,460 </w:t>
            </w:r>
          </w:p>
        </w:tc>
        <w:tc>
          <w:tcPr>
            <w:tcW w:w="1875" w:type="dxa"/>
            <w:tcBorders>
              <w:top w:val="nil"/>
              <w:left w:val="nil"/>
              <w:bottom w:val="nil"/>
              <w:right w:val="nil"/>
            </w:tcBorders>
            <w:shd w:val="clear" w:color="auto" w:fill="auto"/>
            <w:noWrap/>
            <w:vAlign w:val="bottom"/>
            <w:hideMark/>
          </w:tcPr>
          <w:p w14:paraId="71B28371"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5,900,580 </w:t>
            </w:r>
          </w:p>
        </w:tc>
      </w:tr>
      <w:tr w:rsidR="00A17A17" w:rsidRPr="00D369AA" w14:paraId="666A1B2C" w14:textId="77777777" w:rsidTr="00A17A17">
        <w:trPr>
          <w:trHeight w:val="300"/>
        </w:trPr>
        <w:tc>
          <w:tcPr>
            <w:tcW w:w="1940" w:type="dxa"/>
            <w:tcBorders>
              <w:top w:val="nil"/>
              <w:left w:val="nil"/>
              <w:bottom w:val="nil"/>
              <w:right w:val="nil"/>
            </w:tcBorders>
            <w:shd w:val="clear" w:color="auto" w:fill="auto"/>
            <w:noWrap/>
            <w:vAlign w:val="bottom"/>
            <w:hideMark/>
          </w:tcPr>
          <w:p w14:paraId="3452F1B9" w14:textId="77777777" w:rsidR="00A17A17" w:rsidRPr="00D369AA" w:rsidRDefault="00A17A17" w:rsidP="00A17A17">
            <w:pPr>
              <w:suppressAutoHyphens w:val="0"/>
              <w:spacing w:after="0"/>
              <w:jc w:val="left"/>
              <w:rPr>
                <w:rFonts w:ascii="Calibri" w:hAnsi="Calibri"/>
                <w:sz w:val="20"/>
                <w:szCs w:val="22"/>
                <w:lang w:val="es-CO" w:eastAsia="es-CO"/>
              </w:rPr>
            </w:pPr>
          </w:p>
        </w:tc>
        <w:tc>
          <w:tcPr>
            <w:tcW w:w="1222" w:type="dxa"/>
            <w:tcBorders>
              <w:top w:val="nil"/>
              <w:left w:val="nil"/>
              <w:bottom w:val="nil"/>
              <w:right w:val="nil"/>
            </w:tcBorders>
            <w:shd w:val="clear" w:color="auto" w:fill="auto"/>
            <w:noWrap/>
            <w:vAlign w:val="bottom"/>
            <w:hideMark/>
          </w:tcPr>
          <w:p w14:paraId="6D100CF0" w14:textId="77777777" w:rsidR="00A17A17" w:rsidRPr="00D369AA" w:rsidRDefault="00A17A17" w:rsidP="00A17A17">
            <w:pPr>
              <w:suppressAutoHyphens w:val="0"/>
              <w:spacing w:after="0"/>
              <w:jc w:val="right"/>
              <w:rPr>
                <w:rFonts w:ascii="Calibri" w:hAnsi="Calibri"/>
                <w:sz w:val="20"/>
                <w:szCs w:val="22"/>
                <w:lang w:val="es-CO" w:eastAsia="es-CO"/>
              </w:rPr>
            </w:pPr>
          </w:p>
        </w:tc>
        <w:tc>
          <w:tcPr>
            <w:tcW w:w="1509" w:type="dxa"/>
            <w:tcBorders>
              <w:top w:val="nil"/>
              <w:left w:val="nil"/>
              <w:bottom w:val="nil"/>
              <w:right w:val="nil"/>
            </w:tcBorders>
            <w:shd w:val="clear" w:color="auto" w:fill="auto"/>
            <w:noWrap/>
            <w:vAlign w:val="bottom"/>
            <w:hideMark/>
          </w:tcPr>
          <w:p w14:paraId="1BCD3F03" w14:textId="77777777" w:rsidR="00A17A17" w:rsidRPr="00D369AA" w:rsidRDefault="00A17A17" w:rsidP="00A17A17">
            <w:pPr>
              <w:suppressAutoHyphens w:val="0"/>
              <w:spacing w:after="0"/>
              <w:jc w:val="left"/>
              <w:rPr>
                <w:rFonts w:ascii="Calibri" w:hAnsi="Calibri"/>
                <w:sz w:val="20"/>
                <w:szCs w:val="22"/>
                <w:lang w:val="es-CO" w:eastAsia="es-CO"/>
              </w:rPr>
            </w:pPr>
          </w:p>
        </w:tc>
        <w:tc>
          <w:tcPr>
            <w:tcW w:w="1127" w:type="dxa"/>
            <w:tcBorders>
              <w:top w:val="nil"/>
              <w:left w:val="nil"/>
              <w:bottom w:val="nil"/>
              <w:right w:val="nil"/>
            </w:tcBorders>
            <w:shd w:val="clear" w:color="auto" w:fill="auto"/>
            <w:noWrap/>
            <w:vAlign w:val="bottom"/>
            <w:hideMark/>
          </w:tcPr>
          <w:p w14:paraId="2BF71841"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Mín. (52s.) </w:t>
            </w:r>
          </w:p>
        </w:tc>
        <w:tc>
          <w:tcPr>
            <w:tcW w:w="1273" w:type="dxa"/>
            <w:tcBorders>
              <w:top w:val="nil"/>
              <w:left w:val="nil"/>
              <w:bottom w:val="nil"/>
              <w:right w:val="nil"/>
            </w:tcBorders>
            <w:shd w:val="clear" w:color="auto" w:fill="auto"/>
            <w:noWrap/>
            <w:vAlign w:val="bottom"/>
            <w:hideMark/>
          </w:tcPr>
          <w:p w14:paraId="416A3800" w14:textId="218EDCF6"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19,500 </w:t>
            </w:r>
          </w:p>
        </w:tc>
        <w:tc>
          <w:tcPr>
            <w:tcW w:w="1875" w:type="dxa"/>
            <w:tcBorders>
              <w:top w:val="nil"/>
              <w:left w:val="nil"/>
              <w:bottom w:val="nil"/>
              <w:right w:val="nil"/>
            </w:tcBorders>
            <w:shd w:val="clear" w:color="auto" w:fill="auto"/>
            <w:noWrap/>
            <w:vAlign w:val="bottom"/>
            <w:hideMark/>
          </w:tcPr>
          <w:p w14:paraId="22F32F4B"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4,348,500 </w:t>
            </w:r>
          </w:p>
        </w:tc>
      </w:tr>
      <w:tr w:rsidR="00A17A17" w:rsidRPr="00D369AA" w14:paraId="3B72FF83" w14:textId="77777777" w:rsidTr="00A17A17">
        <w:trPr>
          <w:trHeight w:val="300"/>
        </w:trPr>
        <w:tc>
          <w:tcPr>
            <w:tcW w:w="1940" w:type="dxa"/>
            <w:tcBorders>
              <w:top w:val="single" w:sz="4" w:space="0" w:color="auto"/>
              <w:left w:val="nil"/>
              <w:bottom w:val="nil"/>
              <w:right w:val="nil"/>
            </w:tcBorders>
            <w:shd w:val="clear" w:color="auto" w:fill="auto"/>
            <w:noWrap/>
            <w:vAlign w:val="bottom"/>
            <w:hideMark/>
          </w:tcPr>
          <w:p w14:paraId="0FA15967"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Banco Popular S.A.</w:t>
            </w:r>
          </w:p>
        </w:tc>
        <w:tc>
          <w:tcPr>
            <w:tcW w:w="1222" w:type="dxa"/>
            <w:tcBorders>
              <w:top w:val="single" w:sz="4" w:space="0" w:color="auto"/>
              <w:left w:val="nil"/>
              <w:bottom w:val="nil"/>
              <w:right w:val="nil"/>
            </w:tcBorders>
            <w:shd w:val="clear" w:color="auto" w:fill="auto"/>
            <w:noWrap/>
            <w:vAlign w:val="bottom"/>
            <w:hideMark/>
          </w:tcPr>
          <w:p w14:paraId="3BEF85E8"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0.11%</w:t>
            </w:r>
          </w:p>
        </w:tc>
        <w:tc>
          <w:tcPr>
            <w:tcW w:w="1509" w:type="dxa"/>
            <w:tcBorders>
              <w:top w:val="single" w:sz="4" w:space="0" w:color="auto"/>
              <w:left w:val="nil"/>
              <w:bottom w:val="nil"/>
              <w:right w:val="nil"/>
            </w:tcBorders>
            <w:shd w:val="clear" w:color="auto" w:fill="auto"/>
            <w:noWrap/>
            <w:vAlign w:val="bottom"/>
            <w:hideMark/>
          </w:tcPr>
          <w:p w14:paraId="6EF0E5AD" w14:textId="4D087D6F"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8,772,703 </w:t>
            </w:r>
          </w:p>
        </w:tc>
        <w:tc>
          <w:tcPr>
            <w:tcW w:w="1127" w:type="dxa"/>
            <w:tcBorders>
              <w:top w:val="single" w:sz="4" w:space="0" w:color="auto"/>
              <w:left w:val="nil"/>
              <w:bottom w:val="nil"/>
              <w:right w:val="nil"/>
            </w:tcBorders>
            <w:shd w:val="clear" w:color="auto" w:fill="auto"/>
            <w:noWrap/>
            <w:vAlign w:val="bottom"/>
            <w:hideMark/>
          </w:tcPr>
          <w:p w14:paraId="2AA81A3B"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Cierre </w:t>
            </w:r>
          </w:p>
        </w:tc>
        <w:tc>
          <w:tcPr>
            <w:tcW w:w="1273" w:type="dxa"/>
            <w:tcBorders>
              <w:top w:val="single" w:sz="4" w:space="0" w:color="auto"/>
              <w:left w:val="nil"/>
              <w:bottom w:val="nil"/>
              <w:right w:val="nil"/>
            </w:tcBorders>
            <w:shd w:val="clear" w:color="auto" w:fill="auto"/>
            <w:noWrap/>
            <w:vAlign w:val="bottom"/>
            <w:hideMark/>
          </w:tcPr>
          <w:p w14:paraId="0E0310FE" w14:textId="79353D6D"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489 </w:t>
            </w:r>
          </w:p>
        </w:tc>
        <w:tc>
          <w:tcPr>
            <w:tcW w:w="1875" w:type="dxa"/>
            <w:tcBorders>
              <w:top w:val="single" w:sz="4" w:space="0" w:color="auto"/>
              <w:left w:val="nil"/>
              <w:bottom w:val="nil"/>
              <w:right w:val="nil"/>
            </w:tcBorders>
            <w:shd w:val="clear" w:color="auto" w:fill="auto"/>
            <w:noWrap/>
            <w:vAlign w:val="bottom"/>
            <w:hideMark/>
          </w:tcPr>
          <w:p w14:paraId="26AFA5A9"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4,289,851,767 </w:t>
            </w:r>
          </w:p>
        </w:tc>
      </w:tr>
      <w:tr w:rsidR="00A17A17" w:rsidRPr="00D369AA" w14:paraId="439B39DB" w14:textId="77777777" w:rsidTr="00A17A17">
        <w:trPr>
          <w:trHeight w:val="300"/>
        </w:trPr>
        <w:tc>
          <w:tcPr>
            <w:tcW w:w="1940" w:type="dxa"/>
            <w:tcBorders>
              <w:top w:val="nil"/>
              <w:left w:val="nil"/>
              <w:bottom w:val="nil"/>
              <w:right w:val="nil"/>
            </w:tcBorders>
            <w:shd w:val="clear" w:color="auto" w:fill="auto"/>
            <w:noWrap/>
            <w:vAlign w:val="bottom"/>
            <w:hideMark/>
          </w:tcPr>
          <w:p w14:paraId="45C12A7E" w14:textId="77777777" w:rsidR="00A17A17" w:rsidRPr="00D369AA" w:rsidRDefault="00A17A17" w:rsidP="00A17A17">
            <w:pPr>
              <w:suppressAutoHyphens w:val="0"/>
              <w:spacing w:after="0"/>
              <w:jc w:val="left"/>
              <w:rPr>
                <w:rFonts w:ascii="Calibri" w:hAnsi="Calibri"/>
                <w:sz w:val="20"/>
                <w:szCs w:val="22"/>
                <w:lang w:val="es-CO" w:eastAsia="es-CO"/>
              </w:rPr>
            </w:pPr>
          </w:p>
        </w:tc>
        <w:tc>
          <w:tcPr>
            <w:tcW w:w="1222" w:type="dxa"/>
            <w:tcBorders>
              <w:top w:val="nil"/>
              <w:left w:val="nil"/>
              <w:bottom w:val="nil"/>
              <w:right w:val="nil"/>
            </w:tcBorders>
            <w:shd w:val="clear" w:color="auto" w:fill="auto"/>
            <w:noWrap/>
            <w:vAlign w:val="bottom"/>
            <w:hideMark/>
          </w:tcPr>
          <w:p w14:paraId="1E87FED0" w14:textId="77777777" w:rsidR="00A17A17" w:rsidRPr="00D369AA" w:rsidRDefault="00A17A17" w:rsidP="00A17A17">
            <w:pPr>
              <w:suppressAutoHyphens w:val="0"/>
              <w:spacing w:after="0"/>
              <w:jc w:val="right"/>
              <w:rPr>
                <w:rFonts w:ascii="Calibri" w:hAnsi="Calibri"/>
                <w:sz w:val="20"/>
                <w:szCs w:val="22"/>
                <w:lang w:val="es-CO" w:eastAsia="es-CO"/>
              </w:rPr>
            </w:pPr>
          </w:p>
        </w:tc>
        <w:tc>
          <w:tcPr>
            <w:tcW w:w="1509" w:type="dxa"/>
            <w:tcBorders>
              <w:top w:val="nil"/>
              <w:left w:val="nil"/>
              <w:bottom w:val="nil"/>
              <w:right w:val="nil"/>
            </w:tcBorders>
            <w:shd w:val="clear" w:color="auto" w:fill="auto"/>
            <w:noWrap/>
            <w:vAlign w:val="bottom"/>
            <w:hideMark/>
          </w:tcPr>
          <w:p w14:paraId="62473FA3" w14:textId="77777777" w:rsidR="00A17A17" w:rsidRPr="00D369AA" w:rsidRDefault="00A17A17" w:rsidP="00A17A17">
            <w:pPr>
              <w:suppressAutoHyphens w:val="0"/>
              <w:spacing w:after="0"/>
              <w:jc w:val="left"/>
              <w:rPr>
                <w:rFonts w:ascii="Calibri" w:hAnsi="Calibri"/>
                <w:sz w:val="20"/>
                <w:szCs w:val="22"/>
                <w:lang w:val="es-CO" w:eastAsia="es-CO"/>
              </w:rPr>
            </w:pPr>
          </w:p>
        </w:tc>
        <w:tc>
          <w:tcPr>
            <w:tcW w:w="1127" w:type="dxa"/>
            <w:tcBorders>
              <w:top w:val="nil"/>
              <w:left w:val="nil"/>
              <w:bottom w:val="nil"/>
              <w:right w:val="nil"/>
            </w:tcBorders>
            <w:shd w:val="clear" w:color="auto" w:fill="auto"/>
            <w:noWrap/>
            <w:vAlign w:val="bottom"/>
            <w:hideMark/>
          </w:tcPr>
          <w:p w14:paraId="62613464"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Máx. (52s.) </w:t>
            </w:r>
          </w:p>
        </w:tc>
        <w:tc>
          <w:tcPr>
            <w:tcW w:w="1273" w:type="dxa"/>
            <w:tcBorders>
              <w:top w:val="nil"/>
              <w:left w:val="nil"/>
              <w:bottom w:val="nil"/>
              <w:right w:val="nil"/>
            </w:tcBorders>
            <w:shd w:val="clear" w:color="auto" w:fill="auto"/>
            <w:noWrap/>
            <w:vAlign w:val="bottom"/>
            <w:hideMark/>
          </w:tcPr>
          <w:p w14:paraId="4623DAE9" w14:textId="48B7EDB5"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500 </w:t>
            </w:r>
          </w:p>
        </w:tc>
        <w:tc>
          <w:tcPr>
            <w:tcW w:w="1875" w:type="dxa"/>
            <w:tcBorders>
              <w:top w:val="nil"/>
              <w:left w:val="nil"/>
              <w:bottom w:val="nil"/>
              <w:right w:val="nil"/>
            </w:tcBorders>
            <w:shd w:val="clear" w:color="auto" w:fill="auto"/>
            <w:noWrap/>
            <w:vAlign w:val="bottom"/>
            <w:hideMark/>
          </w:tcPr>
          <w:p w14:paraId="6891FCC6"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 4,386,351,500 </w:t>
            </w:r>
          </w:p>
        </w:tc>
      </w:tr>
      <w:tr w:rsidR="00A17A17" w:rsidRPr="00D369AA" w14:paraId="10B31FA2" w14:textId="77777777" w:rsidTr="00A17A17">
        <w:trPr>
          <w:trHeight w:val="300"/>
        </w:trPr>
        <w:tc>
          <w:tcPr>
            <w:tcW w:w="1940" w:type="dxa"/>
            <w:tcBorders>
              <w:top w:val="nil"/>
              <w:left w:val="nil"/>
              <w:bottom w:val="single" w:sz="4" w:space="0" w:color="auto"/>
              <w:right w:val="nil"/>
            </w:tcBorders>
            <w:shd w:val="clear" w:color="auto" w:fill="auto"/>
            <w:noWrap/>
            <w:vAlign w:val="bottom"/>
            <w:hideMark/>
          </w:tcPr>
          <w:p w14:paraId="35075F0D"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222" w:type="dxa"/>
            <w:tcBorders>
              <w:top w:val="nil"/>
              <w:left w:val="nil"/>
              <w:bottom w:val="single" w:sz="4" w:space="0" w:color="auto"/>
              <w:right w:val="nil"/>
            </w:tcBorders>
            <w:shd w:val="clear" w:color="auto" w:fill="auto"/>
            <w:noWrap/>
            <w:vAlign w:val="bottom"/>
            <w:hideMark/>
          </w:tcPr>
          <w:p w14:paraId="76D63D0D"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w:t>
            </w:r>
          </w:p>
        </w:tc>
        <w:tc>
          <w:tcPr>
            <w:tcW w:w="1509" w:type="dxa"/>
            <w:tcBorders>
              <w:top w:val="nil"/>
              <w:left w:val="nil"/>
              <w:bottom w:val="single" w:sz="4" w:space="0" w:color="auto"/>
              <w:right w:val="nil"/>
            </w:tcBorders>
            <w:shd w:val="clear" w:color="auto" w:fill="auto"/>
            <w:noWrap/>
            <w:vAlign w:val="bottom"/>
            <w:hideMark/>
          </w:tcPr>
          <w:p w14:paraId="13F118EE"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127" w:type="dxa"/>
            <w:tcBorders>
              <w:top w:val="nil"/>
              <w:left w:val="nil"/>
              <w:bottom w:val="single" w:sz="4" w:space="0" w:color="auto"/>
              <w:right w:val="nil"/>
            </w:tcBorders>
            <w:shd w:val="clear" w:color="auto" w:fill="auto"/>
            <w:noWrap/>
            <w:vAlign w:val="bottom"/>
            <w:hideMark/>
          </w:tcPr>
          <w:p w14:paraId="23562A05"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Mín. (52s.) </w:t>
            </w:r>
          </w:p>
        </w:tc>
        <w:tc>
          <w:tcPr>
            <w:tcW w:w="1273" w:type="dxa"/>
            <w:tcBorders>
              <w:top w:val="nil"/>
              <w:left w:val="nil"/>
              <w:bottom w:val="single" w:sz="4" w:space="0" w:color="auto"/>
              <w:right w:val="nil"/>
            </w:tcBorders>
            <w:shd w:val="clear" w:color="auto" w:fill="auto"/>
            <w:noWrap/>
            <w:vAlign w:val="bottom"/>
            <w:hideMark/>
          </w:tcPr>
          <w:p w14:paraId="3B96C733" w14:textId="1B0FD944"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479 </w:t>
            </w:r>
          </w:p>
        </w:tc>
        <w:tc>
          <w:tcPr>
            <w:tcW w:w="1875" w:type="dxa"/>
            <w:tcBorders>
              <w:top w:val="nil"/>
              <w:left w:val="nil"/>
              <w:bottom w:val="single" w:sz="4" w:space="0" w:color="auto"/>
              <w:right w:val="nil"/>
            </w:tcBorders>
            <w:shd w:val="clear" w:color="auto" w:fill="auto"/>
            <w:noWrap/>
            <w:vAlign w:val="bottom"/>
            <w:hideMark/>
          </w:tcPr>
          <w:p w14:paraId="2264D103"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4,202,124,737 </w:t>
            </w:r>
          </w:p>
        </w:tc>
      </w:tr>
      <w:tr w:rsidR="00A17A17" w:rsidRPr="00D369AA" w14:paraId="35529833" w14:textId="77777777" w:rsidTr="00A17A17">
        <w:trPr>
          <w:trHeight w:val="300"/>
        </w:trPr>
        <w:tc>
          <w:tcPr>
            <w:tcW w:w="1940" w:type="dxa"/>
            <w:tcBorders>
              <w:top w:val="nil"/>
              <w:left w:val="nil"/>
              <w:bottom w:val="nil"/>
              <w:right w:val="nil"/>
            </w:tcBorders>
            <w:shd w:val="clear" w:color="auto" w:fill="auto"/>
            <w:noWrap/>
            <w:vAlign w:val="bottom"/>
            <w:hideMark/>
          </w:tcPr>
          <w:p w14:paraId="42D13E87" w14:textId="77777777" w:rsidR="00A17A17" w:rsidRPr="00D369AA" w:rsidRDefault="00A17A17" w:rsidP="00A17A17">
            <w:pPr>
              <w:suppressAutoHyphens w:val="0"/>
              <w:spacing w:after="0"/>
              <w:jc w:val="left"/>
              <w:rPr>
                <w:rFonts w:ascii="Calibri" w:hAnsi="Calibri"/>
                <w:sz w:val="20"/>
                <w:szCs w:val="22"/>
                <w:lang w:val="es-CO" w:eastAsia="es-CO"/>
              </w:rPr>
            </w:pPr>
            <w:proofErr w:type="spellStart"/>
            <w:r w:rsidRPr="00D369AA">
              <w:rPr>
                <w:rFonts w:ascii="Calibri" w:hAnsi="Calibri"/>
                <w:sz w:val="20"/>
                <w:szCs w:val="22"/>
                <w:lang w:val="es-CO" w:eastAsia="es-CO"/>
              </w:rPr>
              <w:t>Promigas</w:t>
            </w:r>
            <w:proofErr w:type="spellEnd"/>
            <w:r w:rsidRPr="00D369AA">
              <w:rPr>
                <w:rFonts w:ascii="Calibri" w:hAnsi="Calibri"/>
                <w:sz w:val="20"/>
                <w:szCs w:val="22"/>
                <w:lang w:val="es-CO" w:eastAsia="es-CO"/>
              </w:rPr>
              <w:t xml:space="preserve"> S.A. E.S.P.</w:t>
            </w:r>
          </w:p>
        </w:tc>
        <w:tc>
          <w:tcPr>
            <w:tcW w:w="1222" w:type="dxa"/>
            <w:tcBorders>
              <w:top w:val="nil"/>
              <w:left w:val="nil"/>
              <w:bottom w:val="nil"/>
              <w:right w:val="nil"/>
            </w:tcBorders>
            <w:shd w:val="clear" w:color="auto" w:fill="auto"/>
            <w:noWrap/>
            <w:vAlign w:val="bottom"/>
            <w:hideMark/>
          </w:tcPr>
          <w:p w14:paraId="70588F1E"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15.64%</w:t>
            </w:r>
          </w:p>
        </w:tc>
        <w:tc>
          <w:tcPr>
            <w:tcW w:w="1509" w:type="dxa"/>
            <w:tcBorders>
              <w:top w:val="nil"/>
              <w:left w:val="nil"/>
              <w:bottom w:val="nil"/>
              <w:right w:val="nil"/>
            </w:tcBorders>
            <w:shd w:val="clear" w:color="auto" w:fill="auto"/>
            <w:noWrap/>
            <w:vAlign w:val="bottom"/>
            <w:hideMark/>
          </w:tcPr>
          <w:p w14:paraId="10775615" w14:textId="578FFCF8"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177,464,263 </w:t>
            </w:r>
          </w:p>
        </w:tc>
        <w:tc>
          <w:tcPr>
            <w:tcW w:w="1127" w:type="dxa"/>
            <w:tcBorders>
              <w:top w:val="nil"/>
              <w:left w:val="nil"/>
              <w:bottom w:val="nil"/>
              <w:right w:val="nil"/>
            </w:tcBorders>
            <w:shd w:val="clear" w:color="auto" w:fill="auto"/>
            <w:noWrap/>
            <w:vAlign w:val="bottom"/>
            <w:hideMark/>
          </w:tcPr>
          <w:p w14:paraId="4D2E118F"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Cierre </w:t>
            </w:r>
          </w:p>
        </w:tc>
        <w:tc>
          <w:tcPr>
            <w:tcW w:w="1273" w:type="dxa"/>
            <w:tcBorders>
              <w:top w:val="nil"/>
              <w:left w:val="nil"/>
              <w:bottom w:val="nil"/>
              <w:right w:val="nil"/>
            </w:tcBorders>
            <w:shd w:val="clear" w:color="auto" w:fill="auto"/>
            <w:noWrap/>
            <w:vAlign w:val="bottom"/>
            <w:hideMark/>
          </w:tcPr>
          <w:p w14:paraId="7B64820C" w14:textId="7DDA44E4"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5,500 </w:t>
            </w:r>
          </w:p>
        </w:tc>
        <w:tc>
          <w:tcPr>
            <w:tcW w:w="1875" w:type="dxa"/>
            <w:tcBorders>
              <w:top w:val="nil"/>
              <w:left w:val="nil"/>
              <w:bottom w:val="nil"/>
              <w:right w:val="nil"/>
            </w:tcBorders>
            <w:shd w:val="clear" w:color="auto" w:fill="auto"/>
            <w:noWrap/>
            <w:vAlign w:val="bottom"/>
            <w:hideMark/>
          </w:tcPr>
          <w:p w14:paraId="59DE042A"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976,053,446,500 </w:t>
            </w:r>
          </w:p>
        </w:tc>
      </w:tr>
      <w:tr w:rsidR="00A17A17" w:rsidRPr="00D369AA" w14:paraId="3FB95861" w14:textId="77777777" w:rsidTr="00A17A17">
        <w:trPr>
          <w:trHeight w:val="300"/>
        </w:trPr>
        <w:tc>
          <w:tcPr>
            <w:tcW w:w="1940" w:type="dxa"/>
            <w:tcBorders>
              <w:top w:val="nil"/>
              <w:left w:val="nil"/>
              <w:bottom w:val="nil"/>
              <w:right w:val="nil"/>
            </w:tcBorders>
            <w:shd w:val="clear" w:color="auto" w:fill="auto"/>
            <w:noWrap/>
            <w:vAlign w:val="bottom"/>
            <w:hideMark/>
          </w:tcPr>
          <w:p w14:paraId="3CA5A74E" w14:textId="77777777" w:rsidR="00A17A17" w:rsidRPr="00D369AA" w:rsidRDefault="00A17A17" w:rsidP="00A17A17">
            <w:pPr>
              <w:suppressAutoHyphens w:val="0"/>
              <w:spacing w:after="0"/>
              <w:jc w:val="left"/>
              <w:rPr>
                <w:rFonts w:ascii="Calibri" w:hAnsi="Calibri"/>
                <w:sz w:val="20"/>
                <w:szCs w:val="22"/>
                <w:lang w:val="es-CO" w:eastAsia="es-CO"/>
              </w:rPr>
            </w:pPr>
          </w:p>
        </w:tc>
        <w:tc>
          <w:tcPr>
            <w:tcW w:w="1222" w:type="dxa"/>
            <w:tcBorders>
              <w:top w:val="nil"/>
              <w:left w:val="nil"/>
              <w:bottom w:val="nil"/>
              <w:right w:val="nil"/>
            </w:tcBorders>
            <w:shd w:val="clear" w:color="auto" w:fill="auto"/>
            <w:noWrap/>
            <w:vAlign w:val="bottom"/>
            <w:hideMark/>
          </w:tcPr>
          <w:p w14:paraId="3A103FD1" w14:textId="77777777" w:rsidR="00A17A17" w:rsidRPr="00D369AA" w:rsidRDefault="00A17A17" w:rsidP="00A17A17">
            <w:pPr>
              <w:suppressAutoHyphens w:val="0"/>
              <w:spacing w:after="0"/>
              <w:jc w:val="right"/>
              <w:rPr>
                <w:rFonts w:ascii="Calibri" w:hAnsi="Calibri"/>
                <w:sz w:val="20"/>
                <w:szCs w:val="22"/>
                <w:lang w:val="es-CO" w:eastAsia="es-CO"/>
              </w:rPr>
            </w:pPr>
          </w:p>
        </w:tc>
        <w:tc>
          <w:tcPr>
            <w:tcW w:w="1509" w:type="dxa"/>
            <w:tcBorders>
              <w:top w:val="nil"/>
              <w:left w:val="nil"/>
              <w:bottom w:val="nil"/>
              <w:right w:val="nil"/>
            </w:tcBorders>
            <w:shd w:val="clear" w:color="auto" w:fill="auto"/>
            <w:noWrap/>
            <w:vAlign w:val="bottom"/>
            <w:hideMark/>
          </w:tcPr>
          <w:p w14:paraId="1C6CFEA8" w14:textId="77777777" w:rsidR="00A17A17" w:rsidRPr="00D369AA" w:rsidRDefault="00A17A17" w:rsidP="00A17A17">
            <w:pPr>
              <w:suppressAutoHyphens w:val="0"/>
              <w:spacing w:after="0"/>
              <w:jc w:val="left"/>
              <w:rPr>
                <w:rFonts w:ascii="Calibri" w:hAnsi="Calibri"/>
                <w:sz w:val="20"/>
                <w:szCs w:val="22"/>
                <w:lang w:val="es-CO" w:eastAsia="es-CO"/>
              </w:rPr>
            </w:pPr>
          </w:p>
        </w:tc>
        <w:tc>
          <w:tcPr>
            <w:tcW w:w="1127" w:type="dxa"/>
            <w:tcBorders>
              <w:top w:val="nil"/>
              <w:left w:val="nil"/>
              <w:bottom w:val="nil"/>
              <w:right w:val="nil"/>
            </w:tcBorders>
            <w:shd w:val="clear" w:color="auto" w:fill="auto"/>
            <w:noWrap/>
            <w:vAlign w:val="bottom"/>
            <w:hideMark/>
          </w:tcPr>
          <w:p w14:paraId="1C7242AF"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Máx. (52s.) </w:t>
            </w:r>
          </w:p>
        </w:tc>
        <w:tc>
          <w:tcPr>
            <w:tcW w:w="1273" w:type="dxa"/>
            <w:tcBorders>
              <w:top w:val="nil"/>
              <w:left w:val="nil"/>
              <w:bottom w:val="nil"/>
              <w:right w:val="nil"/>
            </w:tcBorders>
            <w:shd w:val="clear" w:color="auto" w:fill="auto"/>
            <w:noWrap/>
            <w:vAlign w:val="bottom"/>
            <w:hideMark/>
          </w:tcPr>
          <w:p w14:paraId="6674EA45" w14:textId="29F860BE"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5,700 </w:t>
            </w:r>
          </w:p>
        </w:tc>
        <w:tc>
          <w:tcPr>
            <w:tcW w:w="1875" w:type="dxa"/>
            <w:tcBorders>
              <w:top w:val="nil"/>
              <w:left w:val="nil"/>
              <w:bottom w:val="nil"/>
              <w:right w:val="nil"/>
            </w:tcBorders>
            <w:shd w:val="clear" w:color="auto" w:fill="auto"/>
            <w:noWrap/>
            <w:vAlign w:val="bottom"/>
            <w:hideMark/>
          </w:tcPr>
          <w:p w14:paraId="2E4C49D6"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1,011,546,299,100 </w:t>
            </w:r>
          </w:p>
        </w:tc>
      </w:tr>
      <w:tr w:rsidR="00A17A17" w:rsidRPr="00D369AA" w14:paraId="409D3677" w14:textId="77777777" w:rsidTr="00A17A17">
        <w:trPr>
          <w:trHeight w:val="300"/>
        </w:trPr>
        <w:tc>
          <w:tcPr>
            <w:tcW w:w="1940" w:type="dxa"/>
            <w:tcBorders>
              <w:top w:val="nil"/>
              <w:left w:val="nil"/>
              <w:bottom w:val="single" w:sz="4" w:space="0" w:color="auto"/>
              <w:right w:val="nil"/>
            </w:tcBorders>
            <w:shd w:val="clear" w:color="auto" w:fill="auto"/>
            <w:noWrap/>
            <w:vAlign w:val="bottom"/>
            <w:hideMark/>
          </w:tcPr>
          <w:p w14:paraId="44805F93"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222" w:type="dxa"/>
            <w:tcBorders>
              <w:top w:val="nil"/>
              <w:left w:val="nil"/>
              <w:bottom w:val="single" w:sz="4" w:space="0" w:color="auto"/>
              <w:right w:val="nil"/>
            </w:tcBorders>
            <w:shd w:val="clear" w:color="auto" w:fill="auto"/>
            <w:noWrap/>
            <w:vAlign w:val="bottom"/>
            <w:hideMark/>
          </w:tcPr>
          <w:p w14:paraId="0BDF582E"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w:t>
            </w:r>
          </w:p>
        </w:tc>
        <w:tc>
          <w:tcPr>
            <w:tcW w:w="1509" w:type="dxa"/>
            <w:tcBorders>
              <w:top w:val="nil"/>
              <w:left w:val="nil"/>
              <w:bottom w:val="single" w:sz="4" w:space="0" w:color="auto"/>
              <w:right w:val="nil"/>
            </w:tcBorders>
            <w:shd w:val="clear" w:color="auto" w:fill="auto"/>
            <w:noWrap/>
            <w:vAlign w:val="bottom"/>
            <w:hideMark/>
          </w:tcPr>
          <w:p w14:paraId="1246A505"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w:t>
            </w:r>
          </w:p>
        </w:tc>
        <w:tc>
          <w:tcPr>
            <w:tcW w:w="1127" w:type="dxa"/>
            <w:tcBorders>
              <w:top w:val="nil"/>
              <w:left w:val="nil"/>
              <w:bottom w:val="single" w:sz="4" w:space="0" w:color="auto"/>
              <w:right w:val="nil"/>
            </w:tcBorders>
            <w:shd w:val="clear" w:color="auto" w:fill="auto"/>
            <w:noWrap/>
            <w:vAlign w:val="bottom"/>
            <w:hideMark/>
          </w:tcPr>
          <w:p w14:paraId="3B356F28" w14:textId="77777777" w:rsidR="00A17A17" w:rsidRPr="00D369AA" w:rsidRDefault="00A17A17"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Mín. (52s.) </w:t>
            </w:r>
          </w:p>
        </w:tc>
        <w:tc>
          <w:tcPr>
            <w:tcW w:w="1273" w:type="dxa"/>
            <w:tcBorders>
              <w:top w:val="nil"/>
              <w:left w:val="nil"/>
              <w:bottom w:val="single" w:sz="4" w:space="0" w:color="auto"/>
              <w:right w:val="nil"/>
            </w:tcBorders>
            <w:shd w:val="clear" w:color="auto" w:fill="auto"/>
            <w:noWrap/>
            <w:vAlign w:val="bottom"/>
            <w:hideMark/>
          </w:tcPr>
          <w:p w14:paraId="0BF6302B" w14:textId="0E4E7950" w:rsidR="00A17A17" w:rsidRPr="00D369AA" w:rsidRDefault="003E7D32" w:rsidP="00A17A17">
            <w:pPr>
              <w:suppressAutoHyphens w:val="0"/>
              <w:spacing w:after="0"/>
              <w:jc w:val="left"/>
              <w:rPr>
                <w:rFonts w:ascii="Calibri" w:hAnsi="Calibri"/>
                <w:sz w:val="20"/>
                <w:szCs w:val="22"/>
                <w:lang w:val="es-CO" w:eastAsia="es-CO"/>
              </w:rPr>
            </w:pPr>
            <w:r w:rsidRPr="00D369AA">
              <w:rPr>
                <w:rFonts w:ascii="Calibri" w:hAnsi="Calibri"/>
                <w:sz w:val="20"/>
                <w:szCs w:val="22"/>
                <w:lang w:val="es-CO" w:eastAsia="es-CO"/>
              </w:rPr>
              <w:t xml:space="preserve"> </w:t>
            </w:r>
            <w:r w:rsidR="00A17A17" w:rsidRPr="00D369AA">
              <w:rPr>
                <w:rFonts w:ascii="Calibri" w:hAnsi="Calibri"/>
                <w:sz w:val="20"/>
                <w:szCs w:val="22"/>
                <w:lang w:val="es-CO" w:eastAsia="es-CO"/>
              </w:rPr>
              <w:t xml:space="preserve">4,500 </w:t>
            </w:r>
          </w:p>
        </w:tc>
        <w:tc>
          <w:tcPr>
            <w:tcW w:w="1875" w:type="dxa"/>
            <w:tcBorders>
              <w:top w:val="nil"/>
              <w:left w:val="nil"/>
              <w:bottom w:val="single" w:sz="4" w:space="0" w:color="auto"/>
              <w:right w:val="nil"/>
            </w:tcBorders>
            <w:shd w:val="clear" w:color="auto" w:fill="auto"/>
            <w:noWrap/>
            <w:vAlign w:val="bottom"/>
            <w:hideMark/>
          </w:tcPr>
          <w:p w14:paraId="7EA2A4E7" w14:textId="77777777" w:rsidR="00A17A17" w:rsidRPr="00D369AA" w:rsidRDefault="00A17A17" w:rsidP="00A17A17">
            <w:pPr>
              <w:suppressAutoHyphens w:val="0"/>
              <w:spacing w:after="0"/>
              <w:jc w:val="right"/>
              <w:rPr>
                <w:rFonts w:ascii="Calibri" w:hAnsi="Calibri"/>
                <w:sz w:val="20"/>
                <w:szCs w:val="22"/>
                <w:lang w:val="es-CO" w:eastAsia="es-CO"/>
              </w:rPr>
            </w:pPr>
            <w:r w:rsidRPr="00D369AA">
              <w:rPr>
                <w:rFonts w:ascii="Calibri" w:hAnsi="Calibri"/>
                <w:sz w:val="20"/>
                <w:szCs w:val="22"/>
                <w:lang w:val="es-CO" w:eastAsia="es-CO"/>
              </w:rPr>
              <w:t xml:space="preserve">798,589,183,500 </w:t>
            </w:r>
          </w:p>
        </w:tc>
      </w:tr>
    </w:tbl>
    <w:p w14:paraId="6A3F5981" w14:textId="50F55231" w:rsidR="00F05E8F" w:rsidRPr="00D369AA" w:rsidRDefault="00F05E8F" w:rsidP="0002495C">
      <w:pPr>
        <w:pStyle w:val="Citadestacada"/>
        <w:rPr>
          <w:lang w:val="es-CO"/>
        </w:rPr>
      </w:pPr>
      <w:r w:rsidRPr="00D369AA">
        <w:rPr>
          <w:lang w:val="es-CO"/>
        </w:rPr>
        <w:t>Fuente: Elaboración propia con base en</w:t>
      </w:r>
      <w:r w:rsidR="003E7D32" w:rsidRPr="00D369AA">
        <w:rPr>
          <w:lang w:val="es-CO"/>
        </w:rPr>
        <w:t xml:space="preserve"> </w:t>
      </w:r>
      <w:r w:rsidR="00E0440E" w:rsidRPr="00D369AA">
        <w:rPr>
          <w:lang w:val="es-CO"/>
        </w:rPr>
        <w:t xml:space="preserve">precios de la acción, tablas </w:t>
      </w:r>
      <w:r w:rsidR="00A17A17" w:rsidRPr="00D369AA">
        <w:rPr>
          <w:lang w:val="es-CO"/>
        </w:rPr>
        <w:t xml:space="preserve">capitalización bursátil – Estudios técnicos PA – </w:t>
      </w:r>
      <w:r w:rsidR="00D369AA" w:rsidRPr="00D369AA">
        <w:rPr>
          <w:lang w:val="es-CO"/>
        </w:rPr>
        <w:t>472.</w:t>
      </w:r>
      <w:r w:rsidRPr="00D369AA">
        <w:rPr>
          <w:lang w:val="es-CO"/>
        </w:rPr>
        <w:t xml:space="preserve"> </w:t>
      </w:r>
    </w:p>
    <w:p w14:paraId="598503DB" w14:textId="77777777" w:rsidR="00F05E8F" w:rsidRPr="00D369AA" w:rsidRDefault="00F05E8F" w:rsidP="00F05E8F">
      <w:pPr>
        <w:ind w:right="51"/>
        <w:rPr>
          <w:b/>
          <w:bCs/>
          <w:szCs w:val="24"/>
          <w:lang w:val="es-CO"/>
        </w:rPr>
      </w:pPr>
    </w:p>
    <w:p w14:paraId="5EF1CE9C" w14:textId="77777777" w:rsidR="00F05E8F" w:rsidRPr="00D369AA" w:rsidRDefault="00F05E8F" w:rsidP="00F05E8F">
      <w:pPr>
        <w:pStyle w:val="Ttulo2"/>
        <w:rPr>
          <w:lang w:val="es-CO"/>
        </w:rPr>
      </w:pPr>
      <w:r w:rsidRPr="00D369AA">
        <w:rPr>
          <w:lang w:val="es-CO"/>
        </w:rPr>
        <w:t>Participación accionaria minoritaria de la Empresa de Energía de Bogotá S.A. E.S.P.</w:t>
      </w:r>
    </w:p>
    <w:p w14:paraId="7D901FA5" w14:textId="77777777" w:rsidR="00F05E8F" w:rsidRPr="00D369AA" w:rsidRDefault="00F05E8F" w:rsidP="00D169C0">
      <w:pPr>
        <w:rPr>
          <w:lang w:val="es-CO" w:eastAsia="es-CO"/>
        </w:rPr>
      </w:pPr>
      <w:r w:rsidRPr="00D369AA">
        <w:rPr>
          <w:lang w:val="es-CO"/>
        </w:rPr>
        <w:t xml:space="preserve">Actualmente la EEB S.A. E.S.P posee una condición de accionista minoritario en las empresas </w:t>
      </w:r>
      <w:r w:rsidRPr="00D369AA">
        <w:rPr>
          <w:lang w:val="es-CO" w:eastAsia="es-CO"/>
        </w:rPr>
        <w:t xml:space="preserve">Interconexión Eléctrica S.A. E.S.P. – ISA-, Grupo </w:t>
      </w:r>
      <w:proofErr w:type="spellStart"/>
      <w:r w:rsidRPr="00D369AA">
        <w:rPr>
          <w:lang w:val="es-CO" w:eastAsia="es-CO"/>
        </w:rPr>
        <w:t>Nutresa</w:t>
      </w:r>
      <w:proofErr w:type="spellEnd"/>
      <w:r w:rsidRPr="00D369AA">
        <w:rPr>
          <w:lang w:val="es-CO" w:eastAsia="es-CO"/>
        </w:rPr>
        <w:t xml:space="preserve"> S.A., Banco Popular S.A.:</w:t>
      </w:r>
    </w:p>
    <w:p w14:paraId="1D1AE924" w14:textId="77777777" w:rsidR="00D169C0" w:rsidRPr="00D369AA" w:rsidRDefault="00D169C0" w:rsidP="00F05E8F">
      <w:pPr>
        <w:pStyle w:val="Prrafodelista"/>
        <w:ind w:left="720"/>
        <w:rPr>
          <w:rFonts w:cs="Arial"/>
          <w:szCs w:val="24"/>
          <w:lang w:val="es-CO"/>
        </w:rPr>
      </w:pPr>
    </w:p>
    <w:p w14:paraId="2C6EC8A5" w14:textId="73B7EB55" w:rsidR="00F05E8F" w:rsidRPr="00D369AA" w:rsidRDefault="00F05E8F" w:rsidP="00F05E8F">
      <w:pPr>
        <w:pStyle w:val="Epgrafe"/>
        <w:rPr>
          <w:bCs w:val="0"/>
          <w:szCs w:val="24"/>
          <w:lang w:val="es-CO"/>
        </w:rPr>
      </w:pPr>
      <w:r w:rsidRPr="00D369AA">
        <w:rPr>
          <w:lang w:val="es-CO"/>
        </w:rPr>
        <w:lastRenderedPageBreak/>
        <w:t>Tabla No.</w:t>
      </w:r>
      <w:r w:rsidR="003E7D32" w:rsidRPr="00D369AA">
        <w:rPr>
          <w:lang w:val="es-CO"/>
        </w:rPr>
        <w:t xml:space="preserve"> </w:t>
      </w:r>
      <w:r w:rsidR="00D2659A" w:rsidRPr="00D369AA">
        <w:rPr>
          <w:lang w:val="es-CO"/>
        </w:rPr>
        <w:fldChar w:fldCharType="begin"/>
      </w:r>
      <w:r w:rsidR="00D2659A" w:rsidRPr="00D369AA">
        <w:rPr>
          <w:lang w:val="es-CO"/>
        </w:rPr>
        <w:instrText xml:space="preserve"> SEQ Tabla_No._ \* ARABIC </w:instrText>
      </w:r>
      <w:r w:rsidR="00D2659A" w:rsidRPr="00D369AA">
        <w:rPr>
          <w:lang w:val="es-CO"/>
        </w:rPr>
        <w:fldChar w:fldCharType="separate"/>
      </w:r>
      <w:r w:rsidR="00F0704E">
        <w:rPr>
          <w:noProof/>
          <w:lang w:val="es-CO"/>
        </w:rPr>
        <w:t>1</w:t>
      </w:r>
      <w:r w:rsidR="00D2659A" w:rsidRPr="00D369AA">
        <w:rPr>
          <w:lang w:val="es-CO"/>
        </w:rPr>
        <w:fldChar w:fldCharType="end"/>
      </w:r>
      <w:r w:rsidRPr="00D369AA">
        <w:rPr>
          <w:lang w:val="es-CO"/>
        </w:rPr>
        <w:t xml:space="preserve"> </w:t>
      </w:r>
      <w:r w:rsidR="001C4279" w:rsidRPr="00D369AA">
        <w:rPr>
          <w:lang w:val="es-CO"/>
        </w:rPr>
        <w:t xml:space="preserve">- </w:t>
      </w:r>
      <w:r w:rsidRPr="00D369AA">
        <w:rPr>
          <w:lang w:val="es-CO"/>
        </w:rPr>
        <w:t xml:space="preserve">Resumen participación accionaria de EEB en ISA – </w:t>
      </w:r>
      <w:proofErr w:type="spellStart"/>
      <w:r w:rsidRPr="00D369AA">
        <w:rPr>
          <w:lang w:val="es-CO"/>
        </w:rPr>
        <w:t>Nutresa</w:t>
      </w:r>
      <w:proofErr w:type="spellEnd"/>
      <w:r w:rsidRPr="00D369AA">
        <w:rPr>
          <w:lang w:val="es-CO"/>
        </w:rPr>
        <w:t xml:space="preserve"> – Banco Popular</w:t>
      </w:r>
    </w:p>
    <w:p w14:paraId="31142F1E" w14:textId="77777777" w:rsidR="00F05E8F" w:rsidRPr="00D369AA" w:rsidRDefault="00F05E8F" w:rsidP="00F05E8F">
      <w:pPr>
        <w:pStyle w:val="Prrafodelista"/>
        <w:ind w:left="720"/>
        <w:jc w:val="center"/>
        <w:rPr>
          <w:rFonts w:cs="Arial"/>
          <w:b/>
          <w:szCs w:val="24"/>
          <w:u w:val="single"/>
          <w:lang w:val="es-CO"/>
        </w:rPr>
      </w:pPr>
      <w:r w:rsidRPr="00D369AA">
        <w:rPr>
          <w:rFonts w:cs="Arial"/>
          <w:b/>
          <w:noProof/>
          <w:szCs w:val="24"/>
          <w:u w:val="single"/>
          <w:lang w:val="es-CO" w:eastAsia="es-CO"/>
        </w:rPr>
        <w:drawing>
          <wp:inline distT="0" distB="0" distL="0" distR="0" wp14:anchorId="4611A379" wp14:editId="2DB92203">
            <wp:extent cx="3625850" cy="962025"/>
            <wp:effectExtent l="19050" t="19050" r="1270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5850" cy="962025"/>
                    </a:xfrm>
                    <a:prstGeom prst="rect">
                      <a:avLst/>
                    </a:prstGeom>
                    <a:noFill/>
                    <a:ln w="22225">
                      <a:solidFill>
                        <a:schemeClr val="tx1"/>
                      </a:solidFill>
                    </a:ln>
                  </pic:spPr>
                </pic:pic>
              </a:graphicData>
            </a:graphic>
          </wp:inline>
        </w:drawing>
      </w:r>
    </w:p>
    <w:p w14:paraId="6E606F2F" w14:textId="77777777" w:rsidR="00F05E8F" w:rsidRPr="00D369AA" w:rsidRDefault="00F05E8F" w:rsidP="00F05E8F">
      <w:pPr>
        <w:pStyle w:val="Prrafodelista"/>
        <w:ind w:left="720"/>
        <w:jc w:val="center"/>
        <w:rPr>
          <w:rFonts w:cs="Arial"/>
          <w:b/>
          <w:szCs w:val="24"/>
          <w:u w:val="single"/>
          <w:lang w:val="es-CO"/>
        </w:rPr>
      </w:pPr>
    </w:p>
    <w:p w14:paraId="04963D63" w14:textId="6E76DB9D" w:rsidR="00F05E8F" w:rsidRPr="00D369AA" w:rsidRDefault="00F05E8F" w:rsidP="00D169C0">
      <w:pPr>
        <w:rPr>
          <w:bCs/>
          <w:color w:val="auto"/>
          <w:lang w:val="es-CO"/>
        </w:rPr>
      </w:pPr>
      <w:r w:rsidRPr="00D369AA">
        <w:rPr>
          <w:lang w:val="es-CO"/>
        </w:rPr>
        <w:t>La situación de la EEB S.A. E.S.P frente a los socios controlantes de estas empresas, limita su poder de acción frente a la toma de decisiones de importancia dentro del modelo de negocio de cada empresa, sus derechos se encuentran limitados a un reparto de utilidades. Así mismo, EEB S.A. E.S.P</w:t>
      </w:r>
      <w:r w:rsidR="00332291" w:rsidRPr="00D369AA">
        <w:rPr>
          <w:lang w:val="es-CO"/>
        </w:rPr>
        <w:t>.</w:t>
      </w:r>
      <w:r w:rsidRPr="00D369AA">
        <w:rPr>
          <w:lang w:val="es-CO"/>
        </w:rPr>
        <w:t xml:space="preserve"> se encuentra expuesta a riesgos frente a la toma de cualquier tipo de decisión autónoma por parte de las juntas directivas de cualquiera de las empresas, caso como lo puede ser la de </w:t>
      </w:r>
      <w:r w:rsidRPr="00D369AA">
        <w:rPr>
          <w:bCs/>
          <w:color w:val="auto"/>
          <w:lang w:val="es-CO"/>
        </w:rPr>
        <w:t>dejar la acción por fuera del mercado, cambiar drásticamente</w:t>
      </w:r>
      <w:r w:rsidR="003E7D32" w:rsidRPr="00D369AA">
        <w:rPr>
          <w:bCs/>
          <w:color w:val="auto"/>
          <w:lang w:val="es-CO"/>
        </w:rPr>
        <w:t xml:space="preserve"> </w:t>
      </w:r>
      <w:r w:rsidRPr="00D369AA">
        <w:rPr>
          <w:bCs/>
          <w:color w:val="auto"/>
          <w:lang w:val="es-CO"/>
        </w:rPr>
        <w:t>las políticas de pagos de dividendos,</w:t>
      </w:r>
      <w:r w:rsidR="003E7D32" w:rsidRPr="00D369AA">
        <w:rPr>
          <w:bCs/>
          <w:color w:val="auto"/>
          <w:lang w:val="es-CO"/>
        </w:rPr>
        <w:t xml:space="preserve"> </w:t>
      </w:r>
      <w:r w:rsidRPr="00D369AA">
        <w:rPr>
          <w:bCs/>
          <w:color w:val="auto"/>
          <w:lang w:val="es-CO"/>
        </w:rPr>
        <w:t>vender</w:t>
      </w:r>
      <w:r w:rsidR="003E7D32" w:rsidRPr="00D369AA">
        <w:rPr>
          <w:bCs/>
          <w:color w:val="auto"/>
          <w:lang w:val="es-CO"/>
        </w:rPr>
        <w:t xml:space="preserve"> </w:t>
      </w:r>
      <w:r w:rsidRPr="00D369AA">
        <w:rPr>
          <w:bCs/>
          <w:color w:val="auto"/>
          <w:lang w:val="es-CO"/>
        </w:rPr>
        <w:t>parte de</w:t>
      </w:r>
      <w:r w:rsidR="003E7D32" w:rsidRPr="00D369AA">
        <w:rPr>
          <w:bCs/>
          <w:color w:val="auto"/>
          <w:lang w:val="es-CO"/>
        </w:rPr>
        <w:t xml:space="preserve"> </w:t>
      </w:r>
      <w:r w:rsidRPr="00D369AA">
        <w:rPr>
          <w:bCs/>
          <w:color w:val="auto"/>
          <w:lang w:val="es-CO"/>
        </w:rPr>
        <w:t xml:space="preserve">los activos o entrar en otros mercados y negocios, disposiciones autónomas de cada empresa que </w:t>
      </w:r>
      <w:r w:rsidRPr="00D369AA">
        <w:rPr>
          <w:lang w:val="es-CO"/>
        </w:rPr>
        <w:t>EEB S.A. E.S.P</w:t>
      </w:r>
      <w:r w:rsidR="00332291" w:rsidRPr="00D369AA">
        <w:rPr>
          <w:lang w:val="es-CO"/>
        </w:rPr>
        <w:t>.</w:t>
      </w:r>
      <w:r w:rsidRPr="00D369AA">
        <w:rPr>
          <w:bCs/>
          <w:color w:val="auto"/>
          <w:lang w:val="es-CO"/>
        </w:rPr>
        <w:t xml:space="preserve"> en su condición de accionista minoritario tiene</w:t>
      </w:r>
      <w:r w:rsidR="003E7D32" w:rsidRPr="00D369AA">
        <w:rPr>
          <w:bCs/>
          <w:color w:val="auto"/>
          <w:lang w:val="es-CO"/>
        </w:rPr>
        <w:t xml:space="preserve"> </w:t>
      </w:r>
      <w:r w:rsidRPr="00D369AA">
        <w:rPr>
          <w:bCs/>
          <w:color w:val="auto"/>
          <w:lang w:val="es-CO"/>
        </w:rPr>
        <w:t>escasa o nula injerencia.</w:t>
      </w:r>
    </w:p>
    <w:p w14:paraId="12BDB43E" w14:textId="4CF5CBDC" w:rsidR="00F05E8F" w:rsidRPr="00D369AA" w:rsidRDefault="00F05E8F" w:rsidP="00D169C0">
      <w:pPr>
        <w:rPr>
          <w:rStyle w:val="Textoennegrita"/>
          <w:rFonts w:cs="Arial"/>
          <w:b w:val="0"/>
          <w:szCs w:val="24"/>
          <w:lang w:val="es-CO"/>
        </w:rPr>
      </w:pPr>
      <w:r w:rsidRPr="00D369AA">
        <w:rPr>
          <w:rStyle w:val="Textoennegrita"/>
          <w:rFonts w:cs="Arial"/>
          <w:b w:val="0"/>
          <w:szCs w:val="24"/>
          <w:lang w:val="es-CO"/>
        </w:rPr>
        <w:t>EEB no puede comportarse como un administrador de participaciones</w:t>
      </w:r>
      <w:r w:rsidR="003E7D32" w:rsidRPr="00D369AA">
        <w:rPr>
          <w:rStyle w:val="Textoennegrita"/>
          <w:rFonts w:cs="Arial"/>
          <w:b w:val="0"/>
          <w:szCs w:val="24"/>
          <w:lang w:val="es-CO"/>
        </w:rPr>
        <w:t xml:space="preserve"> </w:t>
      </w:r>
      <w:r w:rsidRPr="00D369AA">
        <w:rPr>
          <w:rStyle w:val="Textoennegrita"/>
          <w:rFonts w:cs="Arial"/>
          <w:b w:val="0"/>
          <w:szCs w:val="24"/>
          <w:lang w:val="es-CO"/>
        </w:rPr>
        <w:t>accionarias minoritarias como lo hace un administrador de portafolio eficiente, carece de la eficiencia y de la simplicidad administrativa; las participaciones minoritarias le restan a EEB</w:t>
      </w:r>
      <w:r w:rsidR="003E7D32" w:rsidRPr="00D369AA">
        <w:rPr>
          <w:rStyle w:val="Textoennegrita"/>
          <w:rFonts w:cs="Arial"/>
          <w:b w:val="0"/>
          <w:szCs w:val="24"/>
          <w:lang w:val="es-CO"/>
        </w:rPr>
        <w:t xml:space="preserve"> </w:t>
      </w:r>
      <w:r w:rsidRPr="00D369AA">
        <w:rPr>
          <w:rStyle w:val="Textoennegrita"/>
          <w:rFonts w:cs="Arial"/>
          <w:b w:val="0"/>
          <w:szCs w:val="24"/>
          <w:lang w:val="es-CO"/>
        </w:rPr>
        <w:t>capacidad legal e interna para impactar la agenda de inversiones y decisiones estratégicas de las compañías</w:t>
      </w:r>
      <w:r w:rsidR="003E7D32" w:rsidRPr="00D369AA">
        <w:rPr>
          <w:rStyle w:val="Textoennegrita"/>
          <w:rFonts w:cs="Arial"/>
          <w:b w:val="0"/>
          <w:szCs w:val="24"/>
          <w:lang w:val="es-CO"/>
        </w:rPr>
        <w:t xml:space="preserve"> </w:t>
      </w:r>
      <w:r w:rsidRPr="00D369AA">
        <w:rPr>
          <w:rStyle w:val="Textoennegrita"/>
          <w:rFonts w:cs="Arial"/>
          <w:b w:val="0"/>
          <w:szCs w:val="24"/>
          <w:lang w:val="es-CO"/>
        </w:rPr>
        <w:t xml:space="preserve">como ISA; </w:t>
      </w:r>
      <w:proofErr w:type="spellStart"/>
      <w:r w:rsidRPr="00D369AA">
        <w:rPr>
          <w:rStyle w:val="Textoennegrita"/>
          <w:rFonts w:cs="Arial"/>
          <w:b w:val="0"/>
          <w:szCs w:val="24"/>
          <w:lang w:val="es-CO"/>
        </w:rPr>
        <w:t>Nutresa</w:t>
      </w:r>
      <w:proofErr w:type="spellEnd"/>
      <w:r w:rsidRPr="00D369AA">
        <w:rPr>
          <w:rStyle w:val="Textoennegrita"/>
          <w:rFonts w:cs="Arial"/>
          <w:b w:val="0"/>
          <w:szCs w:val="24"/>
          <w:lang w:val="es-CO"/>
        </w:rPr>
        <w:t>, Banco Popular</w:t>
      </w:r>
      <w:r w:rsidR="003E7D32" w:rsidRPr="00D369AA">
        <w:rPr>
          <w:rStyle w:val="Textoennegrita"/>
          <w:rFonts w:cs="Arial"/>
          <w:b w:val="0"/>
          <w:szCs w:val="24"/>
          <w:lang w:val="es-CO"/>
        </w:rPr>
        <w:t xml:space="preserve"> </w:t>
      </w:r>
      <w:r w:rsidRPr="00D369AA">
        <w:rPr>
          <w:rStyle w:val="Textoennegrita"/>
          <w:rFonts w:cs="Arial"/>
          <w:b w:val="0"/>
          <w:szCs w:val="24"/>
          <w:lang w:val="es-CO"/>
        </w:rPr>
        <w:t xml:space="preserve">e inclusive </w:t>
      </w:r>
      <w:proofErr w:type="spellStart"/>
      <w:r w:rsidRPr="00D369AA">
        <w:rPr>
          <w:rStyle w:val="Textoennegrita"/>
          <w:rFonts w:cs="Arial"/>
          <w:b w:val="0"/>
          <w:szCs w:val="24"/>
          <w:lang w:val="es-CO"/>
        </w:rPr>
        <w:t>Promigas</w:t>
      </w:r>
      <w:proofErr w:type="spellEnd"/>
      <w:r w:rsidRPr="00D369AA">
        <w:rPr>
          <w:rStyle w:val="Textoennegrita"/>
          <w:rFonts w:cs="Arial"/>
          <w:b w:val="0"/>
          <w:szCs w:val="24"/>
          <w:lang w:val="es-CO"/>
        </w:rPr>
        <w:t xml:space="preserve"> donde a pesar de tener un puesto en junta directiva no logra el umbral para determinar en las decisiones corporativas.</w:t>
      </w:r>
    </w:p>
    <w:p w14:paraId="12B8679F" w14:textId="4F0FFECC" w:rsidR="00F05E8F" w:rsidRPr="00D369AA" w:rsidRDefault="00F05E8F" w:rsidP="00D169C0">
      <w:pPr>
        <w:rPr>
          <w:lang w:val="es-CO"/>
        </w:rPr>
      </w:pPr>
      <w:r w:rsidRPr="00D369AA">
        <w:rPr>
          <w:lang w:val="es-CO"/>
        </w:rPr>
        <w:t>EEB no tiene un ordenamiento que lo lleve a intermediar mercados, o arbitrar la línea de tiempo de las acciones al comprar, inclusive le es más difícil vender</w:t>
      </w:r>
      <w:r w:rsidR="003E7D32" w:rsidRPr="00D369AA">
        <w:rPr>
          <w:lang w:val="es-CO"/>
        </w:rPr>
        <w:t xml:space="preserve"> </w:t>
      </w:r>
      <w:r w:rsidRPr="00D369AA">
        <w:rPr>
          <w:lang w:val="es-CO"/>
        </w:rPr>
        <w:t>con rapidez y eficiencia aun cuando es óptimo vender, esto</w:t>
      </w:r>
      <w:r w:rsidR="003E7D32" w:rsidRPr="00D369AA">
        <w:rPr>
          <w:lang w:val="es-CO"/>
        </w:rPr>
        <w:t xml:space="preserve"> </w:t>
      </w:r>
      <w:r w:rsidRPr="00D369AA">
        <w:rPr>
          <w:lang w:val="es-CO"/>
        </w:rPr>
        <w:t>en virtud de la naturaleza pública de su accionista mayoritario y de las leyes y procedimientos que regulan la enajenación de bienes públicos.</w:t>
      </w:r>
      <w:r w:rsidR="003E7D32" w:rsidRPr="00D369AA">
        <w:rPr>
          <w:lang w:val="es-CO"/>
        </w:rPr>
        <w:t xml:space="preserve"> </w:t>
      </w:r>
      <w:r w:rsidRPr="00D369AA">
        <w:rPr>
          <w:lang w:val="es-CO"/>
        </w:rPr>
        <w:t>Esta condición limita sustancialmente la rentabilidad de sus inversiones minoritarias o de portafolio, dejando como retorno palpable los dividendos que decreten dichas compañías, y no el acceso eficiente de la generación de caja libre de los negocios o empresas.</w:t>
      </w:r>
    </w:p>
    <w:p w14:paraId="476C01F9" w14:textId="24A522F3" w:rsidR="00F05E8F" w:rsidRPr="00D369AA" w:rsidRDefault="00F05E8F" w:rsidP="00D169C0">
      <w:pPr>
        <w:rPr>
          <w:lang w:val="es-CO"/>
        </w:rPr>
      </w:pPr>
      <w:r w:rsidRPr="00D369AA">
        <w:rPr>
          <w:lang w:val="es-CO"/>
        </w:rPr>
        <w:t xml:space="preserve">Si bien el artículo 141 de la Ley 446 de 1998, establece la protección de los accionistas minoritarios de una sociedad </w:t>
      </w:r>
      <w:r w:rsidRPr="00D369AA">
        <w:rPr>
          <w:i/>
          <w:lang w:val="es-CO"/>
        </w:rPr>
        <w:t xml:space="preserve">“Cualquier número de accionistas de una sociedad que participe en el mercado público de valores que represente una cantidad de acciones no superior al diez por ciento (10%) de las acciones en </w:t>
      </w:r>
      <w:r w:rsidRPr="00D369AA">
        <w:rPr>
          <w:i/>
          <w:lang w:val="es-CO"/>
        </w:rPr>
        <w:lastRenderedPageBreak/>
        <w:t>circulación y que no tenga representación dentro de la administración de una sociedad, podrá acudir ante la Superintendencia de Valores cuando considere que sus derechos hayan sido lesionados directa o indirectamente por las decisiones de la Asamblea General de Accionistas o de la Junta Directiva o representantes legales de la sociedad”</w:t>
      </w:r>
      <w:r w:rsidRPr="00D369AA">
        <w:rPr>
          <w:lang w:val="es-CO"/>
        </w:rPr>
        <w:t xml:space="preserve"> e indica la responsabilidad que le asiste a los representantes legales y miembros de la Junta Directiva, es de suma importancia evaluar la posibilidad de que en concordancia con la adopción de la nueva estrategia corporativa de la sociedad que se enfoca a la consolidación de la EEB S.A. E.S.P como un grupo empresarial líder en los mercados de energía y gas</w:t>
      </w:r>
      <w:r w:rsidR="005E1ECF">
        <w:rPr>
          <w:lang w:val="es-CO"/>
        </w:rPr>
        <w:t>,</w:t>
      </w:r>
      <w:r w:rsidRPr="00D369AA">
        <w:rPr>
          <w:lang w:val="es-CO"/>
        </w:rPr>
        <w:t xml:space="preserve"> se tenga la posibilidad de realizar un proceso de desinversión sobre aquellos activos no controlados que adicionalmente no están acorde con los nuevos pilares del direccionamiento estratégico de la empresa.</w:t>
      </w:r>
    </w:p>
    <w:p w14:paraId="159484AD" w14:textId="33BBC249" w:rsidR="00F05E8F" w:rsidRPr="00D369AA" w:rsidRDefault="00F05E8F" w:rsidP="00D169C0">
      <w:pPr>
        <w:rPr>
          <w:lang w:val="es-CO"/>
        </w:rPr>
      </w:pPr>
      <w:r w:rsidRPr="00D369AA">
        <w:rPr>
          <w:lang w:val="es-CO"/>
        </w:rPr>
        <w:t>Adicionalmente hay que resaltar que hay un caso particular y es el de la participación accionaria de la EEB S.A. E.S.P en ISA S.A. E.S.P., con la autorización de la enajenación de la participación accionaria adicionalmente a la recomposición del portafolio accionario alineada con las nuevas políticas de direccionamiento estratégico de la empresa</w:t>
      </w:r>
      <w:r w:rsidR="00D33049" w:rsidRPr="00D369AA">
        <w:rPr>
          <w:lang w:val="es-CO"/>
        </w:rPr>
        <w:t>,</w:t>
      </w:r>
      <w:r w:rsidRPr="00D369AA">
        <w:rPr>
          <w:lang w:val="es-CO"/>
        </w:rPr>
        <w:t xml:space="preserve"> se generaría la</w:t>
      </w:r>
      <w:r w:rsidR="003E7D32" w:rsidRPr="00D369AA">
        <w:rPr>
          <w:lang w:val="es-CO"/>
        </w:rPr>
        <w:t xml:space="preserve"> </w:t>
      </w:r>
      <w:r w:rsidRPr="00D369AA">
        <w:rPr>
          <w:lang w:val="es-CO"/>
        </w:rPr>
        <w:t>desvinculación de un socio que es competidor en el negocio de transmisión de energía.</w:t>
      </w:r>
      <w:r w:rsidR="003E7D32" w:rsidRPr="00D369AA">
        <w:rPr>
          <w:lang w:val="es-CO"/>
        </w:rPr>
        <w:t xml:space="preserve"> </w:t>
      </w:r>
    </w:p>
    <w:p w14:paraId="7DB2A4CE" w14:textId="77777777" w:rsidR="00F05E8F" w:rsidRPr="00D369AA" w:rsidRDefault="00F05E8F" w:rsidP="00F05E8F">
      <w:pPr>
        <w:pStyle w:val="Prrafodelista"/>
        <w:ind w:left="720"/>
        <w:rPr>
          <w:rFonts w:cs="Arial"/>
          <w:b/>
          <w:szCs w:val="24"/>
          <w:u w:val="single"/>
          <w:lang w:val="es-CO"/>
        </w:rPr>
      </w:pPr>
    </w:p>
    <w:p w14:paraId="4969695F" w14:textId="196AE761" w:rsidR="00F05E8F" w:rsidRDefault="00F05E8F" w:rsidP="00F05E8F">
      <w:pPr>
        <w:pStyle w:val="Ttulo2"/>
        <w:rPr>
          <w:lang w:val="es-CO"/>
        </w:rPr>
      </w:pPr>
      <w:r w:rsidRPr="00D369AA">
        <w:rPr>
          <w:lang w:val="es-CO"/>
        </w:rPr>
        <w:t>Rentabilidad limitada de</w:t>
      </w:r>
      <w:r w:rsidR="003E7D32" w:rsidRPr="00D369AA">
        <w:rPr>
          <w:lang w:val="es-CO"/>
        </w:rPr>
        <w:t xml:space="preserve"> </w:t>
      </w:r>
      <w:r w:rsidRPr="00D369AA">
        <w:rPr>
          <w:lang w:val="es-CO"/>
        </w:rPr>
        <w:t>las acciones</w:t>
      </w:r>
    </w:p>
    <w:p w14:paraId="7BE3598B" w14:textId="77777777" w:rsidR="002B44A3" w:rsidRDefault="002B44A3" w:rsidP="002B44A3">
      <w:pPr>
        <w:rPr>
          <w:lang w:val="es-CO"/>
        </w:rPr>
      </w:pPr>
    </w:p>
    <w:p w14:paraId="6BFC4923" w14:textId="37BBC406" w:rsidR="00FF4A1A" w:rsidRDefault="002B44A3" w:rsidP="00D169C0">
      <w:pPr>
        <w:rPr>
          <w:rStyle w:val="Textoennegrita"/>
          <w:rFonts w:cs="Arial"/>
          <w:b w:val="0"/>
          <w:szCs w:val="24"/>
          <w:lang w:val="es-CO"/>
        </w:rPr>
      </w:pPr>
      <w:r>
        <w:rPr>
          <w:lang w:val="es-CO"/>
        </w:rPr>
        <w:t>La siguiente tabla cuya fuente de información es la Bolsa de Valores de Colombia, ilustra l</w:t>
      </w:r>
      <w:r w:rsidR="00F05E8F" w:rsidRPr="00D369AA">
        <w:rPr>
          <w:rStyle w:val="Textoennegrita"/>
          <w:rFonts w:cs="Arial"/>
          <w:b w:val="0"/>
          <w:szCs w:val="24"/>
          <w:lang w:val="es-CO"/>
        </w:rPr>
        <w:t xml:space="preserve">a rentabilidad por </w:t>
      </w:r>
      <w:r w:rsidR="003234FF">
        <w:rPr>
          <w:rStyle w:val="Textoennegrita"/>
          <w:rFonts w:cs="Arial"/>
          <w:b w:val="0"/>
          <w:szCs w:val="24"/>
          <w:lang w:val="es-CO"/>
        </w:rPr>
        <w:t>d</w:t>
      </w:r>
      <w:r w:rsidR="00F05E8F" w:rsidRPr="00D369AA">
        <w:rPr>
          <w:rStyle w:val="Textoennegrita"/>
          <w:rFonts w:cs="Arial"/>
          <w:b w:val="0"/>
          <w:szCs w:val="24"/>
          <w:lang w:val="es-CO"/>
        </w:rPr>
        <w:t>ividendo de las inversiones que</w:t>
      </w:r>
      <w:r w:rsidR="003234FF">
        <w:rPr>
          <w:rStyle w:val="Textoennegrita"/>
          <w:rFonts w:cs="Arial"/>
          <w:b w:val="0"/>
          <w:szCs w:val="24"/>
          <w:lang w:val="es-CO"/>
        </w:rPr>
        <w:t xml:space="preserve"> la </w:t>
      </w:r>
      <w:r w:rsidR="00FF4A1A" w:rsidRPr="00D369AA">
        <w:rPr>
          <w:rStyle w:val="Textoennegrita"/>
          <w:rFonts w:cs="Arial"/>
          <w:b w:val="0"/>
          <w:szCs w:val="24"/>
          <w:lang w:val="es-CO"/>
        </w:rPr>
        <w:t>EEB</w:t>
      </w:r>
      <w:r w:rsidR="003234FF">
        <w:rPr>
          <w:rStyle w:val="Textoennegrita"/>
          <w:rFonts w:cs="Arial"/>
          <w:b w:val="0"/>
          <w:szCs w:val="24"/>
          <w:lang w:val="es-CO"/>
        </w:rPr>
        <w:t xml:space="preserve"> </w:t>
      </w:r>
      <w:r w:rsidR="003234FF" w:rsidRPr="00D369AA">
        <w:rPr>
          <w:i/>
          <w:lang w:val="es-CO" w:eastAsia="es-CO"/>
        </w:rPr>
        <w:t xml:space="preserve">S.A. E.S.P. </w:t>
      </w:r>
      <w:r w:rsidR="00F05E8F" w:rsidRPr="00D369AA">
        <w:rPr>
          <w:rStyle w:val="Textoennegrita"/>
          <w:rFonts w:cs="Arial"/>
          <w:b w:val="0"/>
          <w:szCs w:val="24"/>
          <w:lang w:val="es-CO"/>
        </w:rPr>
        <w:t>ha puesto en conside</w:t>
      </w:r>
      <w:r w:rsidR="00166659" w:rsidRPr="00D369AA">
        <w:rPr>
          <w:rStyle w:val="Textoennegrita"/>
          <w:rFonts w:cs="Arial"/>
          <w:b w:val="0"/>
          <w:szCs w:val="24"/>
          <w:lang w:val="es-CO"/>
        </w:rPr>
        <w:t>ración</w:t>
      </w:r>
      <w:r w:rsidR="003234FF">
        <w:rPr>
          <w:rStyle w:val="Textoennegrita"/>
          <w:rFonts w:cs="Arial"/>
          <w:b w:val="0"/>
          <w:szCs w:val="24"/>
          <w:lang w:val="es-CO"/>
        </w:rPr>
        <w:t xml:space="preserve"> para la autorización de la enajenación de su participación accionaria según el Proyecto de Acuerdo 472 de 2016.</w:t>
      </w:r>
    </w:p>
    <w:p w14:paraId="026D5753" w14:textId="77777777" w:rsidR="003234FF" w:rsidRDefault="003234FF" w:rsidP="00D169C0">
      <w:pPr>
        <w:rPr>
          <w:rStyle w:val="Textoennegrita"/>
          <w:rFonts w:cs="Arial"/>
          <w:b w:val="0"/>
          <w:szCs w:val="24"/>
          <w:lang w:val="es-CO"/>
        </w:rPr>
      </w:pPr>
    </w:p>
    <w:p w14:paraId="395BEEDA" w14:textId="77777777" w:rsidR="003234FF" w:rsidRDefault="003234FF" w:rsidP="00D169C0">
      <w:pPr>
        <w:rPr>
          <w:rStyle w:val="Textoennegrita"/>
          <w:rFonts w:cs="Arial"/>
          <w:b w:val="0"/>
          <w:szCs w:val="24"/>
          <w:lang w:val="es-CO"/>
        </w:rPr>
      </w:pPr>
    </w:p>
    <w:p w14:paraId="16E6F56B" w14:textId="77777777" w:rsidR="003234FF" w:rsidRDefault="003234FF" w:rsidP="00D169C0">
      <w:pPr>
        <w:rPr>
          <w:rStyle w:val="Textoennegrita"/>
          <w:rFonts w:cs="Arial"/>
          <w:b w:val="0"/>
          <w:szCs w:val="24"/>
          <w:lang w:val="es-CO"/>
        </w:rPr>
      </w:pPr>
    </w:p>
    <w:p w14:paraId="3561C3A4" w14:textId="77777777" w:rsidR="003234FF" w:rsidRDefault="003234FF" w:rsidP="00D169C0">
      <w:pPr>
        <w:rPr>
          <w:rStyle w:val="Textoennegrita"/>
          <w:rFonts w:cs="Arial"/>
          <w:b w:val="0"/>
          <w:szCs w:val="24"/>
          <w:lang w:val="es-CO"/>
        </w:rPr>
      </w:pPr>
    </w:p>
    <w:p w14:paraId="029B4625" w14:textId="77777777" w:rsidR="003234FF" w:rsidRDefault="003234FF" w:rsidP="00D169C0">
      <w:pPr>
        <w:rPr>
          <w:rStyle w:val="Textoennegrita"/>
          <w:rFonts w:cs="Arial"/>
          <w:b w:val="0"/>
          <w:szCs w:val="24"/>
          <w:lang w:val="es-CO"/>
        </w:rPr>
      </w:pPr>
    </w:p>
    <w:p w14:paraId="19DEAB92" w14:textId="77777777" w:rsidR="003234FF" w:rsidRDefault="003234FF" w:rsidP="00D169C0">
      <w:pPr>
        <w:rPr>
          <w:rStyle w:val="Textoennegrita"/>
          <w:rFonts w:cs="Arial"/>
          <w:b w:val="0"/>
          <w:szCs w:val="24"/>
          <w:lang w:val="es-CO"/>
        </w:rPr>
      </w:pPr>
    </w:p>
    <w:p w14:paraId="0E68C760" w14:textId="77777777" w:rsidR="003234FF" w:rsidRPr="00D369AA" w:rsidRDefault="003234FF" w:rsidP="00D169C0">
      <w:pPr>
        <w:rPr>
          <w:rStyle w:val="Textoennegrita"/>
          <w:rFonts w:cs="Arial"/>
          <w:b w:val="0"/>
          <w:szCs w:val="24"/>
          <w:lang w:val="es-CO"/>
        </w:rPr>
      </w:pPr>
    </w:p>
    <w:p w14:paraId="2372B492" w14:textId="721036B8" w:rsidR="00F05E8F" w:rsidRPr="00D369AA" w:rsidRDefault="00FF4A1A" w:rsidP="00166659">
      <w:pPr>
        <w:pStyle w:val="Epgrafe"/>
        <w:rPr>
          <w:rStyle w:val="Textoennegrita"/>
          <w:rFonts w:cs="Arial"/>
          <w:szCs w:val="24"/>
          <w:lang w:val="es-CO"/>
        </w:rPr>
      </w:pPr>
      <w:r w:rsidRPr="00D369AA">
        <w:rPr>
          <w:lang w:val="es-CO"/>
        </w:rPr>
        <w:lastRenderedPageBreak/>
        <w:t xml:space="preserve"> Rentabilidad por dividendo - Activos a enajenar</w:t>
      </w:r>
    </w:p>
    <w:p w14:paraId="0286196A" w14:textId="77777777" w:rsidR="00F05E8F" w:rsidRPr="00D369AA" w:rsidRDefault="00F05E8F" w:rsidP="00D169C0">
      <w:pPr>
        <w:pStyle w:val="Prrafodelista"/>
        <w:ind w:left="0"/>
        <w:jc w:val="center"/>
        <w:rPr>
          <w:rStyle w:val="Textoennegrita"/>
          <w:rFonts w:cs="Arial"/>
          <w:b w:val="0"/>
          <w:szCs w:val="24"/>
          <w:lang w:val="es-CO"/>
        </w:rPr>
      </w:pPr>
      <w:r w:rsidRPr="00D369AA">
        <w:rPr>
          <w:rStyle w:val="Textoennegrita"/>
          <w:rFonts w:cs="Arial"/>
          <w:b w:val="0"/>
          <w:noProof/>
          <w:szCs w:val="24"/>
          <w:lang w:val="es-CO" w:eastAsia="es-CO"/>
        </w:rPr>
        <w:drawing>
          <wp:inline distT="0" distB="0" distL="0" distR="0" wp14:anchorId="325AAAC0" wp14:editId="5B556389">
            <wp:extent cx="3994484" cy="674335"/>
            <wp:effectExtent l="0" t="0" r="0" b="0"/>
            <wp:docPr id="1024" name="Picture 0" descr="825df8f2-d8af-4732-a755-dd636d525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825df8f2-d8af-4732-a755-dd636d5255f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336" cy="681907"/>
                    </a:xfrm>
                    <a:prstGeom prst="rect">
                      <a:avLst/>
                    </a:prstGeom>
                    <a:noFill/>
                    <a:extLst/>
                  </pic:spPr>
                </pic:pic>
              </a:graphicData>
            </a:graphic>
          </wp:inline>
        </w:drawing>
      </w:r>
    </w:p>
    <w:tbl>
      <w:tblPr>
        <w:tblW w:w="6185" w:type="dxa"/>
        <w:jc w:val="center"/>
        <w:tblCellMar>
          <w:left w:w="70" w:type="dxa"/>
          <w:right w:w="70" w:type="dxa"/>
        </w:tblCellMar>
        <w:tblLook w:val="04A0" w:firstRow="1" w:lastRow="0" w:firstColumn="1" w:lastColumn="0" w:noHBand="0" w:noVBand="1"/>
      </w:tblPr>
      <w:tblGrid>
        <w:gridCol w:w="1577"/>
        <w:gridCol w:w="1424"/>
        <w:gridCol w:w="1424"/>
        <w:gridCol w:w="1760"/>
      </w:tblGrid>
      <w:tr w:rsidR="001C4279" w:rsidRPr="00D369AA" w14:paraId="57B01975" w14:textId="77777777" w:rsidTr="00F8693E">
        <w:trPr>
          <w:trHeight w:val="600"/>
          <w:jc w:val="center"/>
        </w:trPr>
        <w:tc>
          <w:tcPr>
            <w:tcW w:w="1577"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6D8998D9" w14:textId="77777777" w:rsidR="00F05E8F" w:rsidRPr="00D369AA" w:rsidRDefault="00F05E8F" w:rsidP="00F8693E">
            <w:pPr>
              <w:jc w:val="center"/>
              <w:rPr>
                <w:rStyle w:val="Textoennegrita"/>
                <w:rFonts w:cs="Arial"/>
                <w:color w:val="FFFFFF" w:themeColor="background1"/>
                <w:sz w:val="22"/>
                <w:szCs w:val="22"/>
                <w:lang w:val="es-CO"/>
              </w:rPr>
            </w:pPr>
            <w:r w:rsidRPr="00D369AA">
              <w:rPr>
                <w:rStyle w:val="Textoennegrita"/>
                <w:rFonts w:cs="Arial"/>
                <w:color w:val="FFFFFF" w:themeColor="background1"/>
                <w:sz w:val="22"/>
                <w:szCs w:val="22"/>
                <w:lang w:val="es-CO"/>
              </w:rPr>
              <w:t>Nemotécnico</w:t>
            </w:r>
          </w:p>
        </w:tc>
        <w:tc>
          <w:tcPr>
            <w:tcW w:w="1424" w:type="dxa"/>
            <w:tcBorders>
              <w:top w:val="single" w:sz="4" w:space="0" w:color="000000"/>
              <w:left w:val="nil"/>
              <w:bottom w:val="single" w:sz="4" w:space="0" w:color="000000"/>
              <w:right w:val="single" w:sz="4" w:space="0" w:color="000000"/>
            </w:tcBorders>
            <w:shd w:val="clear" w:color="auto" w:fill="0070C0"/>
            <w:vAlign w:val="center"/>
            <w:hideMark/>
          </w:tcPr>
          <w:p w14:paraId="52B9B684" w14:textId="77777777" w:rsidR="00F05E8F" w:rsidRPr="00D369AA" w:rsidRDefault="00F05E8F" w:rsidP="00F8693E">
            <w:pPr>
              <w:jc w:val="right"/>
              <w:rPr>
                <w:rStyle w:val="Textoennegrita"/>
                <w:rFonts w:cs="Arial"/>
                <w:color w:val="FFFFFF" w:themeColor="background1"/>
                <w:sz w:val="22"/>
                <w:szCs w:val="22"/>
                <w:lang w:val="es-CO"/>
              </w:rPr>
            </w:pPr>
            <w:r w:rsidRPr="00D369AA">
              <w:rPr>
                <w:rStyle w:val="Textoennegrita"/>
                <w:rFonts w:cs="Arial"/>
                <w:color w:val="FFFFFF" w:themeColor="background1"/>
                <w:sz w:val="22"/>
                <w:szCs w:val="22"/>
                <w:lang w:val="es-CO"/>
              </w:rPr>
              <w:t>P. Cierre /</w:t>
            </w:r>
          </w:p>
        </w:tc>
        <w:tc>
          <w:tcPr>
            <w:tcW w:w="1424" w:type="dxa"/>
            <w:tcBorders>
              <w:top w:val="single" w:sz="4" w:space="0" w:color="000000"/>
              <w:left w:val="nil"/>
              <w:bottom w:val="single" w:sz="4" w:space="0" w:color="000000"/>
              <w:right w:val="single" w:sz="4" w:space="0" w:color="000000"/>
            </w:tcBorders>
            <w:shd w:val="clear" w:color="auto" w:fill="0070C0"/>
            <w:vAlign w:val="center"/>
            <w:hideMark/>
          </w:tcPr>
          <w:p w14:paraId="399BD645" w14:textId="77777777" w:rsidR="00F05E8F" w:rsidRPr="00D369AA" w:rsidRDefault="00F05E8F" w:rsidP="00F8693E">
            <w:pPr>
              <w:jc w:val="center"/>
              <w:rPr>
                <w:rStyle w:val="Textoennegrita"/>
                <w:rFonts w:cs="Arial"/>
                <w:color w:val="FFFFFF" w:themeColor="background1"/>
                <w:sz w:val="22"/>
                <w:szCs w:val="22"/>
                <w:lang w:val="es-CO"/>
              </w:rPr>
            </w:pPr>
            <w:r w:rsidRPr="00D369AA">
              <w:rPr>
                <w:rStyle w:val="Textoennegrita"/>
                <w:rFonts w:cs="Arial"/>
                <w:color w:val="FFFFFF" w:themeColor="background1"/>
                <w:sz w:val="22"/>
                <w:szCs w:val="22"/>
                <w:lang w:val="es-CO"/>
              </w:rPr>
              <w:t>Dividendo /</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2A77F99F" w14:textId="77777777" w:rsidR="00F05E8F" w:rsidRPr="00D369AA" w:rsidRDefault="00F05E8F" w:rsidP="00F8693E">
            <w:pPr>
              <w:jc w:val="center"/>
              <w:rPr>
                <w:rStyle w:val="Textoennegrita"/>
                <w:rFonts w:cs="Arial"/>
                <w:color w:val="FFFFFF" w:themeColor="background1"/>
                <w:sz w:val="22"/>
                <w:szCs w:val="22"/>
                <w:lang w:val="es-CO"/>
              </w:rPr>
            </w:pPr>
            <w:r w:rsidRPr="00D369AA">
              <w:rPr>
                <w:rStyle w:val="Textoennegrita"/>
                <w:rFonts w:cs="Arial"/>
                <w:color w:val="FFFFFF" w:themeColor="background1"/>
                <w:sz w:val="22"/>
                <w:szCs w:val="22"/>
                <w:lang w:val="es-CO"/>
              </w:rPr>
              <w:t>Rentabilidad por dividendo+</w:t>
            </w:r>
          </w:p>
        </w:tc>
      </w:tr>
      <w:tr w:rsidR="00F05E8F" w:rsidRPr="00D369AA" w14:paraId="02CAF2BC" w14:textId="77777777" w:rsidTr="00F8693E">
        <w:trPr>
          <w:trHeight w:val="255"/>
          <w:jc w:val="center"/>
        </w:trPr>
        <w:tc>
          <w:tcPr>
            <w:tcW w:w="1577" w:type="dxa"/>
            <w:tcBorders>
              <w:top w:val="nil"/>
              <w:left w:val="single" w:sz="4" w:space="0" w:color="000000"/>
              <w:bottom w:val="single" w:sz="4" w:space="0" w:color="000000"/>
              <w:right w:val="single" w:sz="4" w:space="0" w:color="000000"/>
            </w:tcBorders>
            <w:shd w:val="clear" w:color="000000" w:fill="F2F2F2"/>
            <w:vAlign w:val="center"/>
            <w:hideMark/>
          </w:tcPr>
          <w:p w14:paraId="19CD8F66"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ISA</w:t>
            </w:r>
          </w:p>
        </w:tc>
        <w:tc>
          <w:tcPr>
            <w:tcW w:w="1424" w:type="dxa"/>
            <w:tcBorders>
              <w:top w:val="nil"/>
              <w:left w:val="nil"/>
              <w:bottom w:val="single" w:sz="4" w:space="0" w:color="000000"/>
              <w:right w:val="single" w:sz="4" w:space="0" w:color="000000"/>
            </w:tcBorders>
            <w:shd w:val="clear" w:color="000000" w:fill="F2F2F2"/>
            <w:vAlign w:val="center"/>
            <w:hideMark/>
          </w:tcPr>
          <w:p w14:paraId="7E02F320" w14:textId="77777777" w:rsidR="00F05E8F" w:rsidRPr="00D369AA" w:rsidRDefault="00F05E8F" w:rsidP="00F8693E">
            <w:pPr>
              <w:jc w:val="right"/>
              <w:rPr>
                <w:rStyle w:val="Textoennegrita"/>
                <w:rFonts w:cs="Arial"/>
                <w:b w:val="0"/>
                <w:sz w:val="22"/>
                <w:szCs w:val="22"/>
                <w:lang w:val="es-CO"/>
              </w:rPr>
            </w:pPr>
            <w:r w:rsidRPr="00D369AA">
              <w:rPr>
                <w:rStyle w:val="Textoennegrita"/>
                <w:rFonts w:cs="Arial"/>
                <w:b w:val="0"/>
                <w:sz w:val="22"/>
                <w:szCs w:val="22"/>
                <w:lang w:val="es-CO"/>
              </w:rPr>
              <w:t>9.750,00</w:t>
            </w:r>
          </w:p>
        </w:tc>
        <w:tc>
          <w:tcPr>
            <w:tcW w:w="1424" w:type="dxa"/>
            <w:tcBorders>
              <w:top w:val="nil"/>
              <w:left w:val="nil"/>
              <w:bottom w:val="single" w:sz="4" w:space="0" w:color="000000"/>
              <w:right w:val="single" w:sz="4" w:space="0" w:color="000000"/>
            </w:tcBorders>
            <w:shd w:val="clear" w:color="000000" w:fill="F2F2F2"/>
            <w:vAlign w:val="center"/>
            <w:hideMark/>
          </w:tcPr>
          <w:p w14:paraId="5235FFDF"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288,00</w:t>
            </w:r>
          </w:p>
        </w:tc>
        <w:tc>
          <w:tcPr>
            <w:tcW w:w="1760" w:type="dxa"/>
            <w:tcBorders>
              <w:top w:val="nil"/>
              <w:left w:val="nil"/>
              <w:bottom w:val="single" w:sz="4" w:space="0" w:color="000000"/>
              <w:right w:val="single" w:sz="4" w:space="0" w:color="000000"/>
            </w:tcBorders>
            <w:shd w:val="clear" w:color="000000" w:fill="F2F2F2"/>
            <w:vAlign w:val="center"/>
            <w:hideMark/>
          </w:tcPr>
          <w:p w14:paraId="7CA5E18E"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2,95%</w:t>
            </w:r>
          </w:p>
        </w:tc>
      </w:tr>
      <w:tr w:rsidR="00F05E8F" w:rsidRPr="00D369AA" w14:paraId="398D6ABC" w14:textId="77777777" w:rsidTr="00F8693E">
        <w:trPr>
          <w:trHeight w:val="255"/>
          <w:jc w:val="center"/>
        </w:trPr>
        <w:tc>
          <w:tcPr>
            <w:tcW w:w="1577" w:type="dxa"/>
            <w:tcBorders>
              <w:top w:val="nil"/>
              <w:left w:val="single" w:sz="4" w:space="0" w:color="000000"/>
              <w:bottom w:val="single" w:sz="4" w:space="0" w:color="000000"/>
              <w:right w:val="single" w:sz="4" w:space="0" w:color="000000"/>
            </w:tcBorders>
            <w:shd w:val="clear" w:color="000000" w:fill="F2F2F2"/>
            <w:vAlign w:val="center"/>
            <w:hideMark/>
          </w:tcPr>
          <w:p w14:paraId="3ECECA5F"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NUTRESA</w:t>
            </w:r>
          </w:p>
        </w:tc>
        <w:tc>
          <w:tcPr>
            <w:tcW w:w="1424" w:type="dxa"/>
            <w:tcBorders>
              <w:top w:val="nil"/>
              <w:left w:val="nil"/>
              <w:bottom w:val="single" w:sz="4" w:space="0" w:color="000000"/>
              <w:right w:val="single" w:sz="4" w:space="0" w:color="000000"/>
            </w:tcBorders>
            <w:shd w:val="clear" w:color="000000" w:fill="F2F2F2"/>
            <w:vAlign w:val="center"/>
            <w:hideMark/>
          </w:tcPr>
          <w:p w14:paraId="1E368192" w14:textId="77777777" w:rsidR="00F05E8F" w:rsidRPr="00D369AA" w:rsidRDefault="00F05E8F" w:rsidP="00F8693E">
            <w:pPr>
              <w:jc w:val="right"/>
              <w:rPr>
                <w:rStyle w:val="Textoennegrita"/>
                <w:rFonts w:cs="Arial"/>
                <w:b w:val="0"/>
                <w:sz w:val="22"/>
                <w:szCs w:val="22"/>
                <w:lang w:val="es-CO"/>
              </w:rPr>
            </w:pPr>
            <w:r w:rsidRPr="00D369AA">
              <w:rPr>
                <w:rStyle w:val="Textoennegrita"/>
                <w:rFonts w:cs="Arial"/>
                <w:b w:val="0"/>
                <w:sz w:val="22"/>
                <w:szCs w:val="22"/>
                <w:lang w:val="es-CO"/>
              </w:rPr>
              <w:t>25.340,00</w:t>
            </w:r>
          </w:p>
        </w:tc>
        <w:tc>
          <w:tcPr>
            <w:tcW w:w="1424" w:type="dxa"/>
            <w:tcBorders>
              <w:top w:val="nil"/>
              <w:left w:val="nil"/>
              <w:bottom w:val="single" w:sz="4" w:space="0" w:color="000000"/>
              <w:right w:val="single" w:sz="4" w:space="0" w:color="000000"/>
            </w:tcBorders>
            <w:shd w:val="clear" w:color="000000" w:fill="F2F2F2"/>
            <w:vAlign w:val="center"/>
            <w:hideMark/>
          </w:tcPr>
          <w:p w14:paraId="2C158D77"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498,00</w:t>
            </w:r>
          </w:p>
        </w:tc>
        <w:tc>
          <w:tcPr>
            <w:tcW w:w="1760" w:type="dxa"/>
            <w:tcBorders>
              <w:top w:val="nil"/>
              <w:left w:val="nil"/>
              <w:bottom w:val="single" w:sz="4" w:space="0" w:color="000000"/>
              <w:right w:val="single" w:sz="4" w:space="0" w:color="000000"/>
            </w:tcBorders>
            <w:shd w:val="clear" w:color="000000" w:fill="F2F2F2"/>
            <w:vAlign w:val="center"/>
            <w:hideMark/>
          </w:tcPr>
          <w:p w14:paraId="51E0D663"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1,97%</w:t>
            </w:r>
          </w:p>
        </w:tc>
      </w:tr>
      <w:tr w:rsidR="00B177F4" w:rsidRPr="00D369AA" w14:paraId="5B48F9C3" w14:textId="77777777" w:rsidTr="00FF4A1A">
        <w:trPr>
          <w:trHeight w:val="255"/>
          <w:jc w:val="center"/>
        </w:trPr>
        <w:tc>
          <w:tcPr>
            <w:tcW w:w="1577" w:type="dxa"/>
            <w:tcBorders>
              <w:top w:val="nil"/>
              <w:left w:val="single" w:sz="4" w:space="0" w:color="000000"/>
              <w:bottom w:val="single" w:sz="4" w:space="0" w:color="000000"/>
              <w:right w:val="single" w:sz="4" w:space="0" w:color="000000"/>
            </w:tcBorders>
            <w:shd w:val="clear" w:color="000000" w:fill="F2F2F2"/>
            <w:vAlign w:val="center"/>
            <w:hideMark/>
          </w:tcPr>
          <w:p w14:paraId="01446ED0" w14:textId="5DB5E850" w:rsidR="00B177F4" w:rsidRPr="00D369AA" w:rsidRDefault="00B177F4" w:rsidP="00FF4A1A">
            <w:pPr>
              <w:jc w:val="center"/>
              <w:rPr>
                <w:rStyle w:val="Textoennegrita"/>
                <w:rFonts w:cs="Arial"/>
                <w:b w:val="0"/>
                <w:sz w:val="22"/>
                <w:szCs w:val="22"/>
                <w:lang w:val="es-CO"/>
              </w:rPr>
            </w:pPr>
            <w:r w:rsidRPr="00D369AA">
              <w:rPr>
                <w:rStyle w:val="Textoennegrita"/>
                <w:rFonts w:cs="Arial"/>
                <w:b w:val="0"/>
                <w:sz w:val="22"/>
                <w:szCs w:val="22"/>
                <w:lang w:val="es-CO"/>
              </w:rPr>
              <w:t>BANCO POPULAR</w:t>
            </w:r>
            <w:r w:rsidR="00C93CBD">
              <w:rPr>
                <w:rStyle w:val="Textoennegrita"/>
                <w:rFonts w:cs="Arial"/>
                <w:b w:val="0"/>
                <w:sz w:val="22"/>
                <w:szCs w:val="22"/>
                <w:lang w:val="es-CO"/>
              </w:rPr>
              <w:t xml:space="preserve"> +</w:t>
            </w:r>
          </w:p>
        </w:tc>
        <w:tc>
          <w:tcPr>
            <w:tcW w:w="1424" w:type="dxa"/>
            <w:tcBorders>
              <w:top w:val="nil"/>
              <w:left w:val="nil"/>
              <w:bottom w:val="single" w:sz="4" w:space="0" w:color="000000"/>
              <w:right w:val="single" w:sz="4" w:space="0" w:color="000000"/>
            </w:tcBorders>
            <w:shd w:val="clear" w:color="000000" w:fill="F2F2F2"/>
            <w:vAlign w:val="center"/>
            <w:hideMark/>
          </w:tcPr>
          <w:p w14:paraId="395BE419" w14:textId="77777777" w:rsidR="00B177F4" w:rsidRPr="00D369AA" w:rsidRDefault="00BA3F71" w:rsidP="00BA3F71">
            <w:pPr>
              <w:jc w:val="right"/>
              <w:rPr>
                <w:rStyle w:val="Textoennegrita"/>
                <w:rFonts w:cs="Arial"/>
                <w:b w:val="0"/>
                <w:sz w:val="22"/>
                <w:szCs w:val="22"/>
                <w:lang w:val="es-CO"/>
              </w:rPr>
            </w:pPr>
            <w:r w:rsidRPr="00D369AA">
              <w:rPr>
                <w:rStyle w:val="Textoennegrita"/>
                <w:rFonts w:cs="Arial"/>
                <w:b w:val="0"/>
                <w:sz w:val="22"/>
                <w:szCs w:val="22"/>
                <w:lang w:val="es-CO"/>
              </w:rPr>
              <w:t>494</w:t>
            </w:r>
          </w:p>
        </w:tc>
        <w:tc>
          <w:tcPr>
            <w:tcW w:w="1424" w:type="dxa"/>
            <w:tcBorders>
              <w:top w:val="nil"/>
              <w:left w:val="nil"/>
              <w:bottom w:val="single" w:sz="4" w:space="0" w:color="000000"/>
              <w:right w:val="single" w:sz="4" w:space="0" w:color="000000"/>
            </w:tcBorders>
            <w:shd w:val="clear" w:color="000000" w:fill="F2F2F2"/>
            <w:vAlign w:val="center"/>
            <w:hideMark/>
          </w:tcPr>
          <w:p w14:paraId="154A7850" w14:textId="77777777" w:rsidR="00B177F4" w:rsidRPr="00D369AA" w:rsidRDefault="00B177F4" w:rsidP="00FF4A1A">
            <w:pPr>
              <w:jc w:val="center"/>
              <w:rPr>
                <w:rStyle w:val="Textoennegrita"/>
                <w:rFonts w:cs="Arial"/>
                <w:b w:val="0"/>
                <w:sz w:val="22"/>
                <w:szCs w:val="22"/>
                <w:lang w:val="es-CO"/>
              </w:rPr>
            </w:pPr>
            <w:r w:rsidRPr="00D369AA">
              <w:rPr>
                <w:rStyle w:val="Textoennegrita"/>
                <w:rFonts w:cs="Arial"/>
                <w:b w:val="0"/>
                <w:sz w:val="22"/>
                <w:szCs w:val="22"/>
                <w:lang w:val="es-CO"/>
              </w:rPr>
              <w:t>-</w:t>
            </w:r>
          </w:p>
        </w:tc>
        <w:tc>
          <w:tcPr>
            <w:tcW w:w="1760" w:type="dxa"/>
            <w:tcBorders>
              <w:top w:val="nil"/>
              <w:left w:val="nil"/>
              <w:bottom w:val="single" w:sz="4" w:space="0" w:color="000000"/>
              <w:right w:val="single" w:sz="4" w:space="0" w:color="000000"/>
            </w:tcBorders>
            <w:shd w:val="clear" w:color="000000" w:fill="F2F2F2"/>
            <w:vAlign w:val="center"/>
            <w:hideMark/>
          </w:tcPr>
          <w:p w14:paraId="64F66336" w14:textId="77777777" w:rsidR="00B177F4" w:rsidRPr="00D369AA" w:rsidRDefault="00B177F4" w:rsidP="00FF4A1A">
            <w:pPr>
              <w:jc w:val="center"/>
              <w:rPr>
                <w:rStyle w:val="Textoennegrita"/>
                <w:rFonts w:cs="Arial"/>
                <w:b w:val="0"/>
                <w:sz w:val="22"/>
                <w:szCs w:val="22"/>
                <w:lang w:val="es-CO"/>
              </w:rPr>
            </w:pPr>
            <w:r w:rsidRPr="00D369AA">
              <w:rPr>
                <w:rStyle w:val="Textoennegrita"/>
                <w:rFonts w:cs="Arial"/>
                <w:b w:val="0"/>
                <w:sz w:val="22"/>
                <w:szCs w:val="22"/>
                <w:lang w:val="es-CO"/>
              </w:rPr>
              <w:t>3,03%</w:t>
            </w:r>
          </w:p>
        </w:tc>
      </w:tr>
      <w:tr w:rsidR="00F05E8F" w:rsidRPr="00D369AA" w14:paraId="735D74B5" w14:textId="77777777" w:rsidTr="00F8693E">
        <w:trPr>
          <w:trHeight w:val="255"/>
          <w:jc w:val="center"/>
        </w:trPr>
        <w:tc>
          <w:tcPr>
            <w:tcW w:w="1577" w:type="dxa"/>
            <w:tcBorders>
              <w:top w:val="nil"/>
              <w:left w:val="single" w:sz="4" w:space="0" w:color="000000"/>
              <w:bottom w:val="single" w:sz="4" w:space="0" w:color="000000"/>
              <w:right w:val="single" w:sz="4" w:space="0" w:color="000000"/>
            </w:tcBorders>
            <w:shd w:val="clear" w:color="000000" w:fill="F2F2F2"/>
            <w:vAlign w:val="center"/>
            <w:hideMark/>
          </w:tcPr>
          <w:p w14:paraId="19A2A44E"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PROMIGAS</w:t>
            </w:r>
          </w:p>
        </w:tc>
        <w:tc>
          <w:tcPr>
            <w:tcW w:w="1424" w:type="dxa"/>
            <w:tcBorders>
              <w:top w:val="nil"/>
              <w:left w:val="nil"/>
              <w:bottom w:val="single" w:sz="4" w:space="0" w:color="000000"/>
              <w:right w:val="single" w:sz="4" w:space="0" w:color="000000"/>
            </w:tcBorders>
            <w:shd w:val="clear" w:color="000000" w:fill="F2F2F2"/>
            <w:vAlign w:val="center"/>
            <w:hideMark/>
          </w:tcPr>
          <w:p w14:paraId="0F85FE7C" w14:textId="77777777" w:rsidR="00F05E8F" w:rsidRPr="00D369AA" w:rsidRDefault="00F05E8F" w:rsidP="00F8693E">
            <w:pPr>
              <w:jc w:val="right"/>
              <w:rPr>
                <w:rStyle w:val="Textoennegrita"/>
                <w:rFonts w:cs="Arial"/>
                <w:b w:val="0"/>
                <w:sz w:val="22"/>
                <w:szCs w:val="22"/>
                <w:lang w:val="es-CO"/>
              </w:rPr>
            </w:pPr>
            <w:r w:rsidRPr="00D369AA">
              <w:rPr>
                <w:rStyle w:val="Textoennegrita"/>
                <w:rFonts w:cs="Arial"/>
                <w:b w:val="0"/>
                <w:sz w:val="22"/>
                <w:szCs w:val="22"/>
                <w:lang w:val="es-CO"/>
              </w:rPr>
              <w:t>5.500,00</w:t>
            </w:r>
          </w:p>
        </w:tc>
        <w:tc>
          <w:tcPr>
            <w:tcW w:w="1424" w:type="dxa"/>
            <w:tcBorders>
              <w:top w:val="nil"/>
              <w:left w:val="nil"/>
              <w:bottom w:val="single" w:sz="4" w:space="0" w:color="000000"/>
              <w:right w:val="single" w:sz="4" w:space="0" w:color="000000"/>
            </w:tcBorders>
            <w:shd w:val="clear" w:color="000000" w:fill="F2F2F2"/>
            <w:vAlign w:val="center"/>
            <w:hideMark/>
          </w:tcPr>
          <w:p w14:paraId="22808CBA"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227,00</w:t>
            </w:r>
          </w:p>
        </w:tc>
        <w:tc>
          <w:tcPr>
            <w:tcW w:w="1760" w:type="dxa"/>
            <w:tcBorders>
              <w:top w:val="nil"/>
              <w:left w:val="nil"/>
              <w:bottom w:val="single" w:sz="4" w:space="0" w:color="000000"/>
              <w:right w:val="single" w:sz="4" w:space="0" w:color="000000"/>
            </w:tcBorders>
            <w:shd w:val="clear" w:color="000000" w:fill="F2F2F2"/>
            <w:vAlign w:val="center"/>
            <w:hideMark/>
          </w:tcPr>
          <w:p w14:paraId="38A37F75" w14:textId="77777777" w:rsidR="00F05E8F" w:rsidRPr="00D369AA" w:rsidRDefault="00F05E8F" w:rsidP="00F8693E">
            <w:pPr>
              <w:jc w:val="center"/>
              <w:rPr>
                <w:rStyle w:val="Textoennegrita"/>
                <w:rFonts w:cs="Arial"/>
                <w:b w:val="0"/>
                <w:sz w:val="22"/>
                <w:szCs w:val="22"/>
                <w:lang w:val="es-CO"/>
              </w:rPr>
            </w:pPr>
            <w:r w:rsidRPr="00D369AA">
              <w:rPr>
                <w:rStyle w:val="Textoennegrita"/>
                <w:rFonts w:cs="Arial"/>
                <w:b w:val="0"/>
                <w:sz w:val="22"/>
                <w:szCs w:val="22"/>
                <w:lang w:val="es-CO"/>
              </w:rPr>
              <w:t>4,13%</w:t>
            </w:r>
          </w:p>
        </w:tc>
      </w:tr>
    </w:tbl>
    <w:p w14:paraId="63532F59" w14:textId="77777777" w:rsidR="00F8693E" w:rsidRPr="00D369AA" w:rsidRDefault="0002495C" w:rsidP="0002495C">
      <w:pPr>
        <w:pStyle w:val="Citadestacada"/>
        <w:rPr>
          <w:rStyle w:val="Textoennegrita"/>
          <w:b w:val="0"/>
          <w:bCs/>
          <w:lang w:val="es-CO"/>
        </w:rPr>
      </w:pPr>
      <w:r w:rsidRPr="00D369AA">
        <w:rPr>
          <w:rStyle w:val="Textoennegrita"/>
          <w:b w:val="0"/>
          <w:bCs/>
          <w:lang w:val="es-CO"/>
        </w:rPr>
        <w:t xml:space="preserve">Fuente BVC. </w:t>
      </w:r>
      <w:r w:rsidR="00F8693E" w:rsidRPr="00D369AA">
        <w:rPr>
          <w:rStyle w:val="Textoennegrita"/>
          <w:b w:val="0"/>
          <w:bCs/>
          <w:lang w:val="es-CO"/>
        </w:rPr>
        <w:t>Septiembre, 2016</w:t>
      </w:r>
      <w:r w:rsidRPr="00D369AA">
        <w:rPr>
          <w:rStyle w:val="Textoennegrita"/>
          <w:b w:val="0"/>
          <w:bCs/>
          <w:lang w:val="es-CO"/>
        </w:rPr>
        <w:t>.</w:t>
      </w:r>
    </w:p>
    <w:p w14:paraId="094C633E" w14:textId="77777777" w:rsidR="00F05E8F" w:rsidRPr="00D369AA" w:rsidRDefault="00F05E8F" w:rsidP="00F8693E">
      <w:pPr>
        <w:pStyle w:val="Citadestacada"/>
        <w:rPr>
          <w:rStyle w:val="Textoennegrita"/>
          <w:rFonts w:cs="Arial"/>
          <w:b w:val="0"/>
          <w:szCs w:val="24"/>
          <w:lang w:val="es-CO"/>
        </w:rPr>
      </w:pPr>
      <w:r w:rsidRPr="00D369AA">
        <w:rPr>
          <w:rStyle w:val="Textoennegrita"/>
          <w:rFonts w:cs="Arial"/>
          <w:b w:val="0"/>
          <w:szCs w:val="24"/>
          <w:lang w:val="es-CO"/>
        </w:rPr>
        <w:t>+Es el rendimiento del dividendo en el año sobre el precio de cierre de la acción.</w:t>
      </w:r>
      <w:r w:rsidR="00D169C0" w:rsidRPr="00D369AA">
        <w:rPr>
          <w:rStyle w:val="Textoennegrita"/>
          <w:rFonts w:cs="Arial"/>
          <w:b w:val="0"/>
          <w:szCs w:val="24"/>
          <w:lang w:val="es-CO"/>
        </w:rPr>
        <w:t xml:space="preserve"> </w:t>
      </w:r>
      <w:r w:rsidRPr="00D369AA">
        <w:rPr>
          <w:rStyle w:val="Textoennegrita"/>
          <w:rFonts w:cs="Arial"/>
          <w:b w:val="0"/>
          <w:szCs w:val="24"/>
          <w:lang w:val="es-CO"/>
        </w:rPr>
        <w:t>La Acción de Banco Popular aparece Inactivo para el periodo</w:t>
      </w:r>
      <w:r w:rsidR="00386796" w:rsidRPr="00D369AA">
        <w:rPr>
          <w:rStyle w:val="Textoennegrita"/>
          <w:rFonts w:cs="Arial"/>
          <w:b w:val="0"/>
          <w:szCs w:val="24"/>
          <w:lang w:val="es-CO"/>
        </w:rPr>
        <w:t>,</w:t>
      </w:r>
      <w:r w:rsidR="00B177F4" w:rsidRPr="00D369AA">
        <w:rPr>
          <w:rStyle w:val="Textoennegrita"/>
          <w:rFonts w:cs="Arial"/>
          <w:b w:val="0"/>
          <w:szCs w:val="24"/>
          <w:lang w:val="es-CO"/>
        </w:rPr>
        <w:t xml:space="preserve"> </w:t>
      </w:r>
      <w:r w:rsidR="00386796" w:rsidRPr="00D369AA">
        <w:rPr>
          <w:rStyle w:val="Textoennegrita"/>
          <w:rFonts w:cs="Arial"/>
          <w:b w:val="0"/>
          <w:szCs w:val="24"/>
          <w:lang w:val="es-CO"/>
        </w:rPr>
        <w:t xml:space="preserve">se </w:t>
      </w:r>
      <w:r w:rsidR="00B177F4" w:rsidRPr="00D369AA">
        <w:rPr>
          <w:rStyle w:val="Textoennegrita"/>
          <w:rFonts w:cs="Arial"/>
          <w:b w:val="0"/>
          <w:szCs w:val="24"/>
          <w:lang w:val="es-CO"/>
        </w:rPr>
        <w:t>tomó precio de cierre año 2015, rentabilidad por dividendo promedio 2011 – 2015.</w:t>
      </w:r>
    </w:p>
    <w:p w14:paraId="5288094E" w14:textId="70C22BAD" w:rsidR="00F8693E" w:rsidRPr="00D369AA" w:rsidRDefault="00F05E8F" w:rsidP="00D169C0">
      <w:pPr>
        <w:rPr>
          <w:lang w:val="es-CO" w:eastAsia="es-CO"/>
        </w:rPr>
      </w:pPr>
      <w:r w:rsidRPr="00D369AA">
        <w:rPr>
          <w:lang w:val="es-CO" w:eastAsia="es-CO"/>
        </w:rPr>
        <w:t>Dichas rentabilidades por dividendo</w:t>
      </w:r>
      <w:r w:rsidR="00C21F99" w:rsidRPr="00D369AA">
        <w:rPr>
          <w:lang w:val="es-CO" w:eastAsia="es-CO"/>
        </w:rPr>
        <w:t>,</w:t>
      </w:r>
      <w:r w:rsidR="00F8693E" w:rsidRPr="00D369AA">
        <w:rPr>
          <w:lang w:val="es-CO" w:eastAsia="es-CO"/>
        </w:rPr>
        <w:t xml:space="preserve"> entre el 1,97% y el 4,13%</w:t>
      </w:r>
      <w:r w:rsidRPr="00D369AA">
        <w:rPr>
          <w:lang w:val="es-CO" w:eastAsia="es-CO"/>
        </w:rPr>
        <w:t xml:space="preserve">, </w:t>
      </w:r>
      <w:r w:rsidR="003234FF">
        <w:rPr>
          <w:lang w:val="es-CO" w:eastAsia="es-CO"/>
        </w:rPr>
        <w:t xml:space="preserve">si bien son </w:t>
      </w:r>
      <w:r w:rsidRPr="00D369AA">
        <w:rPr>
          <w:lang w:val="es-CO" w:eastAsia="es-CO"/>
        </w:rPr>
        <w:t>positivas para la EEB no recogen las rentabilidades que un administrador de portafolio puede adicionar vía gestión integral de portafolio a través de compra y venta en el mercado público de valores.</w:t>
      </w:r>
    </w:p>
    <w:p w14:paraId="47D9CFA0" w14:textId="407C06FC" w:rsidR="00F8693E" w:rsidRPr="00240EF4" w:rsidRDefault="00251043" w:rsidP="00D169C0">
      <w:pPr>
        <w:rPr>
          <w:i/>
          <w:lang w:val="es-CO" w:eastAsia="es-CO"/>
        </w:rPr>
      </w:pPr>
      <w:r>
        <w:rPr>
          <w:lang w:val="es-CO" w:eastAsia="es-CO"/>
        </w:rPr>
        <w:t xml:space="preserve">Esta situación, motiva </w:t>
      </w:r>
      <w:r w:rsidR="00F05E8F" w:rsidRPr="00D369AA">
        <w:rPr>
          <w:lang w:val="es-CO" w:eastAsia="es-CO"/>
        </w:rPr>
        <w:t>a que</w:t>
      </w:r>
      <w:r>
        <w:rPr>
          <w:lang w:val="es-CO" w:eastAsia="es-CO"/>
        </w:rPr>
        <w:t xml:space="preserve"> la </w:t>
      </w:r>
      <w:r w:rsidR="00F05E8F" w:rsidRPr="00D369AA">
        <w:rPr>
          <w:lang w:val="es-CO" w:eastAsia="es-CO"/>
        </w:rPr>
        <w:t xml:space="preserve">EEB busque liberar los recursos implícitos de la venta de estas participaciones accionarias para ponerlos a disposición de las alternativas de inversión del Grupo Energía </w:t>
      </w:r>
      <w:r w:rsidR="00C21F99" w:rsidRPr="00D369AA">
        <w:rPr>
          <w:lang w:val="es-CO" w:eastAsia="es-CO"/>
        </w:rPr>
        <w:t xml:space="preserve">de </w:t>
      </w:r>
      <w:r w:rsidR="00F05E8F" w:rsidRPr="00D369AA">
        <w:rPr>
          <w:lang w:val="es-CO" w:eastAsia="es-CO"/>
        </w:rPr>
        <w:t>Bogotá</w:t>
      </w:r>
      <w:r w:rsidR="001D124B" w:rsidRPr="00D369AA">
        <w:rPr>
          <w:lang w:val="es-CO" w:eastAsia="es-CO"/>
        </w:rPr>
        <w:t>, b</w:t>
      </w:r>
      <w:r w:rsidR="00F05E8F" w:rsidRPr="00D369AA">
        <w:rPr>
          <w:lang w:val="es-CO" w:eastAsia="es-CO"/>
        </w:rPr>
        <w:t xml:space="preserve">uscando coherencia con la estrategia previamente soportada. </w:t>
      </w:r>
      <w:r w:rsidR="00401CF3" w:rsidRPr="00D369AA">
        <w:rPr>
          <w:lang w:val="es-CO" w:eastAsia="es-CO"/>
        </w:rPr>
        <w:t>Para el a</w:t>
      </w:r>
      <w:r w:rsidR="00C21F99" w:rsidRPr="00D369AA">
        <w:rPr>
          <w:lang w:val="es-CO" w:eastAsia="es-CO"/>
        </w:rPr>
        <w:t>ñ</w:t>
      </w:r>
      <w:r w:rsidR="00401CF3" w:rsidRPr="00D369AA">
        <w:rPr>
          <w:lang w:val="es-CO" w:eastAsia="es-CO"/>
        </w:rPr>
        <w:t xml:space="preserve">o </w:t>
      </w:r>
      <w:r w:rsidR="00FF4A1A" w:rsidRPr="00D369AA">
        <w:rPr>
          <w:lang w:val="es-CO" w:eastAsia="es-CO"/>
        </w:rPr>
        <w:t>2015</w:t>
      </w:r>
      <w:r w:rsidR="00401CF3" w:rsidRPr="00D369AA">
        <w:rPr>
          <w:lang w:val="es-CO" w:eastAsia="es-CO"/>
        </w:rPr>
        <w:t xml:space="preserve">, el GEB </w:t>
      </w:r>
      <w:r w:rsidR="00240EF4">
        <w:rPr>
          <w:lang w:val="es-CO" w:eastAsia="es-CO"/>
        </w:rPr>
        <w:t>calculó el ROE estimado para cada</w:t>
      </w:r>
      <w:r w:rsidR="00FF4A1A" w:rsidRPr="00D369AA">
        <w:rPr>
          <w:lang w:val="es-CO" w:eastAsia="es-CO"/>
        </w:rPr>
        <w:t xml:space="preserve"> </w:t>
      </w:r>
      <w:r w:rsidR="00401CF3" w:rsidRPr="00D369AA">
        <w:rPr>
          <w:lang w:val="es-CO" w:eastAsia="es-CO"/>
        </w:rPr>
        <w:t>Grupo Estratégico de Negocio</w:t>
      </w:r>
      <w:r w:rsidR="00240EF4">
        <w:rPr>
          <w:lang w:val="es-CO" w:eastAsia="es-CO"/>
        </w:rPr>
        <w:t>, obteniendo rentabilidades superiores a las ya mencionadas respecto a los activos en estudio</w:t>
      </w:r>
      <w:r w:rsidR="00401CF3" w:rsidRPr="00D369AA">
        <w:rPr>
          <w:lang w:val="es-CO" w:eastAsia="es-CO"/>
        </w:rPr>
        <w:t>: Soluciones Energéticas Urbanas</w:t>
      </w:r>
      <w:r w:rsidR="00C21F99" w:rsidRPr="00D369AA">
        <w:rPr>
          <w:lang w:val="es-CO" w:eastAsia="es-CO"/>
        </w:rPr>
        <w:t xml:space="preserve"> con</w:t>
      </w:r>
      <w:r w:rsidR="00401CF3" w:rsidRPr="00D369AA">
        <w:rPr>
          <w:lang w:val="es-CO" w:eastAsia="es-CO"/>
        </w:rPr>
        <w:t xml:space="preserve"> ROE</w:t>
      </w:r>
      <w:r w:rsidR="00401CF3" w:rsidRPr="00D369AA">
        <w:rPr>
          <w:rStyle w:val="Refdenotaalpie"/>
          <w:lang w:val="es-CO" w:eastAsia="es-CO"/>
        </w:rPr>
        <w:footnoteReference w:id="48"/>
      </w:r>
      <w:r w:rsidR="00401CF3" w:rsidRPr="00D369AA">
        <w:rPr>
          <w:lang w:val="es-CO" w:eastAsia="es-CO"/>
        </w:rPr>
        <w:t xml:space="preserve"> de 22,4% en 2015, Generación de Baja Emisión, ROE 24,9% e interconexión para el Desarrollo de Mercados</w:t>
      </w:r>
      <w:r w:rsidR="00C21F99" w:rsidRPr="00D369AA">
        <w:rPr>
          <w:lang w:val="es-CO" w:eastAsia="es-CO"/>
        </w:rPr>
        <w:t>,</w:t>
      </w:r>
      <w:r w:rsidR="00401CF3" w:rsidRPr="00D369AA">
        <w:rPr>
          <w:lang w:val="es-CO" w:eastAsia="es-CO"/>
        </w:rPr>
        <w:t xml:space="preserve"> ROE 6,1%, rentabilidades superiores a</w:t>
      </w:r>
      <w:r w:rsidR="00C21F99" w:rsidRPr="00D369AA">
        <w:rPr>
          <w:lang w:val="es-CO" w:eastAsia="es-CO"/>
        </w:rPr>
        <w:t xml:space="preserve">l retorno por dividendo que GEB obtiene actualmente en </w:t>
      </w:r>
      <w:r w:rsidR="00401CF3" w:rsidRPr="00D369AA">
        <w:rPr>
          <w:lang w:val="es-CO" w:eastAsia="es-CO"/>
        </w:rPr>
        <w:t>las inversiones que se están considerando para la enajenación.</w:t>
      </w:r>
      <w:r w:rsidR="00C063B0" w:rsidRPr="00D369AA">
        <w:rPr>
          <w:lang w:val="es-CO" w:eastAsia="es-CO"/>
        </w:rPr>
        <w:t xml:space="preserve"> </w:t>
      </w:r>
      <w:r w:rsidR="00C063B0" w:rsidRPr="00240EF4">
        <w:rPr>
          <w:i/>
          <w:lang w:val="es-CO" w:eastAsia="es-CO"/>
        </w:rPr>
        <w:t xml:space="preserve">El ROE </w:t>
      </w:r>
      <w:r w:rsidR="00C93CBD" w:rsidRPr="00240EF4">
        <w:rPr>
          <w:i/>
          <w:lang w:val="es-CO" w:eastAsia="es-CO"/>
        </w:rPr>
        <w:t xml:space="preserve">de la </w:t>
      </w:r>
      <w:r w:rsidR="00C93CBD" w:rsidRPr="00240EF4">
        <w:rPr>
          <w:i/>
          <w:lang w:val="es-CO" w:eastAsia="es-CO"/>
        </w:rPr>
        <w:lastRenderedPageBreak/>
        <w:t>Empresa de</w:t>
      </w:r>
      <w:r w:rsidR="00C063B0" w:rsidRPr="00240EF4">
        <w:rPr>
          <w:i/>
          <w:lang w:val="es-CO" w:eastAsia="es-CO"/>
        </w:rPr>
        <w:t xml:space="preserve"> Energía de Bogotá </w:t>
      </w:r>
      <w:r w:rsidR="00C93CBD" w:rsidRPr="00240EF4">
        <w:rPr>
          <w:i/>
          <w:lang w:val="es-CO" w:eastAsia="es-CO"/>
        </w:rPr>
        <w:t>(EEB)</w:t>
      </w:r>
      <w:r w:rsidR="00240EF4">
        <w:rPr>
          <w:i/>
          <w:lang w:val="es-CO" w:eastAsia="es-CO"/>
        </w:rPr>
        <w:t xml:space="preserve"> en los Estados Financieros Individuales </w:t>
      </w:r>
      <w:r w:rsidR="00C93CBD" w:rsidRPr="00240EF4">
        <w:rPr>
          <w:i/>
          <w:lang w:val="es-CO" w:eastAsia="es-CO"/>
        </w:rPr>
        <w:t>a corte de septiembre 30 de 2016 fue de 15.07%</w:t>
      </w:r>
      <w:r w:rsidR="00C93CBD" w:rsidRPr="00240EF4">
        <w:rPr>
          <w:rStyle w:val="Refdenotaalpie"/>
          <w:i/>
          <w:lang w:val="es-CO" w:eastAsia="es-CO"/>
        </w:rPr>
        <w:footnoteReference w:id="49"/>
      </w:r>
      <w:r w:rsidR="00C063B0" w:rsidRPr="00240EF4">
        <w:rPr>
          <w:i/>
          <w:lang w:val="es-CO" w:eastAsia="es-CO"/>
        </w:rPr>
        <w:t>.</w:t>
      </w:r>
    </w:p>
    <w:tbl>
      <w:tblPr>
        <w:tblStyle w:val="Tablaconcuadrcula"/>
        <w:tblW w:w="0" w:type="auto"/>
        <w:jc w:val="center"/>
        <w:tblLook w:val="04A0" w:firstRow="1" w:lastRow="0" w:firstColumn="1" w:lastColumn="0" w:noHBand="0" w:noVBand="1"/>
      </w:tblPr>
      <w:tblGrid>
        <w:gridCol w:w="4942"/>
        <w:gridCol w:w="2893"/>
      </w:tblGrid>
      <w:tr w:rsidR="009C20C9" w:rsidRPr="00F8119E" w14:paraId="09360E60" w14:textId="77777777" w:rsidTr="00E2214F">
        <w:trPr>
          <w:trHeight w:val="329"/>
          <w:jc w:val="center"/>
        </w:trPr>
        <w:tc>
          <w:tcPr>
            <w:tcW w:w="4942" w:type="dxa"/>
            <w:shd w:val="clear" w:color="auto" w:fill="002060"/>
            <w:vAlign w:val="center"/>
          </w:tcPr>
          <w:p w14:paraId="4AA09CF2" w14:textId="77777777" w:rsidR="009C20C9" w:rsidRPr="00F8119E" w:rsidRDefault="009C20C9" w:rsidP="00E2214F">
            <w:pPr>
              <w:rPr>
                <w:rFonts w:cs="Arial"/>
                <w:b/>
                <w:color w:val="FFFFFF" w:themeColor="background1"/>
                <w:sz w:val="20"/>
              </w:rPr>
            </w:pPr>
            <w:r w:rsidRPr="00F8119E">
              <w:rPr>
                <w:rFonts w:cs="Arial"/>
                <w:b/>
                <w:sz w:val="20"/>
              </w:rPr>
              <w:t>Grupos Estratégicos de Negocio (GEN)</w:t>
            </w:r>
          </w:p>
        </w:tc>
        <w:tc>
          <w:tcPr>
            <w:tcW w:w="2893" w:type="dxa"/>
            <w:shd w:val="clear" w:color="auto" w:fill="002060"/>
            <w:vAlign w:val="center"/>
          </w:tcPr>
          <w:p w14:paraId="0EB1BED1" w14:textId="77777777" w:rsidR="009C20C9" w:rsidRDefault="009C20C9" w:rsidP="00E2214F">
            <w:pPr>
              <w:jc w:val="center"/>
              <w:rPr>
                <w:rFonts w:cs="Arial"/>
                <w:b/>
                <w:color w:val="FFFFFF" w:themeColor="background1"/>
                <w:sz w:val="20"/>
              </w:rPr>
            </w:pPr>
            <w:r w:rsidRPr="00F8119E">
              <w:rPr>
                <w:rFonts w:cs="Arial"/>
                <w:b/>
                <w:color w:val="FFFFFF" w:themeColor="background1"/>
                <w:sz w:val="20"/>
              </w:rPr>
              <w:t>ROE</w:t>
            </w:r>
          </w:p>
          <w:p w14:paraId="53F215AA" w14:textId="77777777" w:rsidR="009C20C9" w:rsidRPr="00F8119E" w:rsidRDefault="009C20C9" w:rsidP="00E2214F">
            <w:pPr>
              <w:jc w:val="center"/>
              <w:rPr>
                <w:rFonts w:cs="Arial"/>
                <w:b/>
                <w:color w:val="FFFFFF" w:themeColor="background1"/>
                <w:sz w:val="20"/>
              </w:rPr>
            </w:pPr>
            <w:r>
              <w:rPr>
                <w:rFonts w:cs="Arial"/>
                <w:b/>
                <w:color w:val="FFFFFF" w:themeColor="background1"/>
                <w:sz w:val="20"/>
              </w:rPr>
              <w:t>Cifras a 31/diciembre/2015</w:t>
            </w:r>
          </w:p>
        </w:tc>
      </w:tr>
      <w:tr w:rsidR="009C20C9" w:rsidRPr="00F8119E" w14:paraId="5FF9506A" w14:textId="77777777" w:rsidTr="00E2214F">
        <w:trPr>
          <w:trHeight w:val="397"/>
          <w:jc w:val="center"/>
        </w:trPr>
        <w:tc>
          <w:tcPr>
            <w:tcW w:w="4942" w:type="dxa"/>
            <w:vAlign w:val="center"/>
          </w:tcPr>
          <w:p w14:paraId="79D236C3" w14:textId="77777777" w:rsidR="009C20C9" w:rsidRPr="00F8119E" w:rsidRDefault="009C20C9" w:rsidP="00E2214F">
            <w:pPr>
              <w:rPr>
                <w:rFonts w:cs="Arial"/>
                <w:sz w:val="20"/>
              </w:rPr>
            </w:pPr>
            <w:r w:rsidRPr="00F8119E">
              <w:rPr>
                <w:rFonts w:eastAsiaTheme="minorEastAsia" w:cs="Arial"/>
                <w:sz w:val="20"/>
                <w:lang w:val="es-MX"/>
              </w:rPr>
              <w:t xml:space="preserve">Soluciones Energéticas Urbanas </w:t>
            </w:r>
            <w:r>
              <w:rPr>
                <w:rFonts w:eastAsiaTheme="minorEastAsia" w:cs="Arial"/>
                <w:sz w:val="20"/>
                <w:lang w:val="es-MX"/>
              </w:rPr>
              <w:t xml:space="preserve">- </w:t>
            </w:r>
            <w:r w:rsidRPr="00F8119E">
              <w:rPr>
                <w:rFonts w:eastAsiaTheme="minorEastAsia" w:cs="Arial"/>
                <w:sz w:val="20"/>
                <w:lang w:val="es-MX"/>
              </w:rPr>
              <w:t>(SEU)</w:t>
            </w:r>
          </w:p>
        </w:tc>
        <w:tc>
          <w:tcPr>
            <w:tcW w:w="2893" w:type="dxa"/>
            <w:vAlign w:val="center"/>
          </w:tcPr>
          <w:p w14:paraId="108BD865" w14:textId="77777777" w:rsidR="009C20C9" w:rsidRPr="00F8119E" w:rsidRDefault="009C20C9" w:rsidP="00E2214F">
            <w:pPr>
              <w:jc w:val="center"/>
              <w:rPr>
                <w:rFonts w:cs="Arial"/>
                <w:sz w:val="20"/>
              </w:rPr>
            </w:pPr>
            <w:r w:rsidRPr="00F8119E">
              <w:rPr>
                <w:rFonts w:eastAsiaTheme="minorEastAsia" w:cs="Arial"/>
                <w:sz w:val="20"/>
                <w:lang w:val="es-MX"/>
              </w:rPr>
              <w:t>22.4%</w:t>
            </w:r>
          </w:p>
        </w:tc>
      </w:tr>
      <w:tr w:rsidR="009C20C9" w:rsidRPr="00F8119E" w14:paraId="4F7FC099" w14:textId="77777777" w:rsidTr="00E2214F">
        <w:trPr>
          <w:trHeight w:val="397"/>
          <w:jc w:val="center"/>
        </w:trPr>
        <w:tc>
          <w:tcPr>
            <w:tcW w:w="4942" w:type="dxa"/>
            <w:vAlign w:val="center"/>
          </w:tcPr>
          <w:p w14:paraId="7A8ED569" w14:textId="77777777" w:rsidR="009C20C9" w:rsidRPr="00F8119E" w:rsidRDefault="009C20C9" w:rsidP="00E2214F">
            <w:pPr>
              <w:rPr>
                <w:rFonts w:cs="Arial"/>
                <w:sz w:val="20"/>
              </w:rPr>
            </w:pPr>
            <w:r w:rsidRPr="00F8119E">
              <w:rPr>
                <w:rFonts w:eastAsiaTheme="minorEastAsia" w:cs="Arial"/>
                <w:sz w:val="20"/>
                <w:lang w:val="es-MX"/>
              </w:rPr>
              <w:t xml:space="preserve">Generación de Baja Emisión </w:t>
            </w:r>
            <w:r>
              <w:rPr>
                <w:rFonts w:eastAsiaTheme="minorEastAsia" w:cs="Arial"/>
                <w:sz w:val="20"/>
                <w:lang w:val="es-MX"/>
              </w:rPr>
              <w:t xml:space="preserve">- </w:t>
            </w:r>
            <w:r w:rsidRPr="00F8119E">
              <w:rPr>
                <w:rFonts w:eastAsiaTheme="minorEastAsia" w:cs="Arial"/>
                <w:sz w:val="20"/>
                <w:lang w:val="es-MX"/>
              </w:rPr>
              <w:t>(GBE)</w:t>
            </w:r>
          </w:p>
        </w:tc>
        <w:tc>
          <w:tcPr>
            <w:tcW w:w="2893" w:type="dxa"/>
            <w:vAlign w:val="center"/>
          </w:tcPr>
          <w:p w14:paraId="549E145B" w14:textId="77777777" w:rsidR="009C20C9" w:rsidRPr="00F8119E" w:rsidRDefault="009C20C9" w:rsidP="00E2214F">
            <w:pPr>
              <w:jc w:val="center"/>
              <w:rPr>
                <w:rFonts w:cs="Arial"/>
                <w:sz w:val="20"/>
              </w:rPr>
            </w:pPr>
            <w:r w:rsidRPr="00F8119E">
              <w:rPr>
                <w:rFonts w:eastAsiaTheme="minorEastAsia" w:cs="Arial"/>
                <w:sz w:val="20"/>
                <w:lang w:val="es-MX"/>
              </w:rPr>
              <w:t>24.9%</w:t>
            </w:r>
          </w:p>
        </w:tc>
      </w:tr>
      <w:tr w:rsidR="009C20C9" w:rsidRPr="00F8119E" w14:paraId="6AC06F5B" w14:textId="77777777" w:rsidTr="00E2214F">
        <w:trPr>
          <w:trHeight w:val="397"/>
          <w:jc w:val="center"/>
        </w:trPr>
        <w:tc>
          <w:tcPr>
            <w:tcW w:w="4942" w:type="dxa"/>
            <w:vAlign w:val="center"/>
          </w:tcPr>
          <w:p w14:paraId="730C89BE" w14:textId="77777777" w:rsidR="009C20C9" w:rsidRPr="00F8119E" w:rsidRDefault="009C20C9" w:rsidP="00E2214F">
            <w:pPr>
              <w:rPr>
                <w:rFonts w:cs="Arial"/>
                <w:sz w:val="20"/>
              </w:rPr>
            </w:pPr>
            <w:r w:rsidRPr="00F8119E">
              <w:rPr>
                <w:rFonts w:eastAsiaTheme="minorEastAsia" w:cs="Arial"/>
                <w:sz w:val="20"/>
                <w:lang w:val="es-MX"/>
              </w:rPr>
              <w:t xml:space="preserve">Interconexión para el Desarrollo de Mercados </w:t>
            </w:r>
            <w:r>
              <w:rPr>
                <w:rFonts w:eastAsiaTheme="minorEastAsia" w:cs="Arial"/>
                <w:sz w:val="20"/>
                <w:lang w:val="es-MX"/>
              </w:rPr>
              <w:t>- (IDM)</w:t>
            </w:r>
          </w:p>
        </w:tc>
        <w:tc>
          <w:tcPr>
            <w:tcW w:w="2893" w:type="dxa"/>
            <w:vAlign w:val="center"/>
          </w:tcPr>
          <w:p w14:paraId="430D27E6" w14:textId="77777777" w:rsidR="009C20C9" w:rsidRPr="00F8119E" w:rsidRDefault="009C20C9" w:rsidP="00E2214F">
            <w:pPr>
              <w:jc w:val="center"/>
              <w:rPr>
                <w:rFonts w:cs="Arial"/>
                <w:sz w:val="20"/>
              </w:rPr>
            </w:pPr>
            <w:r w:rsidRPr="00F8119E">
              <w:rPr>
                <w:rFonts w:eastAsiaTheme="minorEastAsia" w:cs="Arial"/>
                <w:sz w:val="20"/>
                <w:lang w:val="es-MX"/>
              </w:rPr>
              <w:t>6.1%</w:t>
            </w:r>
          </w:p>
        </w:tc>
      </w:tr>
    </w:tbl>
    <w:p w14:paraId="23A5254D" w14:textId="197260F3" w:rsidR="00132EA8" w:rsidRPr="005D0E0F" w:rsidRDefault="00E810BB" w:rsidP="005D0E0F">
      <w:pPr>
        <w:jc w:val="center"/>
        <w:rPr>
          <w:sz w:val="16"/>
        </w:rPr>
      </w:pPr>
      <w:r w:rsidRPr="00E810BB">
        <w:rPr>
          <w:sz w:val="16"/>
          <w:lang w:val="es-CO" w:eastAsia="es-CO"/>
        </w:rPr>
        <w:t xml:space="preserve">Fuente: </w:t>
      </w:r>
      <w:r w:rsidR="009C20C9" w:rsidRPr="00052A3B">
        <w:rPr>
          <w:sz w:val="16"/>
          <w:szCs w:val="16"/>
        </w:rPr>
        <w:t xml:space="preserve">Respuesta </w:t>
      </w:r>
      <w:r w:rsidR="009C20C9">
        <w:rPr>
          <w:sz w:val="16"/>
          <w:szCs w:val="16"/>
        </w:rPr>
        <w:t xml:space="preserve">EEB </w:t>
      </w:r>
      <w:r w:rsidR="009C20C9" w:rsidRPr="00052A3B">
        <w:rPr>
          <w:sz w:val="16"/>
          <w:szCs w:val="16"/>
        </w:rPr>
        <w:t>Derecho de Petición 2016</w:t>
      </w:r>
      <w:r w:rsidR="009C20C9">
        <w:rPr>
          <w:sz w:val="16"/>
          <w:szCs w:val="16"/>
        </w:rPr>
        <w:t>EE14095</w:t>
      </w:r>
      <w:r w:rsidR="009C20C9" w:rsidRPr="00052A3B">
        <w:rPr>
          <w:sz w:val="16"/>
          <w:szCs w:val="16"/>
        </w:rPr>
        <w:t>.</w:t>
      </w:r>
    </w:p>
    <w:p w14:paraId="08981302" w14:textId="77777777" w:rsidR="00F05E8F" w:rsidRPr="00CC4580" w:rsidRDefault="00F05E8F" w:rsidP="00F05E8F">
      <w:pPr>
        <w:pStyle w:val="Ttulo2"/>
        <w:rPr>
          <w:color w:val="000000" w:themeColor="text1"/>
          <w:lang w:val="es-CO"/>
        </w:rPr>
      </w:pPr>
      <w:r w:rsidRPr="00CC4580">
        <w:rPr>
          <w:color w:val="000000" w:themeColor="text1"/>
          <w:lang w:val="es-CO"/>
        </w:rPr>
        <w:t xml:space="preserve">Conflictos de interés en </w:t>
      </w:r>
      <w:proofErr w:type="spellStart"/>
      <w:r w:rsidRPr="00CC4580">
        <w:rPr>
          <w:color w:val="000000" w:themeColor="text1"/>
          <w:lang w:val="es-CO"/>
        </w:rPr>
        <w:t>Promigas</w:t>
      </w:r>
      <w:proofErr w:type="spellEnd"/>
    </w:p>
    <w:p w14:paraId="4D1DEE52" w14:textId="2E672AA0" w:rsidR="00F05E8F" w:rsidRPr="00D369AA" w:rsidRDefault="00CC4580" w:rsidP="00D169C0">
      <w:pPr>
        <w:rPr>
          <w:lang w:val="es-CO"/>
        </w:rPr>
      </w:pPr>
      <w:r>
        <w:rPr>
          <w:lang w:val="es-CO"/>
        </w:rPr>
        <w:t>El P</w:t>
      </w:r>
      <w:r w:rsidR="00F05E8F" w:rsidRPr="00D369AA">
        <w:rPr>
          <w:lang w:val="es-CO"/>
        </w:rPr>
        <w:t xml:space="preserve">royecto de Acuerdo 472 de 2016, solicita la autorización al Concejo de Bogotá para que </w:t>
      </w:r>
      <w:r w:rsidR="00F05E8F" w:rsidRPr="00D369AA">
        <w:rPr>
          <w:i/>
          <w:lang w:val="es-CO" w:eastAsia="es-CO"/>
        </w:rPr>
        <w:t xml:space="preserve">EEB Gas S.A.S. enajene la participación accionaria que posee en </w:t>
      </w:r>
      <w:proofErr w:type="spellStart"/>
      <w:r w:rsidR="00F05E8F" w:rsidRPr="00D369AA">
        <w:rPr>
          <w:i/>
          <w:lang w:val="es-CO" w:eastAsia="es-CO"/>
        </w:rPr>
        <w:t>Promigas</w:t>
      </w:r>
      <w:proofErr w:type="spellEnd"/>
      <w:r w:rsidR="00F05E8F" w:rsidRPr="00D369AA">
        <w:rPr>
          <w:i/>
          <w:lang w:val="es-CO" w:eastAsia="es-CO"/>
        </w:rPr>
        <w:t xml:space="preserve"> S.A. E.S.P</w:t>
      </w:r>
      <w:r w:rsidR="00011430" w:rsidRPr="00D369AA">
        <w:rPr>
          <w:i/>
          <w:lang w:val="es-CO" w:eastAsia="es-CO"/>
        </w:rPr>
        <w:t>. C</w:t>
      </w:r>
      <w:r w:rsidR="00F05E8F" w:rsidRPr="00D369AA">
        <w:rPr>
          <w:lang w:val="es-CO"/>
        </w:rPr>
        <w:t>omo se indica en el numeral 4</w:t>
      </w:r>
      <w:r w:rsidR="00011430" w:rsidRPr="00D369AA">
        <w:rPr>
          <w:lang w:val="es-CO"/>
        </w:rPr>
        <w:t>.8</w:t>
      </w:r>
      <w:r w:rsidR="00F05E8F" w:rsidRPr="00D369AA">
        <w:rPr>
          <w:lang w:val="es-CO"/>
        </w:rPr>
        <w:t xml:space="preserve"> del documento</w:t>
      </w:r>
      <w:r w:rsidR="005E7CD2" w:rsidRPr="00D369AA">
        <w:rPr>
          <w:lang w:val="es-CO"/>
        </w:rPr>
        <w:t>,</w:t>
      </w:r>
      <w:r w:rsidR="00F05E8F" w:rsidRPr="00D369AA">
        <w:rPr>
          <w:lang w:val="es-CO"/>
        </w:rPr>
        <w:t xml:space="preserve"> </w:t>
      </w:r>
      <w:proofErr w:type="spellStart"/>
      <w:r w:rsidR="00F05E8F" w:rsidRPr="00D369AA">
        <w:rPr>
          <w:lang w:val="es-CO"/>
        </w:rPr>
        <w:t>Promigas</w:t>
      </w:r>
      <w:proofErr w:type="spellEnd"/>
      <w:r w:rsidR="00F05E8F" w:rsidRPr="00D369AA">
        <w:rPr>
          <w:lang w:val="es-CO"/>
        </w:rPr>
        <w:t xml:space="preserve"> S.A. E.S.P. es una empresa dedicada principalmente al transporte y distribución de gas natural</w:t>
      </w:r>
      <w:r w:rsidR="005E7CD2" w:rsidRPr="00D369AA">
        <w:rPr>
          <w:lang w:val="es-CO"/>
        </w:rPr>
        <w:t>:</w:t>
      </w:r>
      <w:r w:rsidR="00F05E8F" w:rsidRPr="00D369AA">
        <w:rPr>
          <w:lang w:val="es-CO"/>
        </w:rPr>
        <w:t xml:space="preserve"> transporta el 50 % del gas natural de Colombia por medio de 2900 km de redes de gasoducto, llevando gas natural a más de 2.962.000 usuarios en Colombia, lo que representa 40 % del mercado nacional al atender a más de 11,5 millones de personas.</w:t>
      </w:r>
    </w:p>
    <w:p w14:paraId="104C9B48" w14:textId="77777777" w:rsidR="00F05E8F" w:rsidRPr="00D369AA" w:rsidRDefault="00F05E8F" w:rsidP="001C4279">
      <w:pPr>
        <w:pStyle w:val="Prrafodelista"/>
        <w:ind w:left="0" w:right="51"/>
        <w:jc w:val="left"/>
        <w:rPr>
          <w:bCs/>
          <w:szCs w:val="24"/>
          <w:lang w:val="es-CO"/>
        </w:rPr>
      </w:pPr>
      <w:r w:rsidRPr="00D369AA">
        <w:rPr>
          <w:noProof/>
          <w:lang w:val="es-CO" w:eastAsia="es-CO"/>
        </w:rPr>
        <w:drawing>
          <wp:inline distT="0" distB="0" distL="0" distR="0" wp14:anchorId="75D86C29" wp14:editId="0ABA6898">
            <wp:extent cx="5610225" cy="2724150"/>
            <wp:effectExtent l="19050" t="19050" r="285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2724150"/>
                    </a:xfrm>
                    <a:prstGeom prst="rect">
                      <a:avLst/>
                    </a:prstGeom>
                    <a:noFill/>
                    <a:ln w="22225">
                      <a:solidFill>
                        <a:schemeClr val="tx1"/>
                      </a:solidFill>
                    </a:ln>
                  </pic:spPr>
                </pic:pic>
              </a:graphicData>
            </a:graphic>
          </wp:inline>
        </w:drawing>
      </w:r>
    </w:p>
    <w:p w14:paraId="65EDC450" w14:textId="77777777" w:rsidR="00F05E8F" w:rsidRPr="00D369AA" w:rsidRDefault="00F05E8F" w:rsidP="0002495C">
      <w:pPr>
        <w:pStyle w:val="Citadestacada"/>
        <w:rPr>
          <w:lang w:val="es-CO"/>
        </w:rPr>
      </w:pPr>
      <w:r w:rsidRPr="00D369AA">
        <w:rPr>
          <w:lang w:val="es-CO"/>
        </w:rPr>
        <w:lastRenderedPageBreak/>
        <w:t>Fuente: http://www.promigas.com/Es/Negocios/Paginas/Tranporte-de-Gas-Natural.aspx</w:t>
      </w:r>
    </w:p>
    <w:p w14:paraId="3A55EAD0" w14:textId="77777777" w:rsidR="009B002D" w:rsidRPr="00D369AA" w:rsidRDefault="009B002D" w:rsidP="008805A7">
      <w:pPr>
        <w:rPr>
          <w:rFonts w:cs="Arial"/>
          <w:szCs w:val="24"/>
          <w:lang w:val="es-CO"/>
        </w:rPr>
      </w:pPr>
      <w:r w:rsidRPr="00D369AA">
        <w:rPr>
          <w:rFonts w:cs="Arial"/>
          <w:szCs w:val="24"/>
          <w:lang w:val="es-CO"/>
        </w:rPr>
        <w:t xml:space="preserve">A continuación se describen los potenciales escenarios de conflicto de interés para EEB, al participar en diferentes roles como socio, accionista y competidor en los negocios en que actualmente participa </w:t>
      </w:r>
      <w:proofErr w:type="spellStart"/>
      <w:r w:rsidRPr="00D369AA">
        <w:rPr>
          <w:rFonts w:cs="Arial"/>
          <w:szCs w:val="24"/>
          <w:lang w:val="es-CO"/>
        </w:rPr>
        <w:t>Promigas</w:t>
      </w:r>
      <w:proofErr w:type="spellEnd"/>
      <w:r w:rsidRPr="00D369AA">
        <w:rPr>
          <w:rFonts w:cs="Arial"/>
          <w:szCs w:val="24"/>
          <w:lang w:val="es-CO"/>
        </w:rPr>
        <w:t>.</w:t>
      </w:r>
    </w:p>
    <w:p w14:paraId="0D1E1019" w14:textId="77777777" w:rsidR="008805A7" w:rsidRPr="00D369AA" w:rsidRDefault="008805A7" w:rsidP="008805A7">
      <w:pPr>
        <w:rPr>
          <w:rFonts w:cs="Arial"/>
          <w:szCs w:val="24"/>
          <w:lang w:val="es-CO"/>
        </w:rPr>
      </w:pPr>
      <w:r w:rsidRPr="00D369AA">
        <w:rPr>
          <w:rFonts w:cs="Arial"/>
          <w:b/>
          <w:szCs w:val="24"/>
          <w:lang w:val="es-CO"/>
        </w:rPr>
        <w:t>Socio</w:t>
      </w:r>
      <w:r w:rsidRPr="00D369AA">
        <w:rPr>
          <w:rFonts w:cs="Arial"/>
          <w:szCs w:val="24"/>
          <w:lang w:val="es-CO"/>
        </w:rPr>
        <w:t xml:space="preserve">: </w:t>
      </w:r>
      <w:proofErr w:type="spellStart"/>
      <w:r w:rsidRPr="00D369AA">
        <w:rPr>
          <w:rFonts w:cs="Arial"/>
          <w:szCs w:val="24"/>
          <w:lang w:val="es-CO"/>
        </w:rPr>
        <w:t>Promigas</w:t>
      </w:r>
      <w:proofErr w:type="spellEnd"/>
      <w:r w:rsidRPr="00D369AA">
        <w:rPr>
          <w:rFonts w:cs="Arial"/>
          <w:szCs w:val="24"/>
          <w:lang w:val="es-CO"/>
        </w:rPr>
        <w:t xml:space="preserve"> es socio de EEB en Gas Natural de Lima y Callao S.A: (</w:t>
      </w:r>
      <w:proofErr w:type="spellStart"/>
      <w:r w:rsidRPr="00D369AA">
        <w:rPr>
          <w:rFonts w:cs="Arial"/>
          <w:szCs w:val="24"/>
          <w:lang w:val="es-CO"/>
        </w:rPr>
        <w:t>Calidda</w:t>
      </w:r>
      <w:proofErr w:type="spellEnd"/>
      <w:r w:rsidRPr="00D369AA">
        <w:rPr>
          <w:rFonts w:cs="Arial"/>
          <w:szCs w:val="24"/>
          <w:lang w:val="es-CO"/>
        </w:rPr>
        <w:t xml:space="preserve">), empresa que tiene la concesión para diseñar, construir y operar el sistema de distribución de gas natural en el departamento de Lima y la Provincia Constitucional del Callao en Perú por 33 años. </w:t>
      </w:r>
      <w:proofErr w:type="spellStart"/>
      <w:r w:rsidRPr="00D369AA">
        <w:rPr>
          <w:rFonts w:cs="Arial"/>
          <w:szCs w:val="24"/>
          <w:lang w:val="es-CO"/>
        </w:rPr>
        <w:t>Promigas</w:t>
      </w:r>
      <w:proofErr w:type="spellEnd"/>
      <w:r w:rsidRPr="00D369AA">
        <w:rPr>
          <w:rFonts w:cs="Arial"/>
          <w:szCs w:val="24"/>
          <w:lang w:val="es-CO"/>
        </w:rPr>
        <w:t xml:space="preserve"> participa con el 40% de la compañía y EEB a través de EEB GAS SAS tiene una posición controlante con el 60%.</w:t>
      </w:r>
    </w:p>
    <w:p w14:paraId="555C3D16" w14:textId="77777777" w:rsidR="00122282" w:rsidRPr="00D369AA" w:rsidRDefault="008805A7" w:rsidP="00122282">
      <w:pPr>
        <w:rPr>
          <w:lang w:val="es-CO"/>
        </w:rPr>
      </w:pPr>
      <w:r w:rsidRPr="00D369AA">
        <w:rPr>
          <w:rFonts w:cs="Arial"/>
          <w:b/>
          <w:szCs w:val="24"/>
          <w:lang w:val="es-CO"/>
        </w:rPr>
        <w:t>Accionista</w:t>
      </w:r>
      <w:r w:rsidRPr="00D369AA">
        <w:rPr>
          <w:rFonts w:cs="Arial"/>
          <w:szCs w:val="24"/>
          <w:lang w:val="es-CO"/>
        </w:rPr>
        <w:t xml:space="preserve">: EEB es un accionista minoritario de </w:t>
      </w:r>
      <w:proofErr w:type="spellStart"/>
      <w:r w:rsidRPr="00D369AA">
        <w:rPr>
          <w:rFonts w:cs="Arial"/>
          <w:szCs w:val="24"/>
          <w:lang w:val="es-CO"/>
        </w:rPr>
        <w:t>Promigas</w:t>
      </w:r>
      <w:proofErr w:type="spellEnd"/>
      <w:r w:rsidRPr="00D369AA">
        <w:rPr>
          <w:rFonts w:cs="Arial"/>
          <w:szCs w:val="24"/>
          <w:lang w:val="es-CO"/>
        </w:rPr>
        <w:t xml:space="preserve"> con el 15,6% de su Capital</w:t>
      </w:r>
      <w:r w:rsidR="009B002D" w:rsidRPr="00D369AA">
        <w:rPr>
          <w:rFonts w:cs="Arial"/>
          <w:szCs w:val="24"/>
          <w:lang w:val="es-CO"/>
        </w:rPr>
        <w:t xml:space="preserve"> y cuenta con </w:t>
      </w:r>
      <w:r w:rsidRPr="00D369AA">
        <w:rPr>
          <w:rFonts w:cs="Arial"/>
          <w:szCs w:val="24"/>
          <w:lang w:val="es-CO"/>
        </w:rPr>
        <w:t xml:space="preserve">un puesto en </w:t>
      </w:r>
      <w:r w:rsidR="009B002D" w:rsidRPr="00D369AA">
        <w:rPr>
          <w:rFonts w:cs="Arial"/>
          <w:szCs w:val="24"/>
          <w:lang w:val="es-CO"/>
        </w:rPr>
        <w:t>la J</w:t>
      </w:r>
      <w:r w:rsidRPr="00D369AA">
        <w:rPr>
          <w:rFonts w:cs="Arial"/>
          <w:szCs w:val="24"/>
          <w:lang w:val="es-CO"/>
        </w:rPr>
        <w:t xml:space="preserve">unta </w:t>
      </w:r>
      <w:r w:rsidR="009B002D" w:rsidRPr="00D369AA">
        <w:rPr>
          <w:rFonts w:cs="Arial"/>
          <w:szCs w:val="24"/>
          <w:lang w:val="es-CO"/>
        </w:rPr>
        <w:t>D</w:t>
      </w:r>
      <w:r w:rsidRPr="00D369AA">
        <w:rPr>
          <w:rFonts w:cs="Arial"/>
          <w:szCs w:val="24"/>
          <w:lang w:val="es-CO"/>
        </w:rPr>
        <w:t>irectiva</w:t>
      </w:r>
      <w:r w:rsidR="009B002D" w:rsidRPr="00D369AA">
        <w:rPr>
          <w:rFonts w:cs="Arial"/>
          <w:szCs w:val="24"/>
          <w:lang w:val="es-CO"/>
        </w:rPr>
        <w:t>. C</w:t>
      </w:r>
      <w:r w:rsidRPr="00D369AA">
        <w:rPr>
          <w:rFonts w:cs="Arial"/>
          <w:szCs w:val="24"/>
          <w:lang w:val="es-CO"/>
        </w:rPr>
        <w:t>uando este órgano debe discutir temas estrat</w:t>
      </w:r>
      <w:r w:rsidR="009B002D" w:rsidRPr="00D369AA">
        <w:rPr>
          <w:rFonts w:cs="Arial"/>
          <w:szCs w:val="24"/>
          <w:lang w:val="es-CO"/>
        </w:rPr>
        <w:t>é</w:t>
      </w:r>
      <w:r w:rsidRPr="00D369AA">
        <w:rPr>
          <w:rFonts w:cs="Arial"/>
          <w:szCs w:val="24"/>
          <w:lang w:val="es-CO"/>
        </w:rPr>
        <w:t>gicos en los que TGI SA E.S.P o alguna empresa de EEB pudiese tener injerencia o ser competidor potencial</w:t>
      </w:r>
      <w:r w:rsidR="009B002D" w:rsidRPr="00D369AA">
        <w:rPr>
          <w:rFonts w:cs="Arial"/>
          <w:szCs w:val="24"/>
          <w:lang w:val="es-CO"/>
        </w:rPr>
        <w:t>, EEB debe declararse en conflicto de interés</w:t>
      </w:r>
      <w:r w:rsidRPr="00D369AA">
        <w:rPr>
          <w:rFonts w:cs="Arial"/>
          <w:szCs w:val="24"/>
          <w:lang w:val="es-CO"/>
        </w:rPr>
        <w:t xml:space="preserve">. </w:t>
      </w:r>
    </w:p>
    <w:p w14:paraId="4EA06310" w14:textId="77777777" w:rsidR="00C61302" w:rsidRPr="00D369AA" w:rsidRDefault="008805A7" w:rsidP="008805A7">
      <w:pPr>
        <w:rPr>
          <w:rFonts w:cs="Arial"/>
          <w:szCs w:val="24"/>
          <w:lang w:val="es-CO"/>
        </w:rPr>
      </w:pPr>
      <w:r w:rsidRPr="00D369AA">
        <w:rPr>
          <w:rFonts w:cs="Arial"/>
          <w:b/>
          <w:szCs w:val="24"/>
          <w:lang w:val="es-CO"/>
        </w:rPr>
        <w:t>Competidor:</w:t>
      </w:r>
      <w:r w:rsidRPr="00D369AA">
        <w:rPr>
          <w:rFonts w:cs="Arial"/>
          <w:szCs w:val="24"/>
          <w:lang w:val="es-CO"/>
        </w:rPr>
        <w:t xml:space="preserve"> </w:t>
      </w:r>
    </w:p>
    <w:p w14:paraId="7A053021" w14:textId="0D11A9CB" w:rsidR="009402DC" w:rsidRPr="00D369AA" w:rsidRDefault="00C61302" w:rsidP="008805A7">
      <w:pPr>
        <w:rPr>
          <w:rFonts w:cs="Arial"/>
          <w:szCs w:val="24"/>
          <w:lang w:val="es-CO"/>
        </w:rPr>
      </w:pPr>
      <w:r w:rsidRPr="00D369AA">
        <w:rPr>
          <w:rFonts w:cs="Arial"/>
          <w:szCs w:val="24"/>
          <w:lang w:val="es-CO"/>
        </w:rPr>
        <w:t xml:space="preserve">GEN Interconexión de Mercados de EEB: </w:t>
      </w:r>
      <w:r w:rsidR="008805A7" w:rsidRPr="00D369AA">
        <w:rPr>
          <w:rFonts w:cs="Arial"/>
          <w:szCs w:val="24"/>
          <w:lang w:val="es-CO"/>
        </w:rPr>
        <w:t>TGI S</w:t>
      </w:r>
      <w:r w:rsidR="00122282" w:rsidRPr="00D369AA">
        <w:rPr>
          <w:rFonts w:cs="Arial"/>
          <w:szCs w:val="24"/>
          <w:lang w:val="es-CO"/>
        </w:rPr>
        <w:t>.</w:t>
      </w:r>
      <w:r w:rsidR="008805A7" w:rsidRPr="00D369AA">
        <w:rPr>
          <w:rFonts w:cs="Arial"/>
          <w:szCs w:val="24"/>
          <w:lang w:val="es-CO"/>
        </w:rPr>
        <w:t>A E</w:t>
      </w:r>
      <w:r w:rsidR="00122282" w:rsidRPr="00D369AA">
        <w:rPr>
          <w:rFonts w:cs="Arial"/>
          <w:szCs w:val="24"/>
          <w:lang w:val="es-CO"/>
        </w:rPr>
        <w:t>.</w:t>
      </w:r>
      <w:r w:rsidR="008805A7" w:rsidRPr="00D369AA">
        <w:rPr>
          <w:rFonts w:cs="Arial"/>
          <w:szCs w:val="24"/>
          <w:lang w:val="es-CO"/>
        </w:rPr>
        <w:t>S</w:t>
      </w:r>
      <w:r w:rsidR="00122282" w:rsidRPr="00D369AA">
        <w:rPr>
          <w:rFonts w:cs="Arial"/>
          <w:szCs w:val="24"/>
          <w:lang w:val="es-CO"/>
        </w:rPr>
        <w:t>.</w:t>
      </w:r>
      <w:r w:rsidR="008805A7" w:rsidRPr="00D369AA">
        <w:rPr>
          <w:rFonts w:cs="Arial"/>
          <w:szCs w:val="24"/>
          <w:lang w:val="es-CO"/>
        </w:rPr>
        <w:t>P</w:t>
      </w:r>
      <w:r w:rsidR="00122282" w:rsidRPr="00D369AA">
        <w:rPr>
          <w:rFonts w:cs="Arial"/>
          <w:szCs w:val="24"/>
          <w:lang w:val="es-CO"/>
        </w:rPr>
        <w:t>.</w:t>
      </w:r>
      <w:r w:rsidRPr="00D369AA">
        <w:rPr>
          <w:rFonts w:cs="Arial"/>
          <w:szCs w:val="24"/>
          <w:lang w:val="es-CO"/>
        </w:rPr>
        <w:t xml:space="preserve">, </w:t>
      </w:r>
      <w:r w:rsidR="008805A7" w:rsidRPr="00D369AA">
        <w:rPr>
          <w:rFonts w:cs="Arial"/>
          <w:szCs w:val="24"/>
          <w:lang w:val="es-CO"/>
        </w:rPr>
        <w:t xml:space="preserve">propiedad de EEB </w:t>
      </w:r>
      <w:r w:rsidRPr="00D369AA">
        <w:rPr>
          <w:rFonts w:cs="Arial"/>
          <w:szCs w:val="24"/>
          <w:lang w:val="es-CO"/>
        </w:rPr>
        <w:t>en un 99,97%</w:t>
      </w:r>
      <w:r w:rsidR="008805A7" w:rsidRPr="00D369AA">
        <w:rPr>
          <w:rFonts w:cs="Arial"/>
          <w:szCs w:val="24"/>
          <w:lang w:val="es-CO"/>
        </w:rPr>
        <w:t xml:space="preserve"> es la mayor transportadora de gas natural en Colombia</w:t>
      </w:r>
      <w:r w:rsidR="00460A8B" w:rsidRPr="00D369AA">
        <w:rPr>
          <w:rFonts w:cs="Arial"/>
          <w:szCs w:val="24"/>
          <w:lang w:val="es-CO"/>
        </w:rPr>
        <w:t>. La infraestructura de TGI se extiende desde La Guajira ha</w:t>
      </w:r>
      <w:r w:rsidRPr="00D369AA">
        <w:rPr>
          <w:rFonts w:cs="Arial"/>
          <w:szCs w:val="24"/>
          <w:lang w:val="es-CO"/>
        </w:rPr>
        <w:t>sta Huila y Tolima y en el orien</w:t>
      </w:r>
      <w:r w:rsidR="00460A8B" w:rsidRPr="00D369AA">
        <w:rPr>
          <w:rFonts w:cs="Arial"/>
          <w:szCs w:val="24"/>
          <w:lang w:val="es-CO"/>
        </w:rPr>
        <w:t>te</w:t>
      </w:r>
      <w:r w:rsidR="008805A7" w:rsidRPr="00D369AA">
        <w:rPr>
          <w:rFonts w:cs="Arial"/>
          <w:szCs w:val="24"/>
          <w:lang w:val="es-CO"/>
        </w:rPr>
        <w:t xml:space="preserve"> </w:t>
      </w:r>
      <w:r w:rsidRPr="00D369AA">
        <w:rPr>
          <w:rFonts w:cs="Arial"/>
          <w:szCs w:val="24"/>
          <w:lang w:val="es-CO"/>
        </w:rPr>
        <w:t xml:space="preserve">colombiano, </w:t>
      </w:r>
      <w:r w:rsidR="009402DC" w:rsidRPr="00D369AA">
        <w:rPr>
          <w:rFonts w:cs="Arial"/>
          <w:szCs w:val="24"/>
          <w:lang w:val="es-CO"/>
        </w:rPr>
        <w:t xml:space="preserve">llegando a </w:t>
      </w:r>
      <w:r w:rsidR="008805A7" w:rsidRPr="00D369AA">
        <w:rPr>
          <w:rFonts w:cs="Arial"/>
          <w:szCs w:val="24"/>
          <w:lang w:val="es-CO"/>
        </w:rPr>
        <w:t xml:space="preserve">las </w:t>
      </w:r>
      <w:r w:rsidRPr="00D369AA">
        <w:rPr>
          <w:rFonts w:cs="Arial"/>
          <w:szCs w:val="24"/>
          <w:lang w:val="es-CO"/>
        </w:rPr>
        <w:t xml:space="preserve">puertas de las zonas y ciudades </w:t>
      </w:r>
      <w:r w:rsidR="008805A7" w:rsidRPr="00D369AA">
        <w:rPr>
          <w:rFonts w:cs="Arial"/>
          <w:szCs w:val="24"/>
          <w:lang w:val="es-CO"/>
        </w:rPr>
        <w:t>más pobladas del país tales como Bogotá, Medellín, Cali, el Eje Cafetero y el Piedemonte Llanero.</w:t>
      </w:r>
      <w:r w:rsidR="003E7D32" w:rsidRPr="00D369AA">
        <w:rPr>
          <w:rFonts w:cs="Arial"/>
          <w:szCs w:val="24"/>
          <w:lang w:val="es-CO"/>
        </w:rPr>
        <w:t xml:space="preserve"> </w:t>
      </w:r>
      <w:proofErr w:type="spellStart"/>
      <w:r w:rsidR="001D615B" w:rsidRPr="00D369AA">
        <w:rPr>
          <w:rFonts w:cs="Arial"/>
          <w:szCs w:val="24"/>
          <w:lang w:val="es-CO"/>
        </w:rPr>
        <w:t>Promigas</w:t>
      </w:r>
      <w:proofErr w:type="spellEnd"/>
      <w:r w:rsidR="001D615B" w:rsidRPr="00D369AA">
        <w:rPr>
          <w:rFonts w:cs="Arial"/>
          <w:szCs w:val="24"/>
          <w:lang w:val="es-CO"/>
        </w:rPr>
        <w:t xml:space="preserve"> y TGI </w:t>
      </w:r>
      <w:r w:rsidR="008805A7" w:rsidRPr="00D369AA">
        <w:rPr>
          <w:rFonts w:cs="Arial"/>
          <w:szCs w:val="24"/>
          <w:lang w:val="es-CO"/>
        </w:rPr>
        <w:t>operan en un oligopolio natural</w:t>
      </w:r>
      <w:r w:rsidR="009402DC" w:rsidRPr="00D369AA">
        <w:rPr>
          <w:rFonts w:cs="Arial"/>
          <w:szCs w:val="24"/>
          <w:lang w:val="es-CO"/>
        </w:rPr>
        <w:t xml:space="preserve"> que con el tiempo ha significado</w:t>
      </w:r>
      <w:r w:rsidR="008805A7" w:rsidRPr="00D369AA">
        <w:rPr>
          <w:rFonts w:cs="Arial"/>
          <w:szCs w:val="24"/>
          <w:lang w:val="es-CO"/>
        </w:rPr>
        <w:t xml:space="preserve"> encontrarse como posibles competidores en el desarrollo de nuevos proyectos de infraestructura</w:t>
      </w:r>
      <w:r w:rsidRPr="00D369AA">
        <w:rPr>
          <w:rFonts w:cs="Arial"/>
          <w:szCs w:val="24"/>
          <w:lang w:val="es-CO"/>
        </w:rPr>
        <w:t>.</w:t>
      </w:r>
      <w:r w:rsidR="008805A7" w:rsidRPr="00D369AA">
        <w:rPr>
          <w:rFonts w:cs="Arial"/>
          <w:szCs w:val="24"/>
          <w:lang w:val="es-CO"/>
        </w:rPr>
        <w:t xml:space="preserve"> </w:t>
      </w:r>
    </w:p>
    <w:p w14:paraId="34146198" w14:textId="77777777" w:rsidR="009402DC" w:rsidRPr="00D369AA" w:rsidRDefault="009402DC" w:rsidP="008805A7">
      <w:pPr>
        <w:rPr>
          <w:rFonts w:cs="Arial"/>
          <w:szCs w:val="24"/>
          <w:lang w:val="es-CO"/>
        </w:rPr>
      </w:pPr>
    </w:p>
    <w:p w14:paraId="0CF0C496" w14:textId="47938130" w:rsidR="007826EE" w:rsidRPr="00D369AA" w:rsidRDefault="007826EE" w:rsidP="007826EE">
      <w:pPr>
        <w:pStyle w:val="Epgrafe"/>
        <w:rPr>
          <w:rFonts w:eastAsia="Calibri" w:cs="Arial"/>
          <w:szCs w:val="24"/>
          <w:lang w:val="es-CO" w:eastAsia="es-CO"/>
        </w:rPr>
      </w:pPr>
      <w:r w:rsidRPr="00D369AA">
        <w:rPr>
          <w:lang w:val="es-CO"/>
        </w:rPr>
        <w:lastRenderedPageBreak/>
        <w:t xml:space="preserve"> Sistema nacional de transporte de Gas Natural</w:t>
      </w:r>
      <w:r w:rsidRPr="00D369AA">
        <w:rPr>
          <w:rStyle w:val="Refdenotaalpie"/>
          <w:lang w:val="es-CO"/>
        </w:rPr>
        <w:footnoteReference w:id="50"/>
      </w:r>
    </w:p>
    <w:p w14:paraId="559056D3" w14:textId="77777777" w:rsidR="007826EE" w:rsidRPr="00D369AA" w:rsidRDefault="007826EE" w:rsidP="00522684">
      <w:pPr>
        <w:jc w:val="center"/>
        <w:rPr>
          <w:rFonts w:cs="Arial"/>
          <w:szCs w:val="24"/>
          <w:lang w:val="es-CO"/>
        </w:rPr>
      </w:pPr>
      <w:r w:rsidRPr="00D369AA">
        <w:rPr>
          <w:rFonts w:cs="Arial"/>
          <w:noProof/>
          <w:szCs w:val="24"/>
          <w:lang w:val="es-CO" w:eastAsia="es-CO"/>
        </w:rPr>
        <w:drawing>
          <wp:inline distT="0" distB="0" distL="0" distR="0" wp14:anchorId="50CD42A7" wp14:editId="77273A99">
            <wp:extent cx="4543852" cy="4019107"/>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4123" cy="4019347"/>
                    </a:xfrm>
                    <a:prstGeom prst="rect">
                      <a:avLst/>
                    </a:prstGeom>
                    <a:noFill/>
                    <a:ln>
                      <a:noFill/>
                    </a:ln>
                  </pic:spPr>
                </pic:pic>
              </a:graphicData>
            </a:graphic>
          </wp:inline>
        </w:drawing>
      </w:r>
    </w:p>
    <w:p w14:paraId="1D5FC4F4" w14:textId="77777777" w:rsidR="007826EE" w:rsidRPr="00D369AA" w:rsidRDefault="007826EE" w:rsidP="008805A7">
      <w:pPr>
        <w:rPr>
          <w:rFonts w:cs="Arial"/>
          <w:szCs w:val="24"/>
          <w:lang w:val="es-CO"/>
        </w:rPr>
      </w:pPr>
    </w:p>
    <w:p w14:paraId="50CDB0B3" w14:textId="2170B511" w:rsidR="008805A7" w:rsidRPr="00D369AA" w:rsidRDefault="009402DC" w:rsidP="008805A7">
      <w:pPr>
        <w:rPr>
          <w:rFonts w:cs="Arial"/>
          <w:szCs w:val="24"/>
          <w:lang w:val="es-CO"/>
        </w:rPr>
      </w:pPr>
      <w:r w:rsidRPr="00D369AA">
        <w:rPr>
          <w:rFonts w:cs="Arial"/>
          <w:szCs w:val="24"/>
          <w:lang w:val="es-CO"/>
        </w:rPr>
        <w:t xml:space="preserve">En </w:t>
      </w:r>
      <w:r w:rsidR="00185617" w:rsidRPr="00D369AA">
        <w:rPr>
          <w:rFonts w:cs="Arial"/>
          <w:szCs w:val="24"/>
          <w:lang w:val="es-CO"/>
        </w:rPr>
        <w:t xml:space="preserve">cuanto al </w:t>
      </w:r>
      <w:r w:rsidRPr="00D369AA">
        <w:rPr>
          <w:rFonts w:cs="Arial"/>
          <w:szCs w:val="24"/>
          <w:lang w:val="es-CO"/>
        </w:rPr>
        <w:t>GEN Soluciones Energéticas Urbanas, d</w:t>
      </w:r>
      <w:r w:rsidR="008805A7" w:rsidRPr="00D369AA">
        <w:rPr>
          <w:rFonts w:cs="Arial"/>
          <w:szCs w:val="24"/>
          <w:lang w:val="es-CO"/>
        </w:rPr>
        <w:t xml:space="preserve">ada la organización estratégica que tiene </w:t>
      </w:r>
      <w:proofErr w:type="spellStart"/>
      <w:r w:rsidR="008805A7" w:rsidRPr="00D369AA">
        <w:rPr>
          <w:rFonts w:cs="Arial"/>
          <w:szCs w:val="24"/>
          <w:lang w:val="es-CO"/>
        </w:rPr>
        <w:t>Promigas</w:t>
      </w:r>
      <w:proofErr w:type="spellEnd"/>
      <w:r w:rsidRPr="00D369AA">
        <w:rPr>
          <w:rFonts w:cs="Arial"/>
          <w:szCs w:val="24"/>
          <w:lang w:val="es-CO"/>
        </w:rPr>
        <w:t xml:space="preserve">, esta compañía </w:t>
      </w:r>
      <w:r w:rsidR="008805A7" w:rsidRPr="00D369AA">
        <w:rPr>
          <w:rFonts w:cs="Arial"/>
          <w:szCs w:val="24"/>
          <w:lang w:val="es-CO"/>
        </w:rPr>
        <w:t>se ubica como</w:t>
      </w:r>
      <w:r w:rsidR="00122282" w:rsidRPr="00D369AA">
        <w:rPr>
          <w:rFonts w:cs="Arial"/>
          <w:szCs w:val="24"/>
          <w:lang w:val="es-CO"/>
        </w:rPr>
        <w:t xml:space="preserve"> competi</w:t>
      </w:r>
      <w:r w:rsidR="008805A7" w:rsidRPr="00D369AA">
        <w:rPr>
          <w:rFonts w:cs="Arial"/>
          <w:szCs w:val="24"/>
          <w:lang w:val="es-CO"/>
        </w:rPr>
        <w:t>dor relevante nacional</w:t>
      </w:r>
      <w:r w:rsidRPr="00D369AA">
        <w:rPr>
          <w:rFonts w:cs="Arial"/>
          <w:szCs w:val="24"/>
          <w:lang w:val="es-CO"/>
        </w:rPr>
        <w:t xml:space="preserve"> y en Latinoamérica, </w:t>
      </w:r>
      <w:r w:rsidR="00185617" w:rsidRPr="00D369AA">
        <w:rPr>
          <w:rFonts w:cs="Arial"/>
          <w:szCs w:val="24"/>
          <w:lang w:val="es-CO"/>
        </w:rPr>
        <w:t xml:space="preserve">en los </w:t>
      </w:r>
      <w:r w:rsidRPr="00D369AA">
        <w:rPr>
          <w:rFonts w:cs="Arial"/>
          <w:szCs w:val="24"/>
          <w:lang w:val="es-CO"/>
        </w:rPr>
        <w:t xml:space="preserve">negocios de </w:t>
      </w:r>
      <w:r w:rsidR="00185617" w:rsidRPr="00D369AA">
        <w:rPr>
          <w:rFonts w:cs="Arial"/>
          <w:szCs w:val="24"/>
          <w:lang w:val="es-CO"/>
        </w:rPr>
        <w:t>Di</w:t>
      </w:r>
      <w:r w:rsidR="008805A7" w:rsidRPr="00D369AA">
        <w:rPr>
          <w:rFonts w:cs="Arial"/>
          <w:szCs w:val="24"/>
          <w:lang w:val="es-CO"/>
        </w:rPr>
        <w:t>stribuci</w:t>
      </w:r>
      <w:r w:rsidR="00122282" w:rsidRPr="00D369AA">
        <w:rPr>
          <w:rFonts w:cs="Arial"/>
          <w:szCs w:val="24"/>
          <w:lang w:val="es-CO"/>
        </w:rPr>
        <w:t>ó</w:t>
      </w:r>
      <w:r w:rsidR="008805A7" w:rsidRPr="00D369AA">
        <w:rPr>
          <w:rFonts w:cs="Arial"/>
          <w:szCs w:val="24"/>
          <w:lang w:val="es-CO"/>
        </w:rPr>
        <w:t>n</w:t>
      </w:r>
      <w:r w:rsidR="00185617" w:rsidRPr="00D369AA">
        <w:rPr>
          <w:rFonts w:cs="Arial"/>
          <w:szCs w:val="24"/>
          <w:lang w:val="es-CO"/>
        </w:rPr>
        <w:t xml:space="preserve"> de Gas Natural</w:t>
      </w:r>
      <w:r w:rsidR="008805A7" w:rsidRPr="00D369AA">
        <w:rPr>
          <w:rFonts w:cs="Arial"/>
          <w:szCs w:val="24"/>
          <w:lang w:val="es-CO"/>
        </w:rPr>
        <w:t xml:space="preserve">, Gas </w:t>
      </w:r>
      <w:r w:rsidRPr="00D369AA">
        <w:rPr>
          <w:rFonts w:cs="Arial"/>
          <w:szCs w:val="24"/>
          <w:lang w:val="es-CO"/>
        </w:rPr>
        <w:t>N</w:t>
      </w:r>
      <w:r w:rsidR="008805A7" w:rsidRPr="00D369AA">
        <w:rPr>
          <w:rFonts w:cs="Arial"/>
          <w:szCs w:val="24"/>
          <w:lang w:val="es-CO"/>
        </w:rPr>
        <w:t xml:space="preserve">atural </w:t>
      </w:r>
      <w:r w:rsidRPr="00D369AA">
        <w:rPr>
          <w:rFonts w:cs="Arial"/>
          <w:szCs w:val="24"/>
          <w:lang w:val="es-CO"/>
        </w:rPr>
        <w:t>V</w:t>
      </w:r>
      <w:r w:rsidR="008805A7" w:rsidRPr="00D369AA">
        <w:rPr>
          <w:rFonts w:cs="Arial"/>
          <w:szCs w:val="24"/>
          <w:lang w:val="es-CO"/>
        </w:rPr>
        <w:t>ehicular</w:t>
      </w:r>
      <w:r w:rsidR="003E7D32" w:rsidRPr="00D369AA">
        <w:rPr>
          <w:rFonts w:cs="Arial"/>
          <w:szCs w:val="24"/>
          <w:lang w:val="es-CO"/>
        </w:rPr>
        <w:t xml:space="preserve"> </w:t>
      </w:r>
      <w:r w:rsidR="008805A7" w:rsidRPr="00D369AA">
        <w:rPr>
          <w:rFonts w:cs="Arial"/>
          <w:szCs w:val="24"/>
          <w:lang w:val="es-CO"/>
        </w:rPr>
        <w:t>y Financiación no Bancaria</w:t>
      </w:r>
      <w:r w:rsidR="00185617" w:rsidRPr="00D369AA">
        <w:rPr>
          <w:rFonts w:cs="Arial"/>
          <w:szCs w:val="24"/>
          <w:lang w:val="es-CO"/>
        </w:rPr>
        <w:t>,</w:t>
      </w:r>
      <w:r w:rsidR="008805A7" w:rsidRPr="00D369AA">
        <w:rPr>
          <w:rFonts w:cs="Arial"/>
          <w:szCs w:val="24"/>
          <w:lang w:val="es-CO"/>
        </w:rPr>
        <w:t xml:space="preserve"> entre otros</w:t>
      </w:r>
      <w:r w:rsidRPr="00D369AA">
        <w:rPr>
          <w:rFonts w:cs="Arial"/>
          <w:szCs w:val="24"/>
          <w:lang w:val="es-CO"/>
        </w:rPr>
        <w:t xml:space="preserve">. </w:t>
      </w:r>
    </w:p>
    <w:p w14:paraId="7E00B357" w14:textId="77777777" w:rsidR="008805A7" w:rsidRPr="00D369AA" w:rsidRDefault="008805A7" w:rsidP="00D169C0">
      <w:pPr>
        <w:rPr>
          <w:lang w:val="es-CO"/>
        </w:rPr>
      </w:pPr>
    </w:p>
    <w:p w14:paraId="7BED1B85" w14:textId="36CC90F6" w:rsidR="002A2942" w:rsidRPr="00D369AA" w:rsidRDefault="00F21251" w:rsidP="00D169C0">
      <w:pPr>
        <w:rPr>
          <w:lang w:val="es-CO"/>
        </w:rPr>
      </w:pPr>
      <w:r w:rsidRPr="00D369AA">
        <w:rPr>
          <w:lang w:val="es-CO"/>
        </w:rPr>
        <w:t xml:space="preserve">Como puede observarse </w:t>
      </w:r>
      <w:r w:rsidR="00D96D91" w:rsidRPr="00D369AA">
        <w:rPr>
          <w:lang w:val="es-CO"/>
        </w:rPr>
        <w:t xml:space="preserve">el hecho de que </w:t>
      </w:r>
      <w:r w:rsidRPr="00D369AA">
        <w:rPr>
          <w:lang w:val="es-CO"/>
        </w:rPr>
        <w:t xml:space="preserve">EEB </w:t>
      </w:r>
      <w:r w:rsidR="00D96D91" w:rsidRPr="00D369AA">
        <w:rPr>
          <w:lang w:val="es-CO"/>
        </w:rPr>
        <w:t>sea</w:t>
      </w:r>
      <w:r w:rsidRPr="00D369AA">
        <w:rPr>
          <w:lang w:val="es-CO"/>
        </w:rPr>
        <w:t xml:space="preserve"> socio, accionista</w:t>
      </w:r>
      <w:r w:rsidR="00D96D91" w:rsidRPr="00D369AA">
        <w:rPr>
          <w:lang w:val="es-CO"/>
        </w:rPr>
        <w:t xml:space="preserve"> y competidor de </w:t>
      </w:r>
      <w:proofErr w:type="spellStart"/>
      <w:r w:rsidR="00D96D91" w:rsidRPr="00D369AA">
        <w:rPr>
          <w:lang w:val="es-CO"/>
        </w:rPr>
        <w:t>Promigas</w:t>
      </w:r>
      <w:proofErr w:type="spellEnd"/>
      <w:r w:rsidR="00D96D91" w:rsidRPr="00D369AA">
        <w:rPr>
          <w:lang w:val="es-CO"/>
        </w:rPr>
        <w:t xml:space="preserve"> le</w:t>
      </w:r>
      <w:r w:rsidRPr="00D369AA">
        <w:rPr>
          <w:lang w:val="es-CO"/>
        </w:rPr>
        <w:t xml:space="preserve"> genera conflictos de interés </w:t>
      </w:r>
      <w:r w:rsidR="00D96D91" w:rsidRPr="00D369AA">
        <w:rPr>
          <w:lang w:val="es-CO"/>
        </w:rPr>
        <w:t>en diferentes escenarios en donde se tomen decisiones y</w:t>
      </w:r>
      <w:r w:rsidR="003E7D32" w:rsidRPr="00D369AA">
        <w:rPr>
          <w:lang w:val="es-CO"/>
        </w:rPr>
        <w:t xml:space="preserve"> </w:t>
      </w:r>
      <w:r w:rsidR="00D96D91" w:rsidRPr="00D369AA">
        <w:rPr>
          <w:lang w:val="es-CO"/>
        </w:rPr>
        <w:t>se requiera fijar posiciones en temas comunes a los dos grupos empresariales.</w:t>
      </w:r>
    </w:p>
    <w:p w14:paraId="572B7895" w14:textId="77777777" w:rsidR="00F05E8F" w:rsidRPr="004A0369" w:rsidRDefault="00F05E8F" w:rsidP="00F05E8F">
      <w:pPr>
        <w:pStyle w:val="Subttulo"/>
        <w:rPr>
          <w:rFonts w:cs="Arial"/>
          <w:color w:val="000000" w:themeColor="text1"/>
          <w:lang w:val="es-CO"/>
        </w:rPr>
      </w:pPr>
      <w:r w:rsidRPr="004A0369">
        <w:rPr>
          <w:rFonts w:cs="Arial"/>
          <w:color w:val="000000" w:themeColor="text1"/>
          <w:lang w:val="es-CO"/>
        </w:rPr>
        <w:lastRenderedPageBreak/>
        <w:t>Definición de Conflicto de Interés</w:t>
      </w:r>
      <w:r w:rsidR="00BD7F51" w:rsidRPr="004A0369">
        <w:rPr>
          <w:rStyle w:val="Refdenotaalpie"/>
          <w:rFonts w:cs="Arial"/>
          <w:color w:val="000000" w:themeColor="text1"/>
          <w:lang w:val="es-CO"/>
        </w:rPr>
        <w:footnoteReference w:id="51"/>
      </w:r>
    </w:p>
    <w:p w14:paraId="2D8BE734" w14:textId="77777777" w:rsidR="00F05E8F" w:rsidRPr="004A0369" w:rsidRDefault="00F05E8F" w:rsidP="00F05E8F">
      <w:pPr>
        <w:rPr>
          <w:rFonts w:cs="Arial"/>
          <w:color w:val="000000" w:themeColor="text1"/>
          <w:szCs w:val="24"/>
          <w:lang w:val="es-CO"/>
        </w:rPr>
      </w:pPr>
      <w:r w:rsidRPr="004A0369">
        <w:rPr>
          <w:rFonts w:cs="Arial"/>
          <w:color w:val="000000" w:themeColor="text1"/>
          <w:szCs w:val="24"/>
          <w:lang w:val="es-CO"/>
        </w:rPr>
        <w:t xml:space="preserve">En las normas comerciales en Colombia no existe una definición expresa de conflicto de interés; el concepto ha sido construido a partir de la referencia que se hace del tema en la Ley 222 de 1995, por la doctrina de la Superintendencia de Sociedades. </w:t>
      </w:r>
    </w:p>
    <w:p w14:paraId="6763CA9A" w14:textId="77777777" w:rsidR="00F05E8F" w:rsidRPr="004A0369" w:rsidRDefault="00F05E8F" w:rsidP="00F05E8F">
      <w:pPr>
        <w:rPr>
          <w:rFonts w:cs="Arial"/>
          <w:color w:val="000000" w:themeColor="text1"/>
          <w:szCs w:val="24"/>
          <w:lang w:val="es-CO"/>
        </w:rPr>
      </w:pPr>
      <w:r w:rsidRPr="004A0369">
        <w:rPr>
          <w:rFonts w:cs="Arial"/>
          <w:color w:val="000000" w:themeColor="text1"/>
          <w:szCs w:val="24"/>
          <w:lang w:val="es-CO"/>
        </w:rPr>
        <w:t>El numeral 7° del artículo 23 de la Ley 222 de 1995, al hacer referencia a los deberes de los administradores establece que los mismos deberán “</w:t>
      </w:r>
      <w:r w:rsidRPr="004A0369">
        <w:rPr>
          <w:rFonts w:cs="Arial"/>
          <w:i/>
          <w:color w:val="000000" w:themeColor="text1"/>
          <w:szCs w:val="24"/>
          <w:lang w:val="es-CO"/>
        </w:rPr>
        <w:t>abstenerse de participar por sí o por interpuesta persona en interés personal o de terceros, en actividades que impliquen competencia con la sociedad o en actos respecto de los cuales exista conflicto de intereses, salvo autorización expresa de la junta de socios o asamblea general de accionistas</w:t>
      </w:r>
      <w:r w:rsidRPr="004A0369">
        <w:rPr>
          <w:rFonts w:cs="Arial"/>
          <w:color w:val="000000" w:themeColor="text1"/>
          <w:szCs w:val="24"/>
          <w:lang w:val="es-CO"/>
        </w:rPr>
        <w:t>”.</w:t>
      </w:r>
    </w:p>
    <w:p w14:paraId="7A6075D8" w14:textId="77777777" w:rsidR="00F05E8F" w:rsidRPr="004A0369" w:rsidRDefault="00F05E8F" w:rsidP="00F05E8F">
      <w:pPr>
        <w:rPr>
          <w:rFonts w:cs="Arial"/>
          <w:color w:val="000000" w:themeColor="text1"/>
          <w:szCs w:val="24"/>
          <w:lang w:val="es-CO"/>
        </w:rPr>
      </w:pPr>
      <w:r w:rsidRPr="004A0369">
        <w:rPr>
          <w:rFonts w:cs="Arial"/>
          <w:color w:val="000000" w:themeColor="text1"/>
          <w:szCs w:val="24"/>
          <w:lang w:val="es-CO"/>
        </w:rPr>
        <w:t>Ante la ausencia de definición de conflicto de interés, la Superintendencia de Sociedades, a través de la Circular Externa No. 20 de 1997, estableció que “</w:t>
      </w:r>
      <w:r w:rsidRPr="004A0369">
        <w:rPr>
          <w:rFonts w:cs="Arial"/>
          <w:i/>
          <w:color w:val="000000" w:themeColor="text1"/>
          <w:szCs w:val="24"/>
          <w:lang w:val="es-CO"/>
        </w:rPr>
        <w:t>existe conflicto de interés cuando no es posible la satisfacción simultanea de dos intereses, a saber: el radicado en cabeza del administrador y el de la sociedad, bien porque el interés sea de aquel o de un tercero</w:t>
      </w:r>
      <w:r w:rsidRPr="004A0369">
        <w:rPr>
          <w:rFonts w:cs="Arial"/>
          <w:color w:val="000000" w:themeColor="text1"/>
          <w:szCs w:val="24"/>
          <w:lang w:val="es-CO"/>
        </w:rPr>
        <w:t>”</w:t>
      </w:r>
    </w:p>
    <w:p w14:paraId="6195E1FE" w14:textId="77777777" w:rsidR="00F05E8F" w:rsidRPr="004A0369" w:rsidRDefault="00F05E8F" w:rsidP="00F05E8F">
      <w:pPr>
        <w:rPr>
          <w:rFonts w:cs="Arial"/>
          <w:color w:val="000000" w:themeColor="text1"/>
          <w:szCs w:val="24"/>
          <w:lang w:val="es-CO"/>
        </w:rPr>
      </w:pPr>
      <w:r w:rsidRPr="004A0369">
        <w:rPr>
          <w:rFonts w:cs="Arial"/>
          <w:color w:val="000000" w:themeColor="text1"/>
          <w:szCs w:val="24"/>
          <w:lang w:val="es-CO"/>
        </w:rPr>
        <w:t>La lectura de la Ley 222 de 1995 y de la circular mencionada permite concluir que: (i) solamente en relación con los administradores de la sociedad puede predicarse un conflicto de interés y (ii) el alcance del concepto de conflicto comprende las situaciones en las que el administrador no puede satisfacer el interés propio y el de la sociedad de manera simultánea.</w:t>
      </w:r>
    </w:p>
    <w:p w14:paraId="3283B946" w14:textId="77777777" w:rsidR="00F05E8F" w:rsidRPr="00D369AA" w:rsidRDefault="00F05E8F" w:rsidP="00F05E8F">
      <w:pPr>
        <w:pStyle w:val="Ttulo2"/>
        <w:rPr>
          <w:lang w:val="es-CO"/>
        </w:rPr>
      </w:pPr>
      <w:r w:rsidRPr="00D369AA">
        <w:rPr>
          <w:lang w:val="es-CO"/>
        </w:rPr>
        <w:t>Activos que no se ajustan a la estrategia corporativa de la Empresa de Energía de Bogotá S.A. E.S.P.</w:t>
      </w:r>
    </w:p>
    <w:p w14:paraId="49EA2014" w14:textId="4412EB67" w:rsidR="00F05E8F" w:rsidRPr="00D369AA" w:rsidRDefault="00F05E8F" w:rsidP="00D169C0">
      <w:pPr>
        <w:rPr>
          <w:rFonts w:ascii="open_sansregular" w:hAnsi="open_sansregular"/>
          <w:color w:val="333333"/>
          <w:lang w:val="es-CO"/>
        </w:rPr>
      </w:pPr>
      <w:r w:rsidRPr="00D369AA">
        <w:rPr>
          <w:lang w:val="es-CO"/>
        </w:rPr>
        <w:t>Si bien la estructuración de portafolios diversificados tiene como objetivo alcanzar altos niveles de rentabilidad con un adecuado manejo del riesgo, la participación accionaria de la EEB S.A. E.S.P en ISA S.A. E.S.P.</w:t>
      </w:r>
      <w:r w:rsidR="00943FC3">
        <w:rPr>
          <w:lang w:val="es-CO"/>
        </w:rPr>
        <w:t xml:space="preserve">, </w:t>
      </w:r>
      <w:proofErr w:type="spellStart"/>
      <w:r w:rsidRPr="00D369AA">
        <w:rPr>
          <w:lang w:val="es-CO"/>
        </w:rPr>
        <w:t>Nutresa</w:t>
      </w:r>
      <w:proofErr w:type="spellEnd"/>
      <w:r w:rsidRPr="00D369AA">
        <w:rPr>
          <w:lang w:val="es-CO"/>
        </w:rPr>
        <w:t xml:space="preserve"> S.A.</w:t>
      </w:r>
      <w:r w:rsidR="00943FC3">
        <w:rPr>
          <w:lang w:val="es-CO"/>
        </w:rPr>
        <w:t xml:space="preserve"> y el Banco Popular,</w:t>
      </w:r>
      <w:r w:rsidRPr="00D369AA">
        <w:rPr>
          <w:lang w:val="es-CO"/>
        </w:rPr>
        <w:t xml:space="preserve"> que como ya se indicó en apartes anteriores tiene una connotación minoritaria, ha proporcionado la generación de ingresos vía pago de dividendos</w:t>
      </w:r>
      <w:r w:rsidRPr="00D369AA">
        <w:rPr>
          <w:rFonts w:ascii="open_sansregular" w:hAnsi="open_sansregular"/>
          <w:color w:val="333333"/>
          <w:lang w:val="es-CO"/>
        </w:rPr>
        <w:t>.</w:t>
      </w:r>
    </w:p>
    <w:p w14:paraId="20A1B99C" w14:textId="2649547F" w:rsidR="00464682" w:rsidRDefault="00A76513" w:rsidP="00D169C0">
      <w:pPr>
        <w:rPr>
          <w:lang w:val="es-CO"/>
        </w:rPr>
      </w:pPr>
      <w:r w:rsidRPr="00D369AA">
        <w:rPr>
          <w:lang w:val="es-CO"/>
        </w:rPr>
        <w:t xml:space="preserve">En el caso de </w:t>
      </w:r>
      <w:proofErr w:type="spellStart"/>
      <w:r w:rsidRPr="00D369AA">
        <w:rPr>
          <w:lang w:val="es-CO"/>
        </w:rPr>
        <w:t>Nutresa</w:t>
      </w:r>
      <w:proofErr w:type="spellEnd"/>
      <w:r w:rsidRPr="00D369AA">
        <w:rPr>
          <w:lang w:val="es-CO"/>
        </w:rPr>
        <w:t xml:space="preserve">, los dividendos </w:t>
      </w:r>
      <w:r w:rsidR="00FD7FA8" w:rsidRPr="00D369AA">
        <w:rPr>
          <w:lang w:val="es-CO"/>
        </w:rPr>
        <w:t xml:space="preserve">recibidos por </w:t>
      </w:r>
      <w:r w:rsidRPr="00D369AA">
        <w:rPr>
          <w:lang w:val="es-CO"/>
        </w:rPr>
        <w:t>EEB ascendieron a</w:t>
      </w:r>
      <w:r w:rsidR="00B44D77">
        <w:rPr>
          <w:lang w:val="es-CO"/>
        </w:rPr>
        <w:t xml:space="preserve"> $101.040</w:t>
      </w:r>
      <w:r w:rsidRPr="00D369AA">
        <w:rPr>
          <w:lang w:val="es-CO"/>
        </w:rPr>
        <w:t xml:space="preserve">, </w:t>
      </w:r>
      <w:r w:rsidR="0045117F" w:rsidRPr="00D369AA">
        <w:rPr>
          <w:lang w:val="es-CO"/>
        </w:rPr>
        <w:t>en 2015.</w:t>
      </w:r>
    </w:p>
    <w:p w14:paraId="776355EE" w14:textId="77777777" w:rsidR="003F52E2" w:rsidRDefault="003F52E2" w:rsidP="00D169C0">
      <w:pPr>
        <w:rPr>
          <w:lang w:val="es-CO"/>
        </w:rPr>
      </w:pPr>
    </w:p>
    <w:p w14:paraId="657FDAF1" w14:textId="034CBA52" w:rsidR="00B44D77" w:rsidRPr="00D369AA" w:rsidRDefault="00B44D77" w:rsidP="00D169C0">
      <w:pPr>
        <w:rPr>
          <w:lang w:val="es-CO"/>
        </w:rPr>
      </w:pPr>
      <w:r>
        <w:rPr>
          <w:noProof/>
          <w:lang w:val="es-CO" w:eastAsia="es-CO"/>
        </w:rPr>
        <w:lastRenderedPageBreak/>
        <w:drawing>
          <wp:inline distT="0" distB="0" distL="0" distR="0" wp14:anchorId="3E34035B" wp14:editId="49308B74">
            <wp:extent cx="5314950" cy="96202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962025"/>
                    </a:xfrm>
                    <a:prstGeom prst="rect">
                      <a:avLst/>
                    </a:prstGeom>
                    <a:noFill/>
                    <a:ln w="19050">
                      <a:solidFill>
                        <a:schemeClr val="tx1"/>
                      </a:solidFill>
                    </a:ln>
                  </pic:spPr>
                </pic:pic>
              </a:graphicData>
            </a:graphic>
          </wp:inline>
        </w:drawing>
      </w:r>
    </w:p>
    <w:p w14:paraId="4938B269" w14:textId="1C097C80" w:rsidR="00464682" w:rsidRPr="00D369AA" w:rsidRDefault="00464682" w:rsidP="00464682">
      <w:pPr>
        <w:pStyle w:val="Citadestacada"/>
        <w:rPr>
          <w:lang w:val="es-CO"/>
        </w:rPr>
      </w:pPr>
      <w:r w:rsidRPr="00D369AA">
        <w:rPr>
          <w:lang w:val="es-CO"/>
        </w:rPr>
        <w:t>Fuente:</w:t>
      </w:r>
      <w:r w:rsidR="00B44D77">
        <w:rPr>
          <w:lang w:val="es-CO"/>
        </w:rPr>
        <w:t xml:space="preserve"> Elaboración propia con base en r</w:t>
      </w:r>
      <w:r w:rsidR="002C31BB" w:rsidRPr="00D369AA">
        <w:rPr>
          <w:lang w:val="es-CO"/>
        </w:rPr>
        <w:t>espuesta a derecho de petición 2016EE13353</w:t>
      </w:r>
      <w:r w:rsidRPr="00D369AA">
        <w:rPr>
          <w:lang w:val="es-CO"/>
        </w:rPr>
        <w:t>.</w:t>
      </w:r>
      <w:r w:rsidR="00482928">
        <w:rPr>
          <w:lang w:val="es-CO"/>
        </w:rPr>
        <w:t xml:space="preserve"> </w:t>
      </w:r>
    </w:p>
    <w:p w14:paraId="1F213D5D" w14:textId="3EC8C6AC" w:rsidR="00F05E8F" w:rsidRPr="00D369AA" w:rsidRDefault="00943FC3" w:rsidP="00D169C0">
      <w:pPr>
        <w:rPr>
          <w:b/>
          <w:bCs/>
          <w:szCs w:val="24"/>
          <w:lang w:val="es-CO"/>
        </w:rPr>
      </w:pPr>
      <w:r>
        <w:rPr>
          <w:bCs/>
          <w:szCs w:val="24"/>
          <w:lang w:val="es-CO"/>
        </w:rPr>
        <w:t xml:space="preserve">No hay que desconocer que estas inversiones han generado rentabilidad a la empresa, </w:t>
      </w:r>
      <w:r w:rsidR="00F07D88">
        <w:rPr>
          <w:bCs/>
          <w:szCs w:val="24"/>
          <w:lang w:val="es-CO"/>
        </w:rPr>
        <w:t xml:space="preserve">pero </w:t>
      </w:r>
      <w:r w:rsidR="00F05E8F" w:rsidRPr="00D369AA">
        <w:rPr>
          <w:bCs/>
          <w:szCs w:val="24"/>
          <w:lang w:val="es-CO"/>
        </w:rPr>
        <w:t xml:space="preserve">el rediseño por parte de la EEB S.A. E.S.P. </w:t>
      </w:r>
      <w:r w:rsidR="00F05E8F" w:rsidRPr="00D369AA">
        <w:rPr>
          <w:lang w:val="es-CO"/>
        </w:rPr>
        <w:t xml:space="preserve">de un marco de desarrollo estratégico de largo plazo </w:t>
      </w:r>
      <w:r w:rsidR="00F07D88">
        <w:rPr>
          <w:lang w:val="es-CO"/>
        </w:rPr>
        <w:t>que se enfoca</w:t>
      </w:r>
      <w:r w:rsidR="00F05E8F" w:rsidRPr="00D369AA">
        <w:rPr>
          <w:lang w:val="es-CO"/>
        </w:rPr>
        <w:t xml:space="preserve"> en la profundización de</w:t>
      </w:r>
      <w:r w:rsidR="003E7D32" w:rsidRPr="00D369AA">
        <w:rPr>
          <w:lang w:val="es-CO"/>
        </w:rPr>
        <w:t xml:space="preserve"> </w:t>
      </w:r>
      <w:r w:rsidR="00F05E8F" w:rsidRPr="00D369AA">
        <w:rPr>
          <w:lang w:val="es-CO"/>
        </w:rPr>
        <w:t xml:space="preserve">negocios y mercados de mayor potencial </w:t>
      </w:r>
      <w:r w:rsidR="00F07D88">
        <w:rPr>
          <w:lang w:val="es-CO"/>
        </w:rPr>
        <w:t xml:space="preserve">con opciones que </w:t>
      </w:r>
      <w:r w:rsidR="00F05E8F" w:rsidRPr="00D369AA">
        <w:rPr>
          <w:lang w:val="es-CO"/>
        </w:rPr>
        <w:t>gener</w:t>
      </w:r>
      <w:r w:rsidR="00F07D88">
        <w:rPr>
          <w:lang w:val="es-CO"/>
        </w:rPr>
        <w:t>en</w:t>
      </w:r>
      <w:r w:rsidR="00F05E8F" w:rsidRPr="00D369AA">
        <w:rPr>
          <w:lang w:val="es-CO"/>
        </w:rPr>
        <w:t xml:space="preserve"> valor para la empresa es requerido para desarrollar los planes de crecimiento de cada uno de los Grupos Estratégicos de Negocio de tal modo que las inversiones se realicen sobre las actividades dominantes desar</w:t>
      </w:r>
      <w:r w:rsidR="00F07D88">
        <w:rPr>
          <w:lang w:val="es-CO"/>
        </w:rPr>
        <w:t xml:space="preserve">rolladas por la EEB S.A. E.S.P. </w:t>
      </w:r>
      <w:r w:rsidR="00F05E8F" w:rsidRPr="00D369AA">
        <w:rPr>
          <w:lang w:val="es-CO"/>
        </w:rPr>
        <w:t>potencialicen la estructura de la empresa.</w:t>
      </w:r>
      <w:r w:rsidR="003E7D32" w:rsidRPr="00D369AA">
        <w:rPr>
          <w:lang w:val="es-CO"/>
        </w:rPr>
        <w:t xml:space="preserve"> </w:t>
      </w:r>
    </w:p>
    <w:p w14:paraId="00A8BAE7" w14:textId="53FE138E" w:rsidR="003F52E2" w:rsidRPr="00D369AA" w:rsidRDefault="005A1B6A" w:rsidP="005A1B6A">
      <w:pPr>
        <w:rPr>
          <w:lang w:val="es-CO"/>
        </w:rPr>
      </w:pPr>
      <w:r w:rsidRPr="00D369AA">
        <w:rPr>
          <w:lang w:val="es-CO"/>
        </w:rPr>
        <w:t>El Grupo de Energía de Bogotá es líder en el sector de energía eléctrica y gas natural,</w:t>
      </w:r>
      <w:r w:rsidR="003E7D32" w:rsidRPr="00D369AA">
        <w:rPr>
          <w:lang w:val="es-CO"/>
        </w:rPr>
        <w:t xml:space="preserve"> </w:t>
      </w:r>
      <w:r w:rsidRPr="00D369AA">
        <w:rPr>
          <w:lang w:val="es-CO"/>
        </w:rPr>
        <w:t>tiene presencia en Colombia, Perú, Guatemala y Brasil. Para esta vigencia el GEB ha diseñado e implementado una nueva estrategia corporativa</w:t>
      </w:r>
      <w:r w:rsidR="003E7D32" w:rsidRPr="00D369AA">
        <w:rPr>
          <w:lang w:val="es-CO"/>
        </w:rPr>
        <w:t xml:space="preserve"> </w:t>
      </w:r>
      <w:r w:rsidRPr="00D369AA">
        <w:rPr>
          <w:lang w:val="es-CO"/>
        </w:rPr>
        <w:t>encaminada a la consolidación</w:t>
      </w:r>
      <w:r w:rsidR="003E7D32" w:rsidRPr="00D369AA">
        <w:rPr>
          <w:lang w:val="es-CO"/>
        </w:rPr>
        <w:t xml:space="preserve"> </w:t>
      </w:r>
      <w:r w:rsidRPr="00D369AA">
        <w:rPr>
          <w:lang w:val="es-CO"/>
        </w:rPr>
        <w:t xml:space="preserve">tanto en el sector de energía eléctrica como en el de gas natural. </w:t>
      </w:r>
    </w:p>
    <w:p w14:paraId="0515646E" w14:textId="628A397E" w:rsidR="008D31A1" w:rsidRDefault="008D31A1" w:rsidP="008D31A1">
      <w:pPr>
        <w:pStyle w:val="Ttulo2"/>
        <w:rPr>
          <w:lang w:val="es-CO"/>
        </w:rPr>
      </w:pPr>
      <w:bookmarkStart w:id="8" w:name="_Toc464211415"/>
      <w:r w:rsidRPr="00D369AA">
        <w:rPr>
          <w:lang w:val="es-CO"/>
        </w:rPr>
        <w:t xml:space="preserve">Impacto </w:t>
      </w:r>
      <w:r w:rsidR="004929F2">
        <w:rPr>
          <w:lang w:val="es-CO"/>
        </w:rPr>
        <w:t xml:space="preserve">financiero </w:t>
      </w:r>
      <w:r w:rsidRPr="00D369AA">
        <w:rPr>
          <w:lang w:val="es-CO"/>
        </w:rPr>
        <w:t>de</w:t>
      </w:r>
      <w:r w:rsidR="004929F2">
        <w:rPr>
          <w:lang w:val="es-CO"/>
        </w:rPr>
        <w:t xml:space="preserve"> </w:t>
      </w:r>
      <w:r w:rsidRPr="00D369AA">
        <w:rPr>
          <w:lang w:val="es-CO"/>
        </w:rPr>
        <w:t>l</w:t>
      </w:r>
      <w:r w:rsidR="004929F2">
        <w:rPr>
          <w:lang w:val="es-CO"/>
        </w:rPr>
        <w:t>a</w:t>
      </w:r>
      <w:r w:rsidRPr="00D369AA">
        <w:rPr>
          <w:lang w:val="es-CO"/>
        </w:rPr>
        <w:t xml:space="preserve"> </w:t>
      </w:r>
      <w:r w:rsidR="004929F2">
        <w:rPr>
          <w:lang w:val="es-CO"/>
        </w:rPr>
        <w:t xml:space="preserve">operación </w:t>
      </w:r>
      <w:r w:rsidRPr="00D369AA">
        <w:rPr>
          <w:lang w:val="es-CO"/>
        </w:rPr>
        <w:t xml:space="preserve">de </w:t>
      </w:r>
      <w:r w:rsidR="003F52E2">
        <w:rPr>
          <w:lang w:val="es-CO"/>
        </w:rPr>
        <w:t xml:space="preserve">enajenación accionaria </w:t>
      </w:r>
      <w:r w:rsidRPr="00D369AA">
        <w:rPr>
          <w:lang w:val="es-CO"/>
        </w:rPr>
        <w:t>venta</w:t>
      </w:r>
      <w:r w:rsidR="004929F2">
        <w:rPr>
          <w:lang w:val="es-CO"/>
        </w:rPr>
        <w:t xml:space="preserve"> para la EEB S.A. E.S.P.</w:t>
      </w:r>
      <w:r w:rsidRPr="00D369AA">
        <w:rPr>
          <w:lang w:val="es-CO"/>
        </w:rPr>
        <w:t xml:space="preserve"> </w:t>
      </w:r>
      <w:bookmarkEnd w:id="8"/>
    </w:p>
    <w:p w14:paraId="2D6E1B94" w14:textId="4DE9F2E4" w:rsidR="008D31A1" w:rsidRPr="00D369AA" w:rsidRDefault="004929F2" w:rsidP="008D31A1">
      <w:pPr>
        <w:rPr>
          <w:rFonts w:cs="Arial"/>
          <w:szCs w:val="24"/>
          <w:lang w:val="es-CO"/>
        </w:rPr>
      </w:pPr>
      <w:r>
        <w:rPr>
          <w:rFonts w:cs="Arial"/>
          <w:szCs w:val="24"/>
          <w:lang w:val="es-CO"/>
        </w:rPr>
        <w:t>La EEB, c</w:t>
      </w:r>
      <w:r w:rsidR="005C4A4F" w:rsidRPr="00D369AA">
        <w:rPr>
          <w:rFonts w:cs="Arial"/>
          <w:szCs w:val="24"/>
          <w:lang w:val="es-CO"/>
        </w:rPr>
        <w:t xml:space="preserve">on objeto de evaluar </w:t>
      </w:r>
      <w:r w:rsidR="008D31A1" w:rsidRPr="00D369AA">
        <w:rPr>
          <w:rFonts w:cs="Arial"/>
          <w:szCs w:val="24"/>
          <w:lang w:val="es-CO"/>
        </w:rPr>
        <w:t xml:space="preserve">el impacto de la venta de </w:t>
      </w:r>
      <w:r>
        <w:rPr>
          <w:rFonts w:cs="Arial"/>
          <w:szCs w:val="24"/>
          <w:lang w:val="es-CO"/>
        </w:rPr>
        <w:t>su</w:t>
      </w:r>
      <w:r w:rsidR="008D31A1" w:rsidRPr="00D369AA">
        <w:rPr>
          <w:rFonts w:cs="Arial"/>
          <w:szCs w:val="24"/>
          <w:lang w:val="es-CO"/>
        </w:rPr>
        <w:t xml:space="preserve"> participación de </w:t>
      </w:r>
      <w:r>
        <w:rPr>
          <w:rFonts w:cs="Arial"/>
          <w:szCs w:val="24"/>
          <w:lang w:val="es-CO"/>
        </w:rPr>
        <w:t>e</w:t>
      </w:r>
      <w:r w:rsidR="008D31A1" w:rsidRPr="00D369AA">
        <w:rPr>
          <w:rFonts w:cs="Arial"/>
          <w:szCs w:val="24"/>
          <w:lang w:val="es-CO"/>
        </w:rPr>
        <w:t xml:space="preserve">n </w:t>
      </w:r>
      <w:proofErr w:type="spellStart"/>
      <w:r w:rsidR="008D31A1" w:rsidRPr="00D369AA">
        <w:rPr>
          <w:rFonts w:cs="Arial"/>
          <w:szCs w:val="24"/>
          <w:lang w:val="es-CO"/>
        </w:rPr>
        <w:t>Promigas</w:t>
      </w:r>
      <w:proofErr w:type="spellEnd"/>
      <w:r w:rsidR="008D31A1" w:rsidRPr="00D369AA">
        <w:rPr>
          <w:rFonts w:cs="Arial"/>
          <w:szCs w:val="24"/>
          <w:lang w:val="es-CO"/>
        </w:rPr>
        <w:t xml:space="preserve">, ISA, </w:t>
      </w:r>
      <w:proofErr w:type="spellStart"/>
      <w:r w:rsidR="008D31A1" w:rsidRPr="00D369AA">
        <w:rPr>
          <w:rFonts w:cs="Arial"/>
          <w:szCs w:val="24"/>
          <w:lang w:val="es-CO"/>
        </w:rPr>
        <w:t>Nutresa</w:t>
      </w:r>
      <w:proofErr w:type="spellEnd"/>
      <w:r w:rsidR="008D31A1" w:rsidRPr="00D369AA">
        <w:rPr>
          <w:rFonts w:cs="Arial"/>
          <w:szCs w:val="24"/>
          <w:lang w:val="es-CO"/>
        </w:rPr>
        <w:t xml:space="preserve"> y Banco Popular, </w:t>
      </w:r>
      <w:r w:rsidR="005C4A4F" w:rsidRPr="00D369AA">
        <w:rPr>
          <w:rFonts w:cs="Arial"/>
          <w:szCs w:val="24"/>
          <w:lang w:val="es-CO"/>
        </w:rPr>
        <w:t xml:space="preserve">EEB </w:t>
      </w:r>
      <w:r>
        <w:rPr>
          <w:rFonts w:cs="Arial"/>
          <w:szCs w:val="24"/>
          <w:lang w:val="es-CO"/>
        </w:rPr>
        <w:t xml:space="preserve"> </w:t>
      </w:r>
      <w:r w:rsidR="00A54BF2">
        <w:rPr>
          <w:rFonts w:cs="Arial"/>
          <w:szCs w:val="24"/>
          <w:lang w:val="es-CO"/>
        </w:rPr>
        <w:t>efectuó</w:t>
      </w:r>
      <w:r w:rsidR="008D31A1" w:rsidRPr="00D369AA">
        <w:rPr>
          <w:rFonts w:cs="Arial"/>
          <w:szCs w:val="24"/>
          <w:lang w:val="es-CO"/>
        </w:rPr>
        <w:t xml:space="preserve"> </w:t>
      </w:r>
      <w:r w:rsidR="005C4A4F" w:rsidRPr="00D369AA">
        <w:rPr>
          <w:rFonts w:cs="Arial"/>
          <w:szCs w:val="24"/>
          <w:lang w:val="es-CO"/>
        </w:rPr>
        <w:t>un</w:t>
      </w:r>
      <w:r w:rsidR="008D31A1" w:rsidRPr="00D369AA">
        <w:rPr>
          <w:rFonts w:cs="Arial"/>
          <w:szCs w:val="24"/>
          <w:lang w:val="es-CO"/>
        </w:rPr>
        <w:t xml:space="preserve"> modelo de proyecciones para calcular los cambios </w:t>
      </w:r>
      <w:r w:rsidR="00CD7CD8">
        <w:rPr>
          <w:rFonts w:cs="Arial"/>
          <w:szCs w:val="24"/>
          <w:lang w:val="es-CO"/>
        </w:rPr>
        <w:t xml:space="preserve">que generaría </w:t>
      </w:r>
      <w:r w:rsidR="008D31A1" w:rsidRPr="00D369AA">
        <w:rPr>
          <w:rFonts w:cs="Arial"/>
          <w:szCs w:val="24"/>
          <w:lang w:val="es-CO"/>
        </w:rPr>
        <w:t>en el EBITDA</w:t>
      </w:r>
      <w:r w:rsidR="00CD7CD8">
        <w:rPr>
          <w:rFonts w:cs="Arial"/>
          <w:szCs w:val="24"/>
          <w:lang w:val="es-CO"/>
        </w:rPr>
        <w:t xml:space="preserve"> la realización de esta operación, del grupo, de este modo l</w:t>
      </w:r>
      <w:r w:rsidR="005C4A4F" w:rsidRPr="00D369AA">
        <w:rPr>
          <w:rFonts w:cs="Arial"/>
          <w:szCs w:val="24"/>
          <w:lang w:val="es-CO"/>
        </w:rPr>
        <w:t>a empresa r</w:t>
      </w:r>
      <w:r w:rsidR="008D31A1" w:rsidRPr="00D369AA">
        <w:rPr>
          <w:rFonts w:cs="Arial"/>
          <w:szCs w:val="24"/>
          <w:lang w:val="es-CO"/>
        </w:rPr>
        <w:t xml:space="preserve">ealizó un análisis por activo con el fin de conocer el impacto de cada una de las enajenaciones. </w:t>
      </w:r>
    </w:p>
    <w:p w14:paraId="31FCF405" w14:textId="55412126" w:rsidR="003F52E2" w:rsidRDefault="00CD7CD8" w:rsidP="008D31A1">
      <w:pPr>
        <w:rPr>
          <w:rFonts w:cs="Arial"/>
          <w:szCs w:val="24"/>
          <w:lang w:val="es-CO"/>
        </w:rPr>
      </w:pPr>
      <w:r>
        <w:rPr>
          <w:rFonts w:cs="Arial"/>
          <w:szCs w:val="24"/>
          <w:lang w:val="es-CO"/>
        </w:rPr>
        <w:t>A</w:t>
      </w:r>
      <w:r w:rsidR="008D31A1" w:rsidRPr="00D369AA">
        <w:rPr>
          <w:rFonts w:cs="Arial"/>
          <w:szCs w:val="24"/>
          <w:lang w:val="es-CO"/>
        </w:rPr>
        <w:t xml:space="preserve"> continuación se muestra</w:t>
      </w:r>
      <w:r>
        <w:rPr>
          <w:rFonts w:cs="Arial"/>
          <w:szCs w:val="24"/>
          <w:lang w:val="es-CO"/>
        </w:rPr>
        <w:t>n</w:t>
      </w:r>
      <w:r w:rsidR="008D31A1" w:rsidRPr="00D369AA">
        <w:rPr>
          <w:rFonts w:cs="Arial"/>
          <w:szCs w:val="24"/>
          <w:lang w:val="es-CO"/>
        </w:rPr>
        <w:t xml:space="preserve"> los ingresos esperados por EEB por concepto de dividendos para el periodo de 2016 – 2022 de los activos </w:t>
      </w:r>
      <w:r w:rsidR="00F87788">
        <w:rPr>
          <w:rFonts w:cs="Arial"/>
          <w:szCs w:val="24"/>
          <w:lang w:val="es-CO"/>
        </w:rPr>
        <w:t>objeto de</w:t>
      </w:r>
      <w:r w:rsidR="008D31A1" w:rsidRPr="00D369AA">
        <w:rPr>
          <w:rFonts w:cs="Arial"/>
          <w:szCs w:val="24"/>
          <w:lang w:val="es-CO"/>
        </w:rPr>
        <w:t xml:space="preserve"> análisis.</w:t>
      </w:r>
    </w:p>
    <w:p w14:paraId="41448CC5" w14:textId="3F4566A1" w:rsidR="008D31A1" w:rsidRPr="00D369AA" w:rsidRDefault="00D169C0" w:rsidP="00D169C0">
      <w:pPr>
        <w:pStyle w:val="Epgrafe"/>
        <w:rPr>
          <w:rFonts w:cs="Arial"/>
          <w:szCs w:val="24"/>
          <w:lang w:val="es-CO"/>
        </w:rPr>
      </w:pPr>
      <w:bookmarkStart w:id="9" w:name="_Toc464211540"/>
      <w:bookmarkStart w:id="10" w:name="_Toc462419654"/>
      <w:r w:rsidRPr="00D369AA">
        <w:rPr>
          <w:lang w:val="es-CO"/>
        </w:rPr>
        <w:t xml:space="preserve"> </w:t>
      </w:r>
      <w:r w:rsidR="008D31A1" w:rsidRPr="00D369AA">
        <w:rPr>
          <w:rFonts w:cs="Arial"/>
          <w:szCs w:val="24"/>
          <w:lang w:val="es-CO"/>
        </w:rPr>
        <w:t>Dividendos Esperados por Activo 2016-2022, Cifras COP MM</w:t>
      </w:r>
      <w:bookmarkEnd w:id="9"/>
    </w:p>
    <w:tbl>
      <w:tblPr>
        <w:tblStyle w:val="Tablanormal41"/>
        <w:tblW w:w="875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83"/>
        <w:gridCol w:w="905"/>
        <w:gridCol w:w="1094"/>
        <w:gridCol w:w="1094"/>
        <w:gridCol w:w="1094"/>
        <w:gridCol w:w="1094"/>
        <w:gridCol w:w="1094"/>
        <w:gridCol w:w="1094"/>
      </w:tblGrid>
      <w:tr w:rsidR="008D31A1" w:rsidRPr="00D369AA" w14:paraId="17E4D08F" w14:textId="77777777" w:rsidTr="00F05E8F">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bookmarkEnd w:id="10"/>
          <w:p w14:paraId="7DD9370E" w14:textId="77777777" w:rsidR="008D31A1" w:rsidRPr="00D369AA" w:rsidRDefault="008D31A1" w:rsidP="008D31A1">
            <w:pPr>
              <w:autoSpaceDE w:val="0"/>
              <w:autoSpaceDN w:val="0"/>
              <w:adjustRightInd w:val="0"/>
              <w:spacing w:after="0" w:line="0" w:lineRule="atLeast"/>
              <w:rPr>
                <w:rFonts w:cs="Arial"/>
                <w:b/>
                <w:bCs/>
                <w:sz w:val="16"/>
                <w:szCs w:val="24"/>
              </w:rPr>
            </w:pPr>
            <w:r w:rsidRPr="00D369AA">
              <w:rPr>
                <w:rFonts w:cs="Arial"/>
                <w:b/>
                <w:bCs/>
                <w:sz w:val="16"/>
                <w:szCs w:val="24"/>
              </w:rPr>
              <w:t xml:space="preserve">Dividendos </w:t>
            </w:r>
          </w:p>
        </w:tc>
        <w:tc>
          <w:tcPr>
            <w:tcW w:w="905" w:type="dxa"/>
            <w:shd w:val="clear" w:color="auto" w:fill="auto"/>
            <w:vAlign w:val="center"/>
          </w:tcPr>
          <w:p w14:paraId="11221DF5" w14:textId="77777777" w:rsidR="008D31A1" w:rsidRPr="00D369AA" w:rsidRDefault="008D31A1" w:rsidP="008D31A1">
            <w:pPr>
              <w:autoSpaceDE w:val="0"/>
              <w:autoSpaceDN w:val="0"/>
              <w:adjustRightInd w:val="0"/>
              <w:spacing w:after="0" w:line="0" w:lineRule="atLeast"/>
              <w:jc w:val="center"/>
              <w:cnfStyle w:val="000000100000" w:firstRow="0" w:lastRow="0" w:firstColumn="0" w:lastColumn="0" w:oddVBand="0" w:evenVBand="0" w:oddHBand="1" w:evenHBand="0" w:firstRowFirstColumn="0" w:firstRowLastColumn="0" w:lastRowFirstColumn="0" w:lastRowLastColumn="0"/>
              <w:rPr>
                <w:rFonts w:cs="Arial"/>
                <w:b/>
                <w:bCs/>
                <w:sz w:val="16"/>
                <w:szCs w:val="24"/>
              </w:rPr>
            </w:pPr>
            <w:r w:rsidRPr="00D369AA">
              <w:rPr>
                <w:rFonts w:cs="Arial"/>
                <w:b/>
                <w:bCs/>
                <w:sz w:val="16"/>
                <w:szCs w:val="24"/>
              </w:rPr>
              <w:t>2016p</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64E3FBDF" w14:textId="77777777" w:rsidR="008D31A1" w:rsidRPr="00D369AA" w:rsidRDefault="008D31A1" w:rsidP="008D31A1">
            <w:pPr>
              <w:autoSpaceDE w:val="0"/>
              <w:autoSpaceDN w:val="0"/>
              <w:adjustRightInd w:val="0"/>
              <w:spacing w:after="0" w:line="0" w:lineRule="atLeast"/>
              <w:jc w:val="center"/>
              <w:rPr>
                <w:rFonts w:cs="Arial"/>
                <w:b/>
                <w:bCs/>
                <w:sz w:val="16"/>
                <w:szCs w:val="24"/>
              </w:rPr>
            </w:pPr>
            <w:r w:rsidRPr="00D369AA">
              <w:rPr>
                <w:rFonts w:cs="Arial"/>
                <w:b/>
                <w:bCs/>
                <w:sz w:val="16"/>
                <w:szCs w:val="24"/>
              </w:rPr>
              <w:t>2017p</w:t>
            </w:r>
          </w:p>
        </w:tc>
        <w:tc>
          <w:tcPr>
            <w:tcW w:w="1094" w:type="dxa"/>
            <w:shd w:val="clear" w:color="auto" w:fill="auto"/>
            <w:vAlign w:val="center"/>
          </w:tcPr>
          <w:p w14:paraId="194278E0" w14:textId="77777777" w:rsidR="008D31A1" w:rsidRPr="00D369AA" w:rsidRDefault="008D31A1" w:rsidP="008D31A1">
            <w:pPr>
              <w:autoSpaceDE w:val="0"/>
              <w:autoSpaceDN w:val="0"/>
              <w:adjustRightInd w:val="0"/>
              <w:spacing w:after="0" w:line="0" w:lineRule="atLeast"/>
              <w:jc w:val="center"/>
              <w:cnfStyle w:val="000000100000" w:firstRow="0" w:lastRow="0" w:firstColumn="0" w:lastColumn="0" w:oddVBand="0" w:evenVBand="0" w:oddHBand="1" w:evenHBand="0" w:firstRowFirstColumn="0" w:firstRowLastColumn="0" w:lastRowFirstColumn="0" w:lastRowLastColumn="0"/>
              <w:rPr>
                <w:rFonts w:cs="Arial"/>
                <w:b/>
                <w:bCs/>
                <w:sz w:val="16"/>
                <w:szCs w:val="24"/>
              </w:rPr>
            </w:pPr>
            <w:r w:rsidRPr="00D369AA">
              <w:rPr>
                <w:rFonts w:cs="Arial"/>
                <w:b/>
                <w:bCs/>
                <w:sz w:val="16"/>
                <w:szCs w:val="24"/>
              </w:rPr>
              <w:t>2018p</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2623DB34" w14:textId="77777777" w:rsidR="008D31A1" w:rsidRPr="00D369AA" w:rsidRDefault="008D31A1" w:rsidP="008D31A1">
            <w:pPr>
              <w:autoSpaceDE w:val="0"/>
              <w:autoSpaceDN w:val="0"/>
              <w:adjustRightInd w:val="0"/>
              <w:spacing w:after="0" w:line="0" w:lineRule="atLeast"/>
              <w:jc w:val="center"/>
              <w:rPr>
                <w:rFonts w:cs="Arial"/>
                <w:b/>
                <w:bCs/>
                <w:sz w:val="16"/>
                <w:szCs w:val="24"/>
              </w:rPr>
            </w:pPr>
            <w:r w:rsidRPr="00D369AA">
              <w:rPr>
                <w:rFonts w:cs="Arial"/>
                <w:b/>
                <w:bCs/>
                <w:sz w:val="16"/>
                <w:szCs w:val="24"/>
              </w:rPr>
              <w:t>2019p</w:t>
            </w:r>
          </w:p>
        </w:tc>
        <w:tc>
          <w:tcPr>
            <w:tcW w:w="1094" w:type="dxa"/>
            <w:shd w:val="clear" w:color="auto" w:fill="auto"/>
            <w:vAlign w:val="center"/>
          </w:tcPr>
          <w:p w14:paraId="489D2BB6" w14:textId="77777777" w:rsidR="008D31A1" w:rsidRPr="00D369AA" w:rsidRDefault="008D31A1" w:rsidP="008D31A1">
            <w:pPr>
              <w:autoSpaceDE w:val="0"/>
              <w:autoSpaceDN w:val="0"/>
              <w:adjustRightInd w:val="0"/>
              <w:spacing w:after="0" w:line="0" w:lineRule="atLeast"/>
              <w:jc w:val="center"/>
              <w:cnfStyle w:val="000000100000" w:firstRow="0" w:lastRow="0" w:firstColumn="0" w:lastColumn="0" w:oddVBand="0" w:evenVBand="0" w:oddHBand="1" w:evenHBand="0" w:firstRowFirstColumn="0" w:firstRowLastColumn="0" w:lastRowFirstColumn="0" w:lastRowLastColumn="0"/>
              <w:rPr>
                <w:rFonts w:cs="Arial"/>
                <w:b/>
                <w:bCs/>
                <w:sz w:val="16"/>
                <w:szCs w:val="24"/>
              </w:rPr>
            </w:pPr>
            <w:r w:rsidRPr="00D369AA">
              <w:rPr>
                <w:rFonts w:cs="Arial"/>
                <w:b/>
                <w:bCs/>
                <w:sz w:val="16"/>
                <w:szCs w:val="24"/>
              </w:rPr>
              <w:t>2020p</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50A2CC71" w14:textId="77777777" w:rsidR="008D31A1" w:rsidRPr="00D369AA" w:rsidRDefault="008D31A1" w:rsidP="008D31A1">
            <w:pPr>
              <w:autoSpaceDE w:val="0"/>
              <w:autoSpaceDN w:val="0"/>
              <w:adjustRightInd w:val="0"/>
              <w:spacing w:after="0" w:line="0" w:lineRule="atLeast"/>
              <w:jc w:val="center"/>
              <w:rPr>
                <w:rFonts w:cs="Arial"/>
                <w:b/>
                <w:bCs/>
                <w:sz w:val="16"/>
                <w:szCs w:val="24"/>
              </w:rPr>
            </w:pPr>
            <w:r w:rsidRPr="00D369AA">
              <w:rPr>
                <w:rFonts w:cs="Arial"/>
                <w:b/>
                <w:bCs/>
                <w:sz w:val="16"/>
                <w:szCs w:val="24"/>
              </w:rPr>
              <w:t>2021p</w:t>
            </w:r>
          </w:p>
        </w:tc>
        <w:tc>
          <w:tcPr>
            <w:tcW w:w="1094" w:type="dxa"/>
            <w:shd w:val="clear" w:color="auto" w:fill="auto"/>
            <w:vAlign w:val="center"/>
          </w:tcPr>
          <w:p w14:paraId="1089F766" w14:textId="77777777" w:rsidR="008D31A1" w:rsidRPr="00D369AA" w:rsidRDefault="008D31A1" w:rsidP="008D31A1">
            <w:pPr>
              <w:autoSpaceDE w:val="0"/>
              <w:autoSpaceDN w:val="0"/>
              <w:adjustRightInd w:val="0"/>
              <w:spacing w:after="0" w:line="0" w:lineRule="atLeast"/>
              <w:jc w:val="center"/>
              <w:cnfStyle w:val="000000100000" w:firstRow="0" w:lastRow="0" w:firstColumn="0" w:lastColumn="0" w:oddVBand="0" w:evenVBand="0" w:oddHBand="1" w:evenHBand="0" w:firstRowFirstColumn="0" w:firstRowLastColumn="0" w:lastRowFirstColumn="0" w:lastRowLastColumn="0"/>
              <w:rPr>
                <w:rFonts w:cs="Arial"/>
                <w:b/>
                <w:bCs/>
                <w:sz w:val="16"/>
                <w:szCs w:val="24"/>
              </w:rPr>
            </w:pPr>
            <w:r w:rsidRPr="00D369AA">
              <w:rPr>
                <w:rFonts w:cs="Arial"/>
                <w:b/>
                <w:bCs/>
                <w:sz w:val="16"/>
                <w:szCs w:val="24"/>
              </w:rPr>
              <w:t>2022p</w:t>
            </w:r>
          </w:p>
        </w:tc>
      </w:tr>
      <w:tr w:rsidR="008D31A1" w:rsidRPr="00D369AA" w14:paraId="4602503D" w14:textId="77777777" w:rsidTr="00F05E8F">
        <w:trPr>
          <w:trHeight w:val="19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p w14:paraId="4021C2E2" w14:textId="77777777" w:rsidR="008D31A1" w:rsidRPr="00D369AA" w:rsidRDefault="008D31A1" w:rsidP="008D31A1">
            <w:pPr>
              <w:autoSpaceDE w:val="0"/>
              <w:autoSpaceDN w:val="0"/>
              <w:adjustRightInd w:val="0"/>
              <w:spacing w:after="0" w:line="0" w:lineRule="atLeast"/>
              <w:rPr>
                <w:rFonts w:cs="Arial"/>
                <w:b/>
                <w:bCs/>
                <w:iCs/>
                <w:sz w:val="16"/>
                <w:szCs w:val="24"/>
              </w:rPr>
            </w:pPr>
            <w:proofErr w:type="spellStart"/>
            <w:r w:rsidRPr="00D369AA">
              <w:rPr>
                <w:rFonts w:cs="Arial"/>
                <w:b/>
                <w:bCs/>
                <w:iCs/>
                <w:sz w:val="16"/>
                <w:szCs w:val="24"/>
              </w:rPr>
              <w:t>Promigas</w:t>
            </w:r>
            <w:proofErr w:type="spellEnd"/>
          </w:p>
        </w:tc>
        <w:tc>
          <w:tcPr>
            <w:tcW w:w="905" w:type="dxa"/>
            <w:shd w:val="clear" w:color="auto" w:fill="auto"/>
            <w:vAlign w:val="center"/>
          </w:tcPr>
          <w:p w14:paraId="6A3E3622"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60.347</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6FAFB4FA"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58.903</w:t>
            </w:r>
          </w:p>
        </w:tc>
        <w:tc>
          <w:tcPr>
            <w:tcW w:w="1094" w:type="dxa"/>
            <w:shd w:val="clear" w:color="auto" w:fill="auto"/>
            <w:vAlign w:val="center"/>
          </w:tcPr>
          <w:p w14:paraId="42BED9F9"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65.112</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2EBD08BD"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73.073</w:t>
            </w:r>
          </w:p>
        </w:tc>
        <w:tc>
          <w:tcPr>
            <w:tcW w:w="1094" w:type="dxa"/>
            <w:shd w:val="clear" w:color="auto" w:fill="auto"/>
            <w:vAlign w:val="center"/>
          </w:tcPr>
          <w:p w14:paraId="250507FD"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75.411</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4D1039C5"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77.824</w:t>
            </w:r>
          </w:p>
        </w:tc>
        <w:tc>
          <w:tcPr>
            <w:tcW w:w="1094" w:type="dxa"/>
            <w:shd w:val="clear" w:color="auto" w:fill="auto"/>
            <w:vAlign w:val="center"/>
          </w:tcPr>
          <w:p w14:paraId="028511A3"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80.315</w:t>
            </w:r>
          </w:p>
        </w:tc>
      </w:tr>
      <w:tr w:rsidR="008D31A1" w:rsidRPr="00D369AA" w14:paraId="0A0433DD" w14:textId="77777777" w:rsidTr="00F05E8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p w14:paraId="61CD0C93" w14:textId="77777777" w:rsidR="008D31A1" w:rsidRPr="00D369AA" w:rsidRDefault="008D31A1" w:rsidP="008D31A1">
            <w:pPr>
              <w:autoSpaceDE w:val="0"/>
              <w:autoSpaceDN w:val="0"/>
              <w:adjustRightInd w:val="0"/>
              <w:spacing w:after="0" w:line="0" w:lineRule="atLeast"/>
              <w:rPr>
                <w:rFonts w:cs="Arial"/>
                <w:b/>
                <w:bCs/>
                <w:iCs/>
                <w:sz w:val="16"/>
                <w:szCs w:val="24"/>
              </w:rPr>
            </w:pPr>
            <w:r w:rsidRPr="00D369AA">
              <w:rPr>
                <w:rFonts w:cs="Arial"/>
                <w:b/>
                <w:bCs/>
                <w:iCs/>
                <w:sz w:val="16"/>
                <w:szCs w:val="24"/>
              </w:rPr>
              <w:t>ISA – COL</w:t>
            </w:r>
          </w:p>
        </w:tc>
        <w:tc>
          <w:tcPr>
            <w:tcW w:w="905" w:type="dxa"/>
            <w:shd w:val="clear" w:color="auto" w:fill="auto"/>
            <w:vAlign w:val="center"/>
          </w:tcPr>
          <w:p w14:paraId="12686123"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4.426</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4963273F"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4.568</w:t>
            </w:r>
          </w:p>
        </w:tc>
        <w:tc>
          <w:tcPr>
            <w:tcW w:w="1094" w:type="dxa"/>
            <w:shd w:val="clear" w:color="auto" w:fill="auto"/>
            <w:vAlign w:val="center"/>
          </w:tcPr>
          <w:p w14:paraId="7BE58A2E"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4.714</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2FF2EEF0"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4.865</w:t>
            </w:r>
          </w:p>
        </w:tc>
        <w:tc>
          <w:tcPr>
            <w:tcW w:w="1094" w:type="dxa"/>
            <w:shd w:val="clear" w:color="auto" w:fill="auto"/>
            <w:vAlign w:val="center"/>
          </w:tcPr>
          <w:p w14:paraId="15C53A24"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5.020</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4A543F75"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5.181</w:t>
            </w:r>
          </w:p>
        </w:tc>
        <w:tc>
          <w:tcPr>
            <w:tcW w:w="1094" w:type="dxa"/>
            <w:shd w:val="clear" w:color="auto" w:fill="auto"/>
            <w:vAlign w:val="center"/>
          </w:tcPr>
          <w:p w14:paraId="1D13572E"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5.347</w:t>
            </w:r>
          </w:p>
        </w:tc>
      </w:tr>
      <w:tr w:rsidR="008D31A1" w:rsidRPr="00D369AA" w14:paraId="1A5A0365" w14:textId="77777777" w:rsidTr="00F05E8F">
        <w:trPr>
          <w:trHeight w:val="19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p w14:paraId="5E4668F2" w14:textId="77777777" w:rsidR="008D31A1" w:rsidRPr="00D369AA" w:rsidRDefault="008D31A1" w:rsidP="008D31A1">
            <w:pPr>
              <w:autoSpaceDE w:val="0"/>
              <w:autoSpaceDN w:val="0"/>
              <w:adjustRightInd w:val="0"/>
              <w:spacing w:after="0" w:line="0" w:lineRule="atLeast"/>
              <w:rPr>
                <w:rFonts w:cs="Arial"/>
                <w:b/>
                <w:bCs/>
                <w:iCs/>
                <w:sz w:val="16"/>
                <w:szCs w:val="24"/>
              </w:rPr>
            </w:pPr>
            <w:proofErr w:type="spellStart"/>
            <w:r w:rsidRPr="00D369AA">
              <w:rPr>
                <w:rFonts w:cs="Arial"/>
                <w:b/>
                <w:bCs/>
                <w:iCs/>
                <w:sz w:val="16"/>
                <w:szCs w:val="24"/>
              </w:rPr>
              <w:t>Bco</w:t>
            </w:r>
            <w:proofErr w:type="spellEnd"/>
            <w:r w:rsidRPr="00D369AA">
              <w:rPr>
                <w:rFonts w:cs="Arial"/>
                <w:b/>
                <w:bCs/>
                <w:iCs/>
                <w:sz w:val="16"/>
                <w:szCs w:val="24"/>
              </w:rPr>
              <w:t xml:space="preserve"> Popular</w:t>
            </w:r>
          </w:p>
        </w:tc>
        <w:tc>
          <w:tcPr>
            <w:tcW w:w="905" w:type="dxa"/>
            <w:shd w:val="clear" w:color="auto" w:fill="auto"/>
            <w:vAlign w:val="center"/>
          </w:tcPr>
          <w:p w14:paraId="4E34E694"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224</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5E7E8D5C"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233</w:t>
            </w:r>
          </w:p>
        </w:tc>
        <w:tc>
          <w:tcPr>
            <w:tcW w:w="1094" w:type="dxa"/>
            <w:shd w:val="clear" w:color="auto" w:fill="auto"/>
            <w:vAlign w:val="center"/>
          </w:tcPr>
          <w:p w14:paraId="3801FB35"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240</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3F0EF29A"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248</w:t>
            </w:r>
          </w:p>
        </w:tc>
        <w:tc>
          <w:tcPr>
            <w:tcW w:w="1094" w:type="dxa"/>
            <w:shd w:val="clear" w:color="auto" w:fill="auto"/>
            <w:vAlign w:val="center"/>
          </w:tcPr>
          <w:p w14:paraId="3B7DC953"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256</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63A144A6"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264</w:t>
            </w:r>
          </w:p>
        </w:tc>
        <w:tc>
          <w:tcPr>
            <w:tcW w:w="1094" w:type="dxa"/>
            <w:shd w:val="clear" w:color="auto" w:fill="auto"/>
            <w:vAlign w:val="center"/>
          </w:tcPr>
          <w:p w14:paraId="3CD389CB"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sz w:val="16"/>
                <w:szCs w:val="24"/>
              </w:rPr>
            </w:pPr>
            <w:r w:rsidRPr="00D369AA">
              <w:rPr>
                <w:rFonts w:cs="Arial"/>
                <w:sz w:val="16"/>
                <w:szCs w:val="24"/>
              </w:rPr>
              <w:t>273</w:t>
            </w:r>
          </w:p>
        </w:tc>
      </w:tr>
      <w:tr w:rsidR="008D31A1" w:rsidRPr="00D369AA" w14:paraId="5AE3E25A" w14:textId="77777777" w:rsidTr="00F05E8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p w14:paraId="0A40FA95" w14:textId="77777777" w:rsidR="008D31A1" w:rsidRPr="00D369AA" w:rsidRDefault="008D31A1" w:rsidP="008D31A1">
            <w:pPr>
              <w:autoSpaceDE w:val="0"/>
              <w:autoSpaceDN w:val="0"/>
              <w:adjustRightInd w:val="0"/>
              <w:spacing w:after="0" w:line="0" w:lineRule="atLeast"/>
              <w:rPr>
                <w:rFonts w:cs="Arial"/>
                <w:b/>
                <w:bCs/>
                <w:iCs/>
                <w:sz w:val="16"/>
                <w:szCs w:val="24"/>
              </w:rPr>
            </w:pPr>
            <w:proofErr w:type="spellStart"/>
            <w:r w:rsidRPr="00D369AA">
              <w:rPr>
                <w:rFonts w:cs="Arial"/>
                <w:b/>
                <w:bCs/>
                <w:iCs/>
                <w:sz w:val="16"/>
                <w:szCs w:val="24"/>
              </w:rPr>
              <w:t>Nutresa</w:t>
            </w:r>
            <w:proofErr w:type="spellEnd"/>
          </w:p>
        </w:tc>
        <w:tc>
          <w:tcPr>
            <w:tcW w:w="905" w:type="dxa"/>
            <w:shd w:val="clear" w:color="auto" w:fill="auto"/>
            <w:vAlign w:val="center"/>
          </w:tcPr>
          <w:p w14:paraId="79D9E524"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0,11</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37388D11"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0,11</w:t>
            </w:r>
          </w:p>
        </w:tc>
        <w:tc>
          <w:tcPr>
            <w:tcW w:w="1094" w:type="dxa"/>
            <w:shd w:val="clear" w:color="auto" w:fill="auto"/>
            <w:vAlign w:val="center"/>
          </w:tcPr>
          <w:p w14:paraId="0F8889BD"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0,12</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0418D2DC"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0,12</w:t>
            </w:r>
          </w:p>
        </w:tc>
        <w:tc>
          <w:tcPr>
            <w:tcW w:w="1094" w:type="dxa"/>
            <w:shd w:val="clear" w:color="auto" w:fill="auto"/>
            <w:vAlign w:val="center"/>
          </w:tcPr>
          <w:p w14:paraId="475DE211"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0,12</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77B67D17" w14:textId="77777777" w:rsidR="008D31A1" w:rsidRPr="00D369AA" w:rsidRDefault="008D31A1" w:rsidP="008D31A1">
            <w:pPr>
              <w:autoSpaceDE w:val="0"/>
              <w:autoSpaceDN w:val="0"/>
              <w:adjustRightInd w:val="0"/>
              <w:spacing w:after="0" w:line="0" w:lineRule="atLeast"/>
              <w:jc w:val="right"/>
              <w:rPr>
                <w:rFonts w:cs="Arial"/>
                <w:sz w:val="16"/>
                <w:szCs w:val="24"/>
              </w:rPr>
            </w:pPr>
            <w:r w:rsidRPr="00D369AA">
              <w:rPr>
                <w:rFonts w:cs="Arial"/>
                <w:sz w:val="16"/>
                <w:szCs w:val="24"/>
              </w:rPr>
              <w:t>0,13</w:t>
            </w:r>
          </w:p>
        </w:tc>
        <w:tc>
          <w:tcPr>
            <w:tcW w:w="1094" w:type="dxa"/>
            <w:shd w:val="clear" w:color="auto" w:fill="auto"/>
            <w:vAlign w:val="center"/>
          </w:tcPr>
          <w:p w14:paraId="2EE9D02C" w14:textId="77777777" w:rsidR="008D31A1" w:rsidRPr="00D369AA" w:rsidRDefault="008D31A1" w:rsidP="008D31A1">
            <w:pPr>
              <w:autoSpaceDE w:val="0"/>
              <w:autoSpaceDN w:val="0"/>
              <w:adjustRightInd w:val="0"/>
              <w:spacing w:after="0" w:line="0" w:lineRule="atLeast"/>
              <w:jc w:val="right"/>
              <w:cnfStyle w:val="000000100000" w:firstRow="0" w:lastRow="0" w:firstColumn="0" w:lastColumn="0" w:oddVBand="0" w:evenVBand="0" w:oddHBand="1" w:evenHBand="0" w:firstRowFirstColumn="0" w:firstRowLastColumn="0" w:lastRowFirstColumn="0" w:lastRowLastColumn="0"/>
              <w:rPr>
                <w:rFonts w:cs="Arial"/>
                <w:sz w:val="16"/>
                <w:szCs w:val="24"/>
              </w:rPr>
            </w:pPr>
            <w:r w:rsidRPr="00D369AA">
              <w:rPr>
                <w:rFonts w:cs="Arial"/>
                <w:sz w:val="16"/>
                <w:szCs w:val="24"/>
              </w:rPr>
              <w:t>0,13</w:t>
            </w:r>
          </w:p>
        </w:tc>
      </w:tr>
      <w:tr w:rsidR="008D31A1" w:rsidRPr="00D369AA" w14:paraId="0455A90F" w14:textId="77777777" w:rsidTr="00F05E8F">
        <w:trPr>
          <w:trHeight w:val="193"/>
        </w:trPr>
        <w:tc>
          <w:tcPr>
            <w:cnfStyle w:val="000010000000" w:firstRow="0" w:lastRow="0" w:firstColumn="0" w:lastColumn="0" w:oddVBand="1" w:evenVBand="0" w:oddHBand="0" w:evenHBand="0" w:firstRowFirstColumn="0" w:firstRowLastColumn="0" w:lastRowFirstColumn="0" w:lastRowLastColumn="0"/>
            <w:tcW w:w="1283" w:type="dxa"/>
            <w:shd w:val="clear" w:color="auto" w:fill="auto"/>
            <w:vAlign w:val="center"/>
          </w:tcPr>
          <w:p w14:paraId="736F83A3" w14:textId="77777777" w:rsidR="008D31A1" w:rsidRPr="00D369AA" w:rsidRDefault="008D31A1" w:rsidP="008D31A1">
            <w:pPr>
              <w:autoSpaceDE w:val="0"/>
              <w:autoSpaceDN w:val="0"/>
              <w:adjustRightInd w:val="0"/>
              <w:spacing w:after="0" w:line="0" w:lineRule="atLeast"/>
              <w:rPr>
                <w:rFonts w:cs="Arial"/>
                <w:b/>
                <w:bCs/>
                <w:iCs/>
                <w:sz w:val="16"/>
                <w:szCs w:val="24"/>
              </w:rPr>
            </w:pPr>
            <w:r w:rsidRPr="00D369AA">
              <w:rPr>
                <w:rFonts w:cs="Arial"/>
                <w:b/>
                <w:bCs/>
                <w:iCs/>
                <w:sz w:val="16"/>
                <w:szCs w:val="24"/>
              </w:rPr>
              <w:t>TOTAL</w:t>
            </w:r>
          </w:p>
        </w:tc>
        <w:tc>
          <w:tcPr>
            <w:tcW w:w="905" w:type="dxa"/>
            <w:shd w:val="clear" w:color="auto" w:fill="auto"/>
            <w:vAlign w:val="center"/>
          </w:tcPr>
          <w:p w14:paraId="181A0877"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b/>
                <w:sz w:val="16"/>
                <w:szCs w:val="24"/>
              </w:rPr>
            </w:pPr>
            <w:r w:rsidRPr="00D369AA">
              <w:rPr>
                <w:rFonts w:cs="Arial"/>
                <w:b/>
                <w:sz w:val="16"/>
                <w:szCs w:val="24"/>
              </w:rPr>
              <w:t>64.997</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39C387A3" w14:textId="77777777" w:rsidR="008D31A1" w:rsidRPr="00D369AA" w:rsidRDefault="008D31A1" w:rsidP="008D31A1">
            <w:pPr>
              <w:autoSpaceDE w:val="0"/>
              <w:autoSpaceDN w:val="0"/>
              <w:adjustRightInd w:val="0"/>
              <w:spacing w:after="0" w:line="0" w:lineRule="atLeast"/>
              <w:jc w:val="right"/>
              <w:rPr>
                <w:rFonts w:cs="Arial"/>
                <w:b/>
                <w:sz w:val="16"/>
                <w:szCs w:val="24"/>
              </w:rPr>
            </w:pPr>
            <w:r w:rsidRPr="00D369AA">
              <w:rPr>
                <w:rFonts w:cs="Arial"/>
                <w:b/>
                <w:sz w:val="16"/>
                <w:szCs w:val="24"/>
              </w:rPr>
              <w:t>63.704</w:t>
            </w:r>
          </w:p>
        </w:tc>
        <w:tc>
          <w:tcPr>
            <w:tcW w:w="1094" w:type="dxa"/>
            <w:shd w:val="clear" w:color="auto" w:fill="auto"/>
            <w:vAlign w:val="center"/>
          </w:tcPr>
          <w:p w14:paraId="1D3739DB"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b/>
                <w:sz w:val="16"/>
                <w:szCs w:val="24"/>
              </w:rPr>
            </w:pPr>
            <w:r w:rsidRPr="00D369AA">
              <w:rPr>
                <w:rFonts w:cs="Arial"/>
                <w:b/>
                <w:sz w:val="16"/>
                <w:szCs w:val="24"/>
              </w:rPr>
              <w:t>70.066</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6AB33E87" w14:textId="77777777" w:rsidR="008D31A1" w:rsidRPr="00D369AA" w:rsidRDefault="008D31A1" w:rsidP="008D31A1">
            <w:pPr>
              <w:autoSpaceDE w:val="0"/>
              <w:autoSpaceDN w:val="0"/>
              <w:adjustRightInd w:val="0"/>
              <w:spacing w:after="0" w:line="0" w:lineRule="atLeast"/>
              <w:jc w:val="right"/>
              <w:rPr>
                <w:rFonts w:cs="Arial"/>
                <w:b/>
                <w:sz w:val="16"/>
                <w:szCs w:val="24"/>
              </w:rPr>
            </w:pPr>
            <w:r w:rsidRPr="00D369AA">
              <w:rPr>
                <w:rFonts w:cs="Arial"/>
                <w:b/>
                <w:sz w:val="16"/>
                <w:szCs w:val="24"/>
              </w:rPr>
              <w:t>78.186</w:t>
            </w:r>
          </w:p>
        </w:tc>
        <w:tc>
          <w:tcPr>
            <w:tcW w:w="1094" w:type="dxa"/>
            <w:shd w:val="clear" w:color="auto" w:fill="auto"/>
            <w:vAlign w:val="center"/>
          </w:tcPr>
          <w:p w14:paraId="7972B52E"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b/>
                <w:sz w:val="16"/>
                <w:szCs w:val="24"/>
              </w:rPr>
            </w:pPr>
            <w:r w:rsidRPr="00D369AA">
              <w:rPr>
                <w:rFonts w:cs="Arial"/>
                <w:b/>
                <w:sz w:val="16"/>
                <w:szCs w:val="24"/>
              </w:rPr>
              <w:t>80.688</w:t>
            </w:r>
          </w:p>
        </w:tc>
        <w:tc>
          <w:tcPr>
            <w:cnfStyle w:val="000010000000" w:firstRow="0" w:lastRow="0" w:firstColumn="0" w:lastColumn="0" w:oddVBand="1" w:evenVBand="0" w:oddHBand="0" w:evenHBand="0" w:firstRowFirstColumn="0" w:firstRowLastColumn="0" w:lastRowFirstColumn="0" w:lastRowLastColumn="0"/>
            <w:tcW w:w="1094" w:type="dxa"/>
            <w:shd w:val="clear" w:color="auto" w:fill="auto"/>
            <w:vAlign w:val="center"/>
          </w:tcPr>
          <w:p w14:paraId="409D9461" w14:textId="77777777" w:rsidR="008D31A1" w:rsidRPr="00D369AA" w:rsidRDefault="008D31A1" w:rsidP="008D31A1">
            <w:pPr>
              <w:autoSpaceDE w:val="0"/>
              <w:autoSpaceDN w:val="0"/>
              <w:adjustRightInd w:val="0"/>
              <w:spacing w:after="0" w:line="0" w:lineRule="atLeast"/>
              <w:jc w:val="right"/>
              <w:rPr>
                <w:rFonts w:cs="Arial"/>
                <w:b/>
                <w:sz w:val="16"/>
                <w:szCs w:val="24"/>
              </w:rPr>
            </w:pPr>
            <w:r w:rsidRPr="00D369AA">
              <w:rPr>
                <w:rFonts w:cs="Arial"/>
                <w:b/>
                <w:sz w:val="16"/>
                <w:szCs w:val="24"/>
              </w:rPr>
              <w:t>83.270</w:t>
            </w:r>
          </w:p>
        </w:tc>
        <w:tc>
          <w:tcPr>
            <w:tcW w:w="1094" w:type="dxa"/>
            <w:shd w:val="clear" w:color="auto" w:fill="auto"/>
            <w:vAlign w:val="center"/>
          </w:tcPr>
          <w:p w14:paraId="78523204" w14:textId="77777777" w:rsidR="008D31A1" w:rsidRPr="00D369AA" w:rsidRDefault="008D31A1" w:rsidP="008D31A1">
            <w:pPr>
              <w:autoSpaceDE w:val="0"/>
              <w:autoSpaceDN w:val="0"/>
              <w:adjustRightInd w:val="0"/>
              <w:spacing w:after="0" w:line="0" w:lineRule="atLeast"/>
              <w:jc w:val="right"/>
              <w:cnfStyle w:val="000000000000" w:firstRow="0" w:lastRow="0" w:firstColumn="0" w:lastColumn="0" w:oddVBand="0" w:evenVBand="0" w:oddHBand="0" w:evenHBand="0" w:firstRowFirstColumn="0" w:firstRowLastColumn="0" w:lastRowFirstColumn="0" w:lastRowLastColumn="0"/>
              <w:rPr>
                <w:rFonts w:cs="Arial"/>
                <w:b/>
                <w:sz w:val="16"/>
                <w:szCs w:val="24"/>
              </w:rPr>
            </w:pPr>
            <w:r w:rsidRPr="00D369AA">
              <w:rPr>
                <w:rFonts w:cs="Arial"/>
                <w:b/>
                <w:sz w:val="16"/>
                <w:szCs w:val="24"/>
              </w:rPr>
              <w:t>85.934</w:t>
            </w:r>
          </w:p>
        </w:tc>
      </w:tr>
    </w:tbl>
    <w:p w14:paraId="0C5CCE53" w14:textId="71F61B67" w:rsidR="003F52E2" w:rsidRDefault="008D31A1" w:rsidP="003F52E2">
      <w:pPr>
        <w:pStyle w:val="Citadestacada"/>
      </w:pPr>
      <w:r w:rsidRPr="00D369AA">
        <w:rPr>
          <w:lang w:val="es-CO"/>
        </w:rPr>
        <w:lastRenderedPageBreak/>
        <w:t>Fuente:</w:t>
      </w:r>
      <w:r w:rsidR="003F52E2">
        <w:rPr>
          <w:lang w:val="es-CO"/>
        </w:rPr>
        <w:t xml:space="preserve"> </w:t>
      </w:r>
      <w:r w:rsidR="003F52E2">
        <w:t xml:space="preserve">Estudios Técnicos Proyecto de Acuerdo 472 de 2016. 18 de Octubre de 2016. Página 145.  </w:t>
      </w:r>
    </w:p>
    <w:p w14:paraId="65515C98" w14:textId="0611D51F" w:rsidR="008D31A1" w:rsidRDefault="00F87788" w:rsidP="008D31A1">
      <w:pPr>
        <w:rPr>
          <w:rFonts w:cs="Arial"/>
          <w:i/>
          <w:szCs w:val="24"/>
          <w:lang w:val="es-CO"/>
        </w:rPr>
      </w:pPr>
      <w:r>
        <w:rPr>
          <w:rFonts w:cs="Arial"/>
          <w:szCs w:val="24"/>
        </w:rPr>
        <w:t>Los datos y cálculos realizados por la EEB, indican que l</w:t>
      </w:r>
      <w:r>
        <w:rPr>
          <w:rFonts w:cs="Arial"/>
          <w:szCs w:val="24"/>
          <w:lang w:val="es-CO"/>
        </w:rPr>
        <w:t>os</w:t>
      </w:r>
      <w:r w:rsidR="008D31A1" w:rsidRPr="00D369AA">
        <w:rPr>
          <w:rFonts w:cs="Arial"/>
          <w:szCs w:val="24"/>
          <w:lang w:val="es-CO"/>
        </w:rPr>
        <w:t xml:space="preserve"> activos analizados tienen una participación </w:t>
      </w:r>
      <w:r>
        <w:rPr>
          <w:rFonts w:cs="Arial"/>
          <w:szCs w:val="24"/>
          <w:lang w:val="es-CO"/>
        </w:rPr>
        <w:t>baja</w:t>
      </w:r>
      <w:r w:rsidR="008D31A1" w:rsidRPr="00D369AA">
        <w:rPr>
          <w:rFonts w:cs="Arial"/>
          <w:szCs w:val="24"/>
          <w:lang w:val="es-CO"/>
        </w:rPr>
        <w:t xml:space="preserve"> dentro del portafolio</w:t>
      </w:r>
      <w:r>
        <w:rPr>
          <w:rFonts w:cs="Arial"/>
          <w:szCs w:val="24"/>
          <w:lang w:val="es-CO"/>
        </w:rPr>
        <w:t xml:space="preserve"> de inversiones </w:t>
      </w:r>
      <w:r w:rsidR="008D31A1" w:rsidRPr="00D369AA">
        <w:rPr>
          <w:rFonts w:cs="Arial"/>
          <w:szCs w:val="24"/>
          <w:lang w:val="es-CO"/>
        </w:rPr>
        <w:t>del grupo,</w:t>
      </w:r>
      <w:r>
        <w:rPr>
          <w:rFonts w:cs="Arial"/>
          <w:szCs w:val="24"/>
          <w:lang w:val="es-CO"/>
        </w:rPr>
        <w:t xml:space="preserve"> </w:t>
      </w:r>
      <w:r w:rsidR="008D31A1" w:rsidRPr="00F87788">
        <w:rPr>
          <w:rFonts w:cs="Arial"/>
          <w:i/>
          <w:szCs w:val="24"/>
          <w:lang w:val="es-CO"/>
        </w:rPr>
        <w:t xml:space="preserve">siendo </w:t>
      </w:r>
      <w:proofErr w:type="spellStart"/>
      <w:r w:rsidR="008D31A1" w:rsidRPr="00F87788">
        <w:rPr>
          <w:rFonts w:cs="Arial"/>
          <w:i/>
          <w:szCs w:val="24"/>
          <w:lang w:val="es-CO"/>
        </w:rPr>
        <w:t>Promigas</w:t>
      </w:r>
      <w:proofErr w:type="spellEnd"/>
      <w:r w:rsidR="008D31A1" w:rsidRPr="00F87788">
        <w:rPr>
          <w:rFonts w:cs="Arial"/>
          <w:i/>
          <w:szCs w:val="24"/>
          <w:lang w:val="es-CO"/>
        </w:rPr>
        <w:t xml:space="preserve"> el de mayor tamaño con un aporte al EBITDA del 1,82% en 2015, a continuación se muestra que el efecto sobre el EBITDA consolidado al realizar las enajenaciones es marginal teniendo cuenta que el EBITDA del grupo supera los COP 2,6 billones y el máximo valor de los dividendos de los activos a enajenar es de COP 85,9 mil millones para todos los años. En promedio la disminución en el EBITDA es de 2,3% con las enajenaciones</w:t>
      </w:r>
      <w:r>
        <w:rPr>
          <w:rStyle w:val="Refdenotaalpie"/>
          <w:rFonts w:cs="Arial"/>
          <w:i/>
          <w:szCs w:val="24"/>
          <w:lang w:val="es-CO"/>
        </w:rPr>
        <w:footnoteReference w:id="52"/>
      </w:r>
      <w:r w:rsidR="008D31A1" w:rsidRPr="00F87788">
        <w:rPr>
          <w:rFonts w:cs="Arial"/>
          <w:i/>
          <w:szCs w:val="24"/>
          <w:lang w:val="es-CO"/>
        </w:rPr>
        <w:t xml:space="preserve">. </w:t>
      </w:r>
    </w:p>
    <w:p w14:paraId="22CAA53D" w14:textId="77777777" w:rsidR="00522684" w:rsidRDefault="00522684" w:rsidP="008D31A1">
      <w:pPr>
        <w:rPr>
          <w:rFonts w:cs="Arial"/>
          <w:szCs w:val="24"/>
          <w:lang w:val="es-CO"/>
        </w:rPr>
      </w:pPr>
    </w:p>
    <w:p w14:paraId="360E26C0" w14:textId="719A3319" w:rsidR="008D31A1" w:rsidRPr="00D369AA" w:rsidRDefault="003F52E2" w:rsidP="001C4279">
      <w:pPr>
        <w:pStyle w:val="Epgrafe"/>
        <w:rPr>
          <w:rFonts w:cs="Arial"/>
          <w:szCs w:val="24"/>
          <w:lang w:val="es-CO"/>
        </w:rPr>
      </w:pPr>
      <w:bookmarkStart w:id="11" w:name="_Toc462419643"/>
      <w:bookmarkStart w:id="12" w:name="_Toc464137719"/>
      <w:bookmarkStart w:id="13" w:name="_Toc464211498"/>
      <w:r>
        <w:rPr>
          <w:rFonts w:cs="Arial"/>
          <w:szCs w:val="24"/>
          <w:lang w:val="es-CO"/>
        </w:rPr>
        <w:t xml:space="preserve">Ilustración 70. </w:t>
      </w:r>
      <w:r w:rsidR="008D31A1" w:rsidRPr="00D369AA">
        <w:rPr>
          <w:rFonts w:cs="Arial"/>
          <w:szCs w:val="24"/>
          <w:lang w:val="es-CO"/>
        </w:rPr>
        <w:t>Impacto en EBITDA EEB por Venta Inversiones No Estratégicas 2017-202</w:t>
      </w:r>
      <w:bookmarkEnd w:id="11"/>
      <w:r w:rsidR="008D31A1" w:rsidRPr="00D369AA">
        <w:rPr>
          <w:rFonts w:cs="Arial"/>
          <w:szCs w:val="24"/>
          <w:lang w:val="es-CO"/>
        </w:rPr>
        <w:t>2 (COP MM)</w:t>
      </w:r>
      <w:bookmarkEnd w:id="12"/>
      <w:bookmarkEnd w:id="13"/>
    </w:p>
    <w:p w14:paraId="53DD8164" w14:textId="7AED9813" w:rsidR="003F52E2" w:rsidRDefault="006706D2" w:rsidP="003F52E2">
      <w:pPr>
        <w:pStyle w:val="Citadestacada"/>
      </w:pPr>
      <w:r w:rsidRPr="00D369AA">
        <w:rPr>
          <w:noProof/>
          <w:lang w:val="es-CO" w:eastAsia="es-CO"/>
        </w:rPr>
        <w:drawing>
          <wp:inline distT="0" distB="0" distL="0" distR="0" wp14:anchorId="1EAAE03C" wp14:editId="659C2372">
            <wp:extent cx="4067175" cy="237172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142FE" w:rsidRPr="00D369AA">
        <w:rPr>
          <w:rFonts w:cs="Arial"/>
          <w:szCs w:val="24"/>
          <w:lang w:val="es-CO" w:eastAsia="es-CO"/>
        </w:rPr>
        <w:br w:type="textWrapping" w:clear="all"/>
      </w:r>
      <w:r w:rsidR="003F52E2" w:rsidRPr="00D369AA">
        <w:rPr>
          <w:lang w:val="es-CO"/>
        </w:rPr>
        <w:t>Fuente:</w:t>
      </w:r>
      <w:r w:rsidR="003F52E2">
        <w:rPr>
          <w:lang w:val="es-CO"/>
        </w:rPr>
        <w:t xml:space="preserve"> </w:t>
      </w:r>
      <w:r w:rsidR="003F52E2">
        <w:t>Estudios Técnicos Proyecto de Acuerdo 472 de 2016. 18 de Octubre de 2016. Página 146.</w:t>
      </w:r>
    </w:p>
    <w:p w14:paraId="76C76E31" w14:textId="77777777" w:rsidR="00ED4723" w:rsidRDefault="00ED4723" w:rsidP="00475B71">
      <w:pPr>
        <w:rPr>
          <w:sz w:val="16"/>
          <w:szCs w:val="16"/>
        </w:rPr>
      </w:pPr>
      <w:bookmarkStart w:id="14" w:name="_Toc463886145"/>
    </w:p>
    <w:p w14:paraId="3A1A3878" w14:textId="77777777" w:rsidR="00ED4723" w:rsidRDefault="00ED4723" w:rsidP="00475B71">
      <w:pPr>
        <w:rPr>
          <w:sz w:val="16"/>
          <w:szCs w:val="16"/>
        </w:rPr>
      </w:pPr>
    </w:p>
    <w:p w14:paraId="64F3C487" w14:textId="77777777" w:rsidR="00ED4723" w:rsidRDefault="00ED4723" w:rsidP="00475B71">
      <w:pPr>
        <w:rPr>
          <w:sz w:val="16"/>
          <w:szCs w:val="16"/>
        </w:rPr>
      </w:pPr>
    </w:p>
    <w:bookmarkEnd w:id="14"/>
    <w:p w14:paraId="43226CB2" w14:textId="77777777" w:rsidR="009D27C7" w:rsidRPr="00A25EE7" w:rsidRDefault="009D27C7" w:rsidP="00522684">
      <w:pPr>
        <w:pStyle w:val="Ttulo2"/>
        <w:ind w:left="578" w:hanging="578"/>
        <w:rPr>
          <w:lang w:val="es-CO"/>
        </w:rPr>
      </w:pPr>
      <w:r w:rsidRPr="00A25EE7">
        <w:rPr>
          <w:lang w:val="es-CO"/>
        </w:rPr>
        <w:lastRenderedPageBreak/>
        <w:t>Otras consideraciones</w:t>
      </w:r>
    </w:p>
    <w:p w14:paraId="56B22711" w14:textId="26DD5D3F" w:rsidR="00F615BA" w:rsidRPr="00A25EE7" w:rsidRDefault="009D27C7" w:rsidP="00771921">
      <w:pPr>
        <w:pStyle w:val="Ttulo2"/>
        <w:numPr>
          <w:ilvl w:val="0"/>
          <w:numId w:val="0"/>
        </w:numPr>
        <w:rPr>
          <w:lang w:val="es-CO"/>
        </w:rPr>
      </w:pPr>
      <w:r w:rsidRPr="00A25EE7">
        <w:rPr>
          <w:b w:val="0"/>
          <w:lang w:val="es-CO"/>
        </w:rPr>
        <w:t xml:space="preserve">El 21 de octubre se llevó a cabo el </w:t>
      </w:r>
      <w:r w:rsidRPr="00A25EE7">
        <w:rPr>
          <w:b w:val="0"/>
          <w:i/>
          <w:lang w:val="es-CO"/>
        </w:rPr>
        <w:t>“Foro de socialización del Proyecto de Acuerdo 472 de 2016 “</w:t>
      </w:r>
      <w:r w:rsidRPr="00A25EE7">
        <w:rPr>
          <w:b w:val="0"/>
          <w:i/>
          <w:lang w:val="es-CO" w:eastAsia="es-CO"/>
        </w:rPr>
        <w:t>Por medio del cual se autoriza a la Empresa de Energía de Bogotá S.A. E.S.P.</w:t>
      </w:r>
      <w:r w:rsidR="0094267A" w:rsidRPr="00A25EE7">
        <w:rPr>
          <w:b w:val="0"/>
          <w:i/>
          <w:lang w:val="es-CO" w:eastAsia="es-CO"/>
        </w:rPr>
        <w:t>,</w:t>
      </w:r>
      <w:r w:rsidRPr="00A25EE7">
        <w:rPr>
          <w:b w:val="0"/>
          <w:i/>
          <w:lang w:val="es-CO" w:eastAsia="es-CO"/>
        </w:rPr>
        <w:t xml:space="preserve"> para que enajene la participación accionaria que posee en Interconexión Eléctrica S.A. E.S.P. – ISA-, Grupo </w:t>
      </w:r>
      <w:proofErr w:type="spellStart"/>
      <w:r w:rsidRPr="00A25EE7">
        <w:rPr>
          <w:b w:val="0"/>
          <w:i/>
          <w:lang w:val="es-CO" w:eastAsia="es-CO"/>
        </w:rPr>
        <w:t>Nutresa</w:t>
      </w:r>
      <w:proofErr w:type="spellEnd"/>
      <w:r w:rsidRPr="00A25EE7">
        <w:rPr>
          <w:b w:val="0"/>
          <w:i/>
          <w:lang w:val="es-CO" w:eastAsia="es-CO"/>
        </w:rPr>
        <w:t xml:space="preserve"> S.A., Banco Popular S.A. y a EEB Gas S.A.S. para que enajene la participación accionaria que posee en </w:t>
      </w:r>
      <w:proofErr w:type="spellStart"/>
      <w:r w:rsidRPr="00A25EE7">
        <w:rPr>
          <w:b w:val="0"/>
          <w:i/>
          <w:lang w:val="es-CO" w:eastAsia="es-CO"/>
        </w:rPr>
        <w:t>Promigas</w:t>
      </w:r>
      <w:proofErr w:type="spellEnd"/>
      <w:r w:rsidRPr="00A25EE7">
        <w:rPr>
          <w:b w:val="0"/>
          <w:i/>
          <w:lang w:val="es-CO" w:eastAsia="es-CO"/>
        </w:rPr>
        <w:t xml:space="preserve"> S.A. E.S.P.”</w:t>
      </w:r>
      <w:r w:rsidRPr="00A25EE7">
        <w:rPr>
          <w:rFonts w:cs="Arial"/>
          <w:b w:val="0"/>
          <w:szCs w:val="24"/>
          <w:lang w:val="es-CO"/>
        </w:rPr>
        <w:t xml:space="preserve">, </w:t>
      </w:r>
      <w:r w:rsidR="00D955A5" w:rsidRPr="00A25EE7">
        <w:rPr>
          <w:rFonts w:cs="Arial"/>
          <w:b w:val="0"/>
          <w:szCs w:val="24"/>
          <w:lang w:val="es-CO"/>
        </w:rPr>
        <w:t>citado por los H</w:t>
      </w:r>
      <w:r w:rsidR="0094267A" w:rsidRPr="00A25EE7">
        <w:rPr>
          <w:rFonts w:cs="Arial"/>
          <w:b w:val="0"/>
          <w:szCs w:val="24"/>
          <w:lang w:val="es-CO"/>
        </w:rPr>
        <w:t xml:space="preserve">onorables Concejales </w:t>
      </w:r>
      <w:r w:rsidR="00E6597E" w:rsidRPr="00A25EE7">
        <w:rPr>
          <w:rFonts w:cs="Arial"/>
          <w:b w:val="0"/>
          <w:szCs w:val="24"/>
          <w:lang w:val="es-CO"/>
        </w:rPr>
        <w:t>Rubén</w:t>
      </w:r>
      <w:r w:rsidR="00D955A5" w:rsidRPr="00A25EE7">
        <w:rPr>
          <w:rFonts w:cs="Arial"/>
          <w:b w:val="0"/>
          <w:szCs w:val="24"/>
          <w:lang w:val="es-CO"/>
        </w:rPr>
        <w:t xml:space="preserve"> </w:t>
      </w:r>
      <w:r w:rsidR="00E6597E" w:rsidRPr="00A25EE7">
        <w:rPr>
          <w:rFonts w:cs="Arial"/>
          <w:b w:val="0"/>
          <w:szCs w:val="24"/>
          <w:lang w:val="es-CO"/>
        </w:rPr>
        <w:t>Darío</w:t>
      </w:r>
      <w:r w:rsidR="00D955A5" w:rsidRPr="00A25EE7">
        <w:rPr>
          <w:rFonts w:cs="Arial"/>
          <w:b w:val="0"/>
          <w:szCs w:val="24"/>
          <w:lang w:val="es-CO"/>
        </w:rPr>
        <w:t xml:space="preserve"> Torrado Pacheco y </w:t>
      </w:r>
      <w:r w:rsidR="00E6597E" w:rsidRPr="00A25EE7">
        <w:rPr>
          <w:rFonts w:cs="Arial"/>
          <w:b w:val="0"/>
          <w:szCs w:val="24"/>
          <w:lang w:val="es-CO"/>
        </w:rPr>
        <w:t xml:space="preserve">Nelly Patricia Mosquera Murcia, evento en el cual los Concejales </w:t>
      </w:r>
      <w:r w:rsidR="001E058F" w:rsidRPr="00A25EE7">
        <w:rPr>
          <w:rFonts w:cs="Arial"/>
          <w:b w:val="0"/>
          <w:szCs w:val="24"/>
          <w:lang w:val="es-CO"/>
        </w:rPr>
        <w:t xml:space="preserve">y asistentes contamos con </w:t>
      </w:r>
      <w:r w:rsidR="00E6597E" w:rsidRPr="00A25EE7">
        <w:rPr>
          <w:rFonts w:cs="Arial"/>
          <w:b w:val="0"/>
          <w:szCs w:val="24"/>
          <w:lang w:val="es-CO"/>
        </w:rPr>
        <w:t xml:space="preserve">la oportunidad de escuchar diferentes apreciaciones por parte de </w:t>
      </w:r>
      <w:r w:rsidR="00771921" w:rsidRPr="00A25EE7">
        <w:rPr>
          <w:rFonts w:cs="Arial"/>
          <w:b w:val="0"/>
          <w:szCs w:val="24"/>
          <w:lang w:val="es-CO"/>
        </w:rPr>
        <w:t xml:space="preserve">panelistas con conocimientos en </w:t>
      </w:r>
      <w:r w:rsidR="00E6597E" w:rsidRPr="00A25EE7">
        <w:rPr>
          <w:rFonts w:cs="Arial"/>
          <w:b w:val="0"/>
          <w:szCs w:val="24"/>
          <w:lang w:val="es-CO"/>
        </w:rPr>
        <w:t>el sector de la energía y gas, así como del mercado de valores</w:t>
      </w:r>
      <w:r w:rsidR="001E058F" w:rsidRPr="00A25EE7">
        <w:rPr>
          <w:rFonts w:cs="Arial"/>
          <w:b w:val="0"/>
          <w:szCs w:val="24"/>
          <w:lang w:val="es-CO"/>
        </w:rPr>
        <w:t xml:space="preserve">, </w:t>
      </w:r>
      <w:r w:rsidR="00771921" w:rsidRPr="00A25EE7">
        <w:rPr>
          <w:rFonts w:cs="Arial"/>
          <w:b w:val="0"/>
          <w:szCs w:val="24"/>
          <w:lang w:val="es-CO"/>
        </w:rPr>
        <w:t xml:space="preserve">quienes compartieron sus apreciaciones </w:t>
      </w:r>
      <w:r w:rsidR="001E058F" w:rsidRPr="00A25EE7">
        <w:rPr>
          <w:rFonts w:cs="Arial"/>
          <w:b w:val="0"/>
          <w:szCs w:val="24"/>
          <w:lang w:val="es-CO"/>
        </w:rPr>
        <w:t>respecto del Proyecto de Acuerdo 472 de 2016</w:t>
      </w:r>
      <w:r w:rsidR="00E6597E" w:rsidRPr="00A25EE7">
        <w:rPr>
          <w:rFonts w:cs="Arial"/>
          <w:b w:val="0"/>
          <w:szCs w:val="24"/>
          <w:lang w:val="es-CO"/>
        </w:rPr>
        <w:t>.</w:t>
      </w:r>
    </w:p>
    <w:p w14:paraId="0B91AA32" w14:textId="192995F3" w:rsidR="00F615BA" w:rsidRPr="00A25EE7" w:rsidRDefault="00F615BA" w:rsidP="00F615BA">
      <w:pPr>
        <w:rPr>
          <w:lang w:val="es-CO"/>
        </w:rPr>
      </w:pPr>
      <w:r w:rsidRPr="00A25EE7">
        <w:rPr>
          <w:lang w:val="es-CO"/>
        </w:rPr>
        <w:t xml:space="preserve">Por esta razón, me permito hacer acotación </w:t>
      </w:r>
      <w:r w:rsidR="00771921" w:rsidRPr="00A25EE7">
        <w:rPr>
          <w:lang w:val="es-CO"/>
        </w:rPr>
        <w:t xml:space="preserve">de </w:t>
      </w:r>
      <w:r w:rsidRPr="00A25EE7">
        <w:rPr>
          <w:lang w:val="es-CO"/>
        </w:rPr>
        <w:t xml:space="preserve">las </w:t>
      </w:r>
      <w:r w:rsidR="00771921" w:rsidRPr="00A25EE7">
        <w:rPr>
          <w:lang w:val="es-CO"/>
        </w:rPr>
        <w:t>valoraciones</w:t>
      </w:r>
      <w:r w:rsidRPr="00A25EE7">
        <w:rPr>
          <w:lang w:val="es-CO"/>
        </w:rPr>
        <w:t xml:space="preserve"> expuestas durante el Foro</w:t>
      </w:r>
      <w:r w:rsidR="001A76D1" w:rsidRPr="00A25EE7">
        <w:rPr>
          <w:lang w:val="es-CO"/>
        </w:rPr>
        <w:t xml:space="preserve"> por algunos de los panelistas</w:t>
      </w:r>
      <w:r w:rsidRPr="00A25EE7">
        <w:rPr>
          <w:lang w:val="es-CO"/>
        </w:rPr>
        <w:t>, las cuales permiten complementar el análisis efectuado en la presente ponencia:</w:t>
      </w:r>
    </w:p>
    <w:p w14:paraId="4D564BD1" w14:textId="27C085AD" w:rsidR="00F615BA" w:rsidRPr="00A25EE7" w:rsidRDefault="00CE2C08" w:rsidP="00F615BA">
      <w:pPr>
        <w:rPr>
          <w:i/>
          <w:lang w:val="es-CO"/>
        </w:rPr>
      </w:pPr>
      <w:r w:rsidRPr="00A25EE7">
        <w:rPr>
          <w:i/>
          <w:lang w:val="es-CO"/>
        </w:rPr>
        <w:t xml:space="preserve">Ing. Industrial </w:t>
      </w:r>
      <w:r w:rsidR="001A76D1" w:rsidRPr="00A25EE7">
        <w:rPr>
          <w:i/>
          <w:lang w:val="es-CO"/>
        </w:rPr>
        <w:t>Edwin Cruz Caballero</w:t>
      </w:r>
      <w:r w:rsidRPr="00A25EE7">
        <w:rPr>
          <w:i/>
          <w:lang w:val="es-CO"/>
        </w:rPr>
        <w:t xml:space="preserve"> – Magister en </w:t>
      </w:r>
      <w:r w:rsidR="007C0018" w:rsidRPr="00A25EE7">
        <w:rPr>
          <w:i/>
          <w:lang w:val="es-CO"/>
        </w:rPr>
        <w:t>Regulación</w:t>
      </w:r>
      <w:r w:rsidRPr="00A25EE7">
        <w:rPr>
          <w:i/>
          <w:lang w:val="es-CO"/>
        </w:rPr>
        <w:t xml:space="preserve"> y </w:t>
      </w:r>
      <w:r w:rsidR="007C0018" w:rsidRPr="00A25EE7">
        <w:rPr>
          <w:i/>
          <w:lang w:val="es-CO"/>
        </w:rPr>
        <w:t xml:space="preserve">Magister en Finanzas Corporativas – Director de las Cámaras de Energía y Gas Natural de </w:t>
      </w:r>
      <w:proofErr w:type="spellStart"/>
      <w:r w:rsidR="007C0018" w:rsidRPr="00A25EE7">
        <w:rPr>
          <w:i/>
          <w:lang w:val="es-CO"/>
        </w:rPr>
        <w:t>Andesco</w:t>
      </w:r>
      <w:proofErr w:type="spellEnd"/>
      <w:r w:rsidR="007C0018" w:rsidRPr="00A25EE7">
        <w:rPr>
          <w:i/>
          <w:lang w:val="es-CO"/>
        </w:rPr>
        <w:t xml:space="preserve"> – lleva trece (13) años vinculados al sector de energía e hidrocarburos tanto en la academia como en empresas públicas y privadas ha trabajado en temas como regulación mercado de energía y estructuración de proyectos de infraestructura entre otros</w:t>
      </w:r>
      <w:r w:rsidR="007C0018" w:rsidRPr="00A25EE7">
        <w:rPr>
          <w:rStyle w:val="Refdenotaalpie"/>
          <w:i/>
          <w:lang w:val="es-CO"/>
        </w:rPr>
        <w:footnoteReference w:id="53"/>
      </w:r>
      <w:r w:rsidR="007C0018" w:rsidRPr="00A25EE7">
        <w:rPr>
          <w:i/>
          <w:lang w:val="es-CO"/>
        </w:rPr>
        <w:t xml:space="preserve">. </w:t>
      </w:r>
    </w:p>
    <w:p w14:paraId="5FB04B73" w14:textId="77777777" w:rsidR="00CE2C08" w:rsidRPr="00A25EE7" w:rsidRDefault="00CE2C08" w:rsidP="00F615BA">
      <w:pPr>
        <w:rPr>
          <w:i/>
          <w:lang w:val="es-CO"/>
        </w:rPr>
      </w:pPr>
    </w:p>
    <w:p w14:paraId="6FE19560" w14:textId="154F1155" w:rsidR="00D2202F" w:rsidRPr="00A25EE7" w:rsidRDefault="00D2202F" w:rsidP="00F615BA">
      <w:pPr>
        <w:rPr>
          <w:lang w:val="es-CO"/>
        </w:rPr>
      </w:pPr>
      <w:r w:rsidRPr="00A25EE7">
        <w:rPr>
          <w:lang w:val="es-CO"/>
        </w:rPr>
        <w:t>Dentro de la presentación realizada por el Ingeniero Edwin Cruz</w:t>
      </w:r>
      <w:r w:rsidR="0094267A" w:rsidRPr="00A25EE7">
        <w:rPr>
          <w:lang w:val="es-CO"/>
        </w:rPr>
        <w:t>,</w:t>
      </w:r>
      <w:r w:rsidRPr="00A25EE7">
        <w:rPr>
          <w:lang w:val="es-CO"/>
        </w:rPr>
        <w:t xml:space="preserve"> se presentan las principales conclusiones respecto del proyecto en estudio:</w:t>
      </w:r>
    </w:p>
    <w:p w14:paraId="1D5A7AEE" w14:textId="77777777" w:rsidR="00D2202F" w:rsidRPr="00A25EE7" w:rsidRDefault="00D2202F" w:rsidP="00F615BA">
      <w:pPr>
        <w:rPr>
          <w:lang w:val="es-CO"/>
        </w:rPr>
      </w:pPr>
    </w:p>
    <w:p w14:paraId="0C04C9D0" w14:textId="36A46296" w:rsidR="00D2202F" w:rsidRPr="00A25EE7" w:rsidRDefault="00133465" w:rsidP="00F615BA">
      <w:pPr>
        <w:rPr>
          <w:i/>
          <w:lang w:val="es-CO"/>
        </w:rPr>
      </w:pPr>
      <w:r w:rsidRPr="00A25EE7">
        <w:rPr>
          <w:i/>
          <w:lang w:val="es-CO"/>
        </w:rPr>
        <w:t>Perspectivas (1)</w:t>
      </w:r>
      <w:r w:rsidRPr="00A25EE7">
        <w:rPr>
          <w:rStyle w:val="Refdenotaalpie"/>
          <w:i/>
          <w:lang w:val="es-CO"/>
        </w:rPr>
        <w:footnoteReference w:id="54"/>
      </w:r>
    </w:p>
    <w:p w14:paraId="19808E18" w14:textId="15589C62" w:rsidR="00133465" w:rsidRPr="00A25EE7" w:rsidRDefault="00133465" w:rsidP="00133465">
      <w:pPr>
        <w:rPr>
          <w:i/>
          <w:lang w:val="es-CO"/>
        </w:rPr>
      </w:pPr>
      <w:r w:rsidRPr="00A25EE7">
        <w:rPr>
          <w:i/>
          <w:lang w:val="es-CO"/>
        </w:rPr>
        <w:t>La posición minoritaria en las empresas participadas no le permite a GEB  incidir efectivamente en su direccionamiento estratégico</w:t>
      </w:r>
      <w:r w:rsidR="0094267A" w:rsidRPr="00A25EE7">
        <w:rPr>
          <w:i/>
          <w:lang w:val="es-CO"/>
        </w:rPr>
        <w:t>.</w:t>
      </w:r>
    </w:p>
    <w:p w14:paraId="73D7E8DC" w14:textId="03741F6A" w:rsidR="00133465" w:rsidRPr="00A25EE7" w:rsidRDefault="00133465" w:rsidP="00133465">
      <w:pPr>
        <w:rPr>
          <w:i/>
          <w:lang w:val="es-CO"/>
        </w:rPr>
      </w:pPr>
      <w:r w:rsidRPr="00A25EE7">
        <w:rPr>
          <w:i/>
          <w:lang w:val="es-CO"/>
        </w:rPr>
        <w:lastRenderedPageBreak/>
        <w:t>La desinversión en activos no controlados no tiene impactos desde la perspectiva regulatoria en el caso de los sectores de energía/gas</w:t>
      </w:r>
      <w:r w:rsidR="0094267A" w:rsidRPr="00A25EE7">
        <w:rPr>
          <w:i/>
          <w:lang w:val="es-CO"/>
        </w:rPr>
        <w:t>.</w:t>
      </w:r>
    </w:p>
    <w:p w14:paraId="3D0D3E54" w14:textId="18E5E7BF" w:rsidR="00133465" w:rsidRPr="00A25EE7" w:rsidRDefault="00133465" w:rsidP="00133465">
      <w:pPr>
        <w:rPr>
          <w:i/>
          <w:lang w:val="es-CO"/>
        </w:rPr>
      </w:pPr>
      <w:r w:rsidRPr="00A25EE7">
        <w:rPr>
          <w:i/>
          <w:lang w:val="es-CO"/>
        </w:rPr>
        <w:t>La existencia de participaciones minoritarias en competidores naturales puede afectar la toma de decisiones estratégicas  para el desarrollo de los proyectos de expansión energética</w:t>
      </w:r>
      <w:r w:rsidR="0094267A" w:rsidRPr="00A25EE7">
        <w:rPr>
          <w:i/>
          <w:lang w:val="es-CO"/>
        </w:rPr>
        <w:t>.</w:t>
      </w:r>
    </w:p>
    <w:p w14:paraId="655B0AC4" w14:textId="3FB17332" w:rsidR="00771921" w:rsidRPr="00A25EE7" w:rsidRDefault="00133465" w:rsidP="00F615BA">
      <w:pPr>
        <w:rPr>
          <w:i/>
          <w:lang w:val="es-CO"/>
        </w:rPr>
      </w:pPr>
      <w:r w:rsidRPr="00A25EE7">
        <w:rPr>
          <w:i/>
          <w:lang w:val="es-CO"/>
        </w:rPr>
        <w:t>El foco estratégico de ISA y PROMIGAS no necesariamente estaría alineado con la estrategia definida recientemente por GEB</w:t>
      </w:r>
      <w:r w:rsidR="0094267A" w:rsidRPr="00A25EE7">
        <w:rPr>
          <w:i/>
          <w:lang w:val="es-CO"/>
        </w:rPr>
        <w:t>.</w:t>
      </w:r>
    </w:p>
    <w:p w14:paraId="6FD22538" w14:textId="77777777" w:rsidR="00E42187" w:rsidRDefault="00E42187" w:rsidP="00133465">
      <w:pPr>
        <w:rPr>
          <w:i/>
          <w:lang w:val="es-CO"/>
        </w:rPr>
      </w:pPr>
    </w:p>
    <w:p w14:paraId="10CE3E90" w14:textId="461F8192" w:rsidR="00133465" w:rsidRPr="00A25EE7" w:rsidRDefault="00133465" w:rsidP="00133465">
      <w:pPr>
        <w:rPr>
          <w:i/>
          <w:lang w:val="es-CO"/>
        </w:rPr>
      </w:pPr>
      <w:r w:rsidRPr="00A25EE7">
        <w:rPr>
          <w:i/>
          <w:lang w:val="es-CO"/>
        </w:rPr>
        <w:t>Perspectivas (2)</w:t>
      </w:r>
    </w:p>
    <w:p w14:paraId="3EDFEECE" w14:textId="77777777" w:rsidR="00133465" w:rsidRPr="00A25EE7" w:rsidRDefault="00133465" w:rsidP="00133465">
      <w:pPr>
        <w:rPr>
          <w:i/>
          <w:lang w:val="es-CO"/>
        </w:rPr>
      </w:pPr>
      <w:r w:rsidRPr="00A25EE7">
        <w:rPr>
          <w:i/>
          <w:lang w:val="es-CO"/>
        </w:rPr>
        <w:t>La enajenación de las participaciones accionarias de la Empresa de Energía de Bogotá en empresas no controladas le permitiría:</w:t>
      </w:r>
    </w:p>
    <w:p w14:paraId="2FD934BF" w14:textId="1C75D749" w:rsidR="00083B40" w:rsidRPr="00A25EE7" w:rsidRDefault="00D31D61" w:rsidP="00133465">
      <w:pPr>
        <w:numPr>
          <w:ilvl w:val="1"/>
          <w:numId w:val="39"/>
        </w:numPr>
        <w:rPr>
          <w:i/>
          <w:lang w:val="es-CO"/>
        </w:rPr>
      </w:pPr>
      <w:r w:rsidRPr="00A25EE7">
        <w:rPr>
          <w:i/>
          <w:lang w:val="es-CO"/>
        </w:rPr>
        <w:t xml:space="preserve">  Obtener recursos para financiar portafolios de inversión acordes al direccionamiento estratégico de GEB</w:t>
      </w:r>
      <w:r w:rsidR="0094267A" w:rsidRPr="00A25EE7">
        <w:rPr>
          <w:i/>
          <w:lang w:val="es-CO"/>
        </w:rPr>
        <w:t>.</w:t>
      </w:r>
    </w:p>
    <w:p w14:paraId="3AC94A0B" w14:textId="6FD0CFED" w:rsidR="00083B40" w:rsidRPr="00A25EE7" w:rsidRDefault="00D31D61" w:rsidP="00133465">
      <w:pPr>
        <w:numPr>
          <w:ilvl w:val="1"/>
          <w:numId w:val="39"/>
        </w:numPr>
        <w:rPr>
          <w:i/>
          <w:lang w:val="es-CO"/>
        </w:rPr>
      </w:pPr>
      <w:r w:rsidRPr="00A25EE7">
        <w:rPr>
          <w:i/>
          <w:lang w:val="es-CO"/>
        </w:rPr>
        <w:t xml:space="preserve">  Enfocar esfuerzos organizacionales en la creación de valor para los accionistas de la compañía, caso del Distrito Capital de Bogotá</w:t>
      </w:r>
      <w:r w:rsidR="0094267A" w:rsidRPr="00A25EE7">
        <w:rPr>
          <w:i/>
          <w:lang w:val="es-CO"/>
        </w:rPr>
        <w:t>.</w:t>
      </w:r>
    </w:p>
    <w:p w14:paraId="575E1688" w14:textId="77777777" w:rsidR="00133465" w:rsidRPr="00A25EE7" w:rsidRDefault="00133465" w:rsidP="00133465">
      <w:pPr>
        <w:rPr>
          <w:i/>
          <w:lang w:val="es-CO"/>
        </w:rPr>
      </w:pPr>
    </w:p>
    <w:p w14:paraId="7EB0A387" w14:textId="6ADD92FF" w:rsidR="00B249FF" w:rsidRPr="00A25EE7" w:rsidRDefault="00B249FF" w:rsidP="00B249FF">
      <w:pPr>
        <w:rPr>
          <w:i/>
          <w:lang w:val="es-CO"/>
        </w:rPr>
      </w:pPr>
      <w:proofErr w:type="spellStart"/>
      <w:r w:rsidRPr="00A25EE7">
        <w:rPr>
          <w:i/>
          <w:lang w:val="es-CO"/>
        </w:rPr>
        <w:t>Josè</w:t>
      </w:r>
      <w:proofErr w:type="spellEnd"/>
      <w:r w:rsidRPr="00A25EE7">
        <w:rPr>
          <w:i/>
          <w:lang w:val="es-CO"/>
        </w:rPr>
        <w:t xml:space="preserve"> Cleves _ Administrador de Empresas y Finanzas de la Universidad Cristiana de Texas – Magister en Economía de la Universidad de Los Andes – Cuenta con </w:t>
      </w:r>
      <w:proofErr w:type="spellStart"/>
      <w:r w:rsidRPr="00A25EE7">
        <w:rPr>
          <w:i/>
          <w:lang w:val="es-CO"/>
        </w:rPr>
        <w:t>màs</w:t>
      </w:r>
      <w:proofErr w:type="spellEnd"/>
      <w:r w:rsidRPr="00A25EE7">
        <w:rPr>
          <w:i/>
          <w:lang w:val="es-CO"/>
        </w:rPr>
        <w:t xml:space="preserve"> de 23 años de experiencia en liderazgo innovación, estrategia y desarrollo de negocios y finanzas tanto en Colombia como a nivel internacional principalmente en la industria del petróleo y el gas- entre sus cargos se destacan que fue Gerente </w:t>
      </w:r>
      <w:proofErr w:type="spellStart"/>
      <w:r w:rsidRPr="00A25EE7">
        <w:rPr>
          <w:i/>
          <w:lang w:val="es-CO"/>
        </w:rPr>
        <w:t>Senior</w:t>
      </w:r>
      <w:proofErr w:type="spellEnd"/>
      <w:r w:rsidRPr="00A25EE7">
        <w:rPr>
          <w:i/>
          <w:lang w:val="es-CO"/>
        </w:rPr>
        <w:t xml:space="preserve"> de </w:t>
      </w:r>
      <w:proofErr w:type="spellStart"/>
      <w:r w:rsidRPr="00A25EE7">
        <w:rPr>
          <w:i/>
          <w:lang w:val="es-CO"/>
        </w:rPr>
        <w:t>Planificaciòn</w:t>
      </w:r>
      <w:proofErr w:type="spellEnd"/>
      <w:r w:rsidRPr="00A25EE7">
        <w:rPr>
          <w:i/>
          <w:lang w:val="es-CO"/>
        </w:rPr>
        <w:t xml:space="preserve"> </w:t>
      </w:r>
      <w:proofErr w:type="spellStart"/>
      <w:r w:rsidRPr="00A25EE7">
        <w:rPr>
          <w:i/>
          <w:lang w:val="es-CO"/>
        </w:rPr>
        <w:t>Estratègica</w:t>
      </w:r>
      <w:proofErr w:type="spellEnd"/>
      <w:r w:rsidRPr="00A25EE7">
        <w:rPr>
          <w:i/>
          <w:lang w:val="es-CO"/>
        </w:rPr>
        <w:t xml:space="preserve"> y Proyectos de </w:t>
      </w:r>
      <w:proofErr w:type="spellStart"/>
      <w:r w:rsidRPr="00A25EE7">
        <w:rPr>
          <w:i/>
          <w:lang w:val="es-CO"/>
        </w:rPr>
        <w:t>Desdarrollo</w:t>
      </w:r>
      <w:proofErr w:type="spellEnd"/>
      <w:r w:rsidRPr="00A25EE7">
        <w:rPr>
          <w:i/>
          <w:lang w:val="es-CO"/>
        </w:rPr>
        <w:t xml:space="preserve"> de Gas en Grand Tierra </w:t>
      </w:r>
      <w:proofErr w:type="spellStart"/>
      <w:r w:rsidRPr="00A25EE7">
        <w:rPr>
          <w:i/>
          <w:lang w:val="es-CO"/>
        </w:rPr>
        <w:t>Energy</w:t>
      </w:r>
      <w:proofErr w:type="spellEnd"/>
      <w:r w:rsidRPr="00A25EE7">
        <w:rPr>
          <w:i/>
          <w:lang w:val="es-CO"/>
        </w:rPr>
        <w:t xml:space="preserve"> – Gerente para Colombia de </w:t>
      </w:r>
      <w:proofErr w:type="spellStart"/>
      <w:r w:rsidRPr="00A25EE7">
        <w:rPr>
          <w:i/>
          <w:lang w:val="es-CO"/>
        </w:rPr>
        <w:t>Petrolifera</w:t>
      </w:r>
      <w:proofErr w:type="spellEnd"/>
      <w:r w:rsidRPr="00A25EE7">
        <w:rPr>
          <w:i/>
          <w:lang w:val="es-CO"/>
        </w:rPr>
        <w:t xml:space="preserve"> </w:t>
      </w:r>
      <w:proofErr w:type="spellStart"/>
      <w:r w:rsidRPr="00A25EE7">
        <w:rPr>
          <w:i/>
          <w:lang w:val="es-CO"/>
        </w:rPr>
        <w:t>Preolium</w:t>
      </w:r>
      <w:proofErr w:type="spellEnd"/>
      <w:r w:rsidRPr="00A25EE7">
        <w:rPr>
          <w:i/>
          <w:lang w:val="es-CO"/>
        </w:rPr>
        <w:t xml:space="preserve"> y Gerente de Desarrollo de nuevos Negocios en BP </w:t>
      </w:r>
      <w:proofErr w:type="spellStart"/>
      <w:r w:rsidRPr="00A25EE7">
        <w:rPr>
          <w:i/>
          <w:lang w:val="es-CO"/>
        </w:rPr>
        <w:t>Exploration</w:t>
      </w:r>
      <w:proofErr w:type="spellEnd"/>
      <w:r w:rsidRPr="00A25EE7">
        <w:rPr>
          <w:i/>
          <w:lang w:val="es-CO"/>
        </w:rPr>
        <w:t xml:space="preserve"> </w:t>
      </w:r>
      <w:proofErr w:type="spellStart"/>
      <w:r w:rsidRPr="00A25EE7">
        <w:rPr>
          <w:i/>
          <w:lang w:val="es-CO"/>
        </w:rPr>
        <w:t>Company</w:t>
      </w:r>
      <w:proofErr w:type="spellEnd"/>
      <w:r w:rsidRPr="00A25EE7">
        <w:rPr>
          <w:i/>
          <w:lang w:val="es-CO"/>
        </w:rPr>
        <w:t xml:space="preserve"> Colombia entre otros.</w:t>
      </w:r>
      <w:r w:rsidR="00FF5778" w:rsidRPr="00A25EE7">
        <w:rPr>
          <w:rStyle w:val="Refdenotaalpie"/>
          <w:i/>
          <w:lang w:val="es-CO"/>
        </w:rPr>
        <w:footnoteReference w:id="55"/>
      </w:r>
    </w:p>
    <w:p w14:paraId="4D4EA61F" w14:textId="77777777" w:rsidR="001E058F" w:rsidRPr="00A25EE7" w:rsidRDefault="001E058F" w:rsidP="001E058F">
      <w:pPr>
        <w:rPr>
          <w:lang w:val="es-CO"/>
        </w:rPr>
      </w:pPr>
    </w:p>
    <w:p w14:paraId="2A313F25" w14:textId="6DD77DDE" w:rsidR="00E6597E" w:rsidRPr="00A25EE7" w:rsidRDefault="00063FB1" w:rsidP="00E6597E">
      <w:pPr>
        <w:rPr>
          <w:i/>
          <w:lang w:val="es-CO"/>
        </w:rPr>
      </w:pPr>
      <w:r w:rsidRPr="00A25EE7">
        <w:rPr>
          <w:lang w:val="es-CO"/>
        </w:rPr>
        <w:t xml:space="preserve">Presentación </w:t>
      </w:r>
      <w:r w:rsidRPr="00A25EE7">
        <w:rPr>
          <w:i/>
          <w:lang w:val="es-CO"/>
        </w:rPr>
        <w:t xml:space="preserve">Mercado de Gas en Colombia: Un reto al futuro – Presentado por </w:t>
      </w:r>
      <w:proofErr w:type="spellStart"/>
      <w:r w:rsidRPr="00A25EE7">
        <w:rPr>
          <w:i/>
          <w:lang w:val="es-CO"/>
        </w:rPr>
        <w:t>Josè</w:t>
      </w:r>
      <w:proofErr w:type="spellEnd"/>
      <w:r w:rsidRPr="00A25EE7">
        <w:rPr>
          <w:i/>
          <w:lang w:val="es-CO"/>
        </w:rPr>
        <w:t xml:space="preserve"> Cleves</w:t>
      </w:r>
      <w:r w:rsidR="00735685" w:rsidRPr="00A25EE7">
        <w:rPr>
          <w:rStyle w:val="Refdenotaalpie"/>
          <w:i/>
          <w:lang w:val="es-CO"/>
        </w:rPr>
        <w:footnoteReference w:id="56"/>
      </w:r>
      <w:r w:rsidRPr="00A25EE7">
        <w:rPr>
          <w:i/>
          <w:lang w:val="es-CO"/>
        </w:rPr>
        <w:t xml:space="preserve">. </w:t>
      </w:r>
    </w:p>
    <w:p w14:paraId="25B02956" w14:textId="37C5E5E5" w:rsidR="00E6597E" w:rsidRPr="00A25EE7" w:rsidRDefault="00735685" w:rsidP="00E6597E">
      <w:pPr>
        <w:rPr>
          <w:i/>
          <w:lang w:val="es-CO"/>
        </w:rPr>
      </w:pPr>
      <w:r w:rsidRPr="00A25EE7">
        <w:rPr>
          <w:i/>
          <w:lang w:val="es-CO"/>
        </w:rPr>
        <w:lastRenderedPageBreak/>
        <w:t xml:space="preserve">Hacia el futuro </w:t>
      </w:r>
    </w:p>
    <w:p w14:paraId="11A5B99E" w14:textId="77777777" w:rsidR="00083B40" w:rsidRPr="00A25EE7" w:rsidRDefault="00D31D61" w:rsidP="00735685">
      <w:pPr>
        <w:numPr>
          <w:ilvl w:val="0"/>
          <w:numId w:val="40"/>
        </w:numPr>
        <w:rPr>
          <w:i/>
          <w:lang w:val="es-CO"/>
        </w:rPr>
      </w:pPr>
      <w:r w:rsidRPr="00A25EE7">
        <w:rPr>
          <w:i/>
          <w:lang w:val="es-CO"/>
        </w:rPr>
        <w:t>Transportadores deben competir, ser proactivos en buscar y brindar soluciones a los futuros campos de producción</w:t>
      </w:r>
    </w:p>
    <w:p w14:paraId="1DCE9AE6" w14:textId="77777777" w:rsidR="00083B40" w:rsidRPr="00A25EE7" w:rsidRDefault="00D31D61" w:rsidP="00735685">
      <w:pPr>
        <w:numPr>
          <w:ilvl w:val="0"/>
          <w:numId w:val="40"/>
        </w:numPr>
        <w:rPr>
          <w:i/>
          <w:lang w:val="es-CO"/>
        </w:rPr>
      </w:pPr>
      <w:r w:rsidRPr="00A25EE7">
        <w:rPr>
          <w:i/>
          <w:lang w:val="es-CO"/>
        </w:rPr>
        <w:t xml:space="preserve">Para competir  se deben eliminar conflictos de intereses entre competidores para tener transparencia y mayor enfoque. </w:t>
      </w:r>
    </w:p>
    <w:p w14:paraId="1A191B62" w14:textId="77777777" w:rsidR="00083B40" w:rsidRPr="00A25EE7" w:rsidRDefault="00D31D61" w:rsidP="00735685">
      <w:pPr>
        <w:numPr>
          <w:ilvl w:val="0"/>
          <w:numId w:val="40"/>
        </w:numPr>
        <w:rPr>
          <w:i/>
          <w:lang w:val="es-CO"/>
        </w:rPr>
      </w:pPr>
      <w:r w:rsidRPr="00A25EE7">
        <w:rPr>
          <w:i/>
          <w:lang w:val="es-CO"/>
        </w:rPr>
        <w:t xml:space="preserve">Por eso tener a EEB como accionista de </w:t>
      </w:r>
      <w:proofErr w:type="spellStart"/>
      <w:r w:rsidRPr="00A25EE7">
        <w:rPr>
          <w:i/>
          <w:lang w:val="es-CO"/>
        </w:rPr>
        <w:t>Promigas</w:t>
      </w:r>
      <w:proofErr w:type="spellEnd"/>
      <w:r w:rsidRPr="00A25EE7">
        <w:rPr>
          <w:i/>
          <w:lang w:val="es-CO"/>
        </w:rPr>
        <w:t xml:space="preserve"> no es sano para el mercado. </w:t>
      </w:r>
    </w:p>
    <w:p w14:paraId="503C506C" w14:textId="77777777" w:rsidR="00083B40" w:rsidRPr="00A25EE7" w:rsidRDefault="00D31D61" w:rsidP="00735685">
      <w:pPr>
        <w:numPr>
          <w:ilvl w:val="0"/>
          <w:numId w:val="40"/>
        </w:numPr>
        <w:rPr>
          <w:i/>
          <w:lang w:val="es-CO"/>
        </w:rPr>
      </w:pPr>
      <w:r w:rsidRPr="00A25EE7">
        <w:rPr>
          <w:i/>
          <w:lang w:val="es-CO"/>
        </w:rPr>
        <w:t xml:space="preserve">Se debe revisar el marco regulatorio para que puedan competir los transportadores en igual de condiciones </w:t>
      </w:r>
    </w:p>
    <w:p w14:paraId="0A8F553E" w14:textId="0FDD9FB5" w:rsidR="00735685" w:rsidRPr="00A25EE7" w:rsidRDefault="00735685" w:rsidP="00E6597E">
      <w:pPr>
        <w:rPr>
          <w:i/>
        </w:rPr>
      </w:pPr>
      <w:r w:rsidRPr="00A25EE7">
        <w:rPr>
          <w:i/>
        </w:rPr>
        <w:t>En Conclusión</w:t>
      </w:r>
    </w:p>
    <w:p w14:paraId="4546F614" w14:textId="77777777" w:rsidR="00083B40" w:rsidRPr="00A25EE7" w:rsidRDefault="00D31D61" w:rsidP="00735685">
      <w:pPr>
        <w:numPr>
          <w:ilvl w:val="0"/>
          <w:numId w:val="41"/>
        </w:numPr>
        <w:rPr>
          <w:i/>
          <w:lang w:val="es-CO"/>
        </w:rPr>
      </w:pPr>
      <w:r w:rsidRPr="00A25EE7">
        <w:rPr>
          <w:i/>
          <w:lang w:val="es-CO"/>
        </w:rPr>
        <w:t>Se viene un cambio estructural en el mercado de gas por la caída de la producción de Guajira.</w:t>
      </w:r>
    </w:p>
    <w:p w14:paraId="4E5B42CB" w14:textId="38C5B115" w:rsidR="00083B40" w:rsidRPr="00A25EE7" w:rsidRDefault="00D31D61" w:rsidP="00735685">
      <w:pPr>
        <w:numPr>
          <w:ilvl w:val="0"/>
          <w:numId w:val="41"/>
        </w:numPr>
        <w:rPr>
          <w:i/>
          <w:lang w:val="es-CO"/>
        </w:rPr>
      </w:pPr>
      <w:r w:rsidRPr="00A25EE7">
        <w:rPr>
          <w:i/>
          <w:lang w:val="es-CO"/>
        </w:rPr>
        <w:t>Se le va abrir oportunidades en el mercado de gas</w:t>
      </w:r>
      <w:r w:rsidR="0094267A" w:rsidRPr="00A25EE7">
        <w:rPr>
          <w:i/>
          <w:lang w:val="es-CO"/>
        </w:rPr>
        <w:t>.</w:t>
      </w:r>
    </w:p>
    <w:p w14:paraId="1E1E444F" w14:textId="6403FC67" w:rsidR="00083B40" w:rsidRPr="00A25EE7" w:rsidRDefault="00D31D61" w:rsidP="00735685">
      <w:pPr>
        <w:numPr>
          <w:ilvl w:val="0"/>
          <w:numId w:val="41"/>
        </w:numPr>
        <w:rPr>
          <w:i/>
          <w:lang w:val="es-CO"/>
        </w:rPr>
      </w:pPr>
      <w:r w:rsidRPr="00A25EE7">
        <w:rPr>
          <w:i/>
          <w:lang w:val="es-CO"/>
        </w:rPr>
        <w:t>Se debe revisar el marco regulatorio para que todos  puedan competir en igual</w:t>
      </w:r>
      <w:r w:rsidR="0094267A" w:rsidRPr="00A25EE7">
        <w:rPr>
          <w:i/>
          <w:lang w:val="es-CO"/>
        </w:rPr>
        <w:t>dad</w:t>
      </w:r>
      <w:r w:rsidRPr="00A25EE7">
        <w:rPr>
          <w:i/>
          <w:lang w:val="es-CO"/>
        </w:rPr>
        <w:t xml:space="preserve"> de condiciones</w:t>
      </w:r>
      <w:r w:rsidR="0094267A" w:rsidRPr="00A25EE7">
        <w:rPr>
          <w:i/>
          <w:lang w:val="es-CO"/>
        </w:rPr>
        <w:t>.</w:t>
      </w:r>
      <w:r w:rsidRPr="00A25EE7">
        <w:rPr>
          <w:i/>
          <w:lang w:val="es-CO"/>
        </w:rPr>
        <w:t xml:space="preserve"> </w:t>
      </w:r>
    </w:p>
    <w:p w14:paraId="0A2F4705" w14:textId="77777777" w:rsidR="00083B40" w:rsidRPr="00A25EE7" w:rsidRDefault="00D31D61" w:rsidP="00735685">
      <w:pPr>
        <w:numPr>
          <w:ilvl w:val="0"/>
          <w:numId w:val="41"/>
        </w:numPr>
        <w:rPr>
          <w:i/>
          <w:lang w:val="es-CO"/>
        </w:rPr>
      </w:pPr>
      <w:r w:rsidRPr="00A25EE7">
        <w:rPr>
          <w:i/>
          <w:lang w:val="es-CO"/>
        </w:rPr>
        <w:t>Debe haber una competencia sana en beneficio de los usuarios donde:</w:t>
      </w:r>
    </w:p>
    <w:p w14:paraId="52C446C2" w14:textId="77777777" w:rsidR="00083B40" w:rsidRPr="00A25EE7" w:rsidRDefault="00D31D61" w:rsidP="00735685">
      <w:pPr>
        <w:numPr>
          <w:ilvl w:val="1"/>
          <w:numId w:val="41"/>
        </w:numPr>
        <w:rPr>
          <w:i/>
          <w:lang w:val="es-CO"/>
        </w:rPr>
      </w:pPr>
      <w:r w:rsidRPr="00A25EE7">
        <w:rPr>
          <w:i/>
          <w:lang w:val="es-CO"/>
        </w:rPr>
        <w:t xml:space="preserve">haya Transparencia por parte de los actores del mercado (productores, transportadores, distribuidores, comercializadores) </w:t>
      </w:r>
    </w:p>
    <w:p w14:paraId="4EDB664E" w14:textId="77777777" w:rsidR="00083B40" w:rsidRPr="00A25EE7" w:rsidRDefault="00D31D61" w:rsidP="00735685">
      <w:pPr>
        <w:numPr>
          <w:ilvl w:val="1"/>
          <w:numId w:val="41"/>
        </w:numPr>
        <w:rPr>
          <w:i/>
          <w:lang w:val="es-CO"/>
        </w:rPr>
      </w:pPr>
      <w:r w:rsidRPr="00A25EE7">
        <w:rPr>
          <w:i/>
          <w:lang w:val="es-CO"/>
        </w:rPr>
        <w:t>no haya conflictos de interés entre competidores</w:t>
      </w:r>
    </w:p>
    <w:p w14:paraId="51F09268" w14:textId="77777777" w:rsidR="00083B40" w:rsidRPr="00A25EE7" w:rsidRDefault="00D31D61" w:rsidP="00735685">
      <w:pPr>
        <w:numPr>
          <w:ilvl w:val="0"/>
          <w:numId w:val="41"/>
        </w:numPr>
        <w:rPr>
          <w:i/>
          <w:lang w:val="es-CO"/>
        </w:rPr>
      </w:pPr>
      <w:r w:rsidRPr="00A25EE7">
        <w:rPr>
          <w:i/>
          <w:lang w:val="es-CO"/>
        </w:rPr>
        <w:t>La EEB y TGI deben enfocar sus recursos y esfuerzos en su estrategia de gas para competir eficientemente</w:t>
      </w:r>
    </w:p>
    <w:p w14:paraId="152D71FB" w14:textId="77777777" w:rsidR="00083B40" w:rsidRPr="00A25EE7" w:rsidRDefault="00D31D61" w:rsidP="00735685">
      <w:pPr>
        <w:numPr>
          <w:ilvl w:val="1"/>
          <w:numId w:val="41"/>
        </w:numPr>
        <w:rPr>
          <w:i/>
          <w:lang w:val="es-CO"/>
        </w:rPr>
      </w:pPr>
      <w:r w:rsidRPr="00A25EE7">
        <w:rPr>
          <w:i/>
          <w:lang w:val="es-CO"/>
        </w:rPr>
        <w:t>Transporte</w:t>
      </w:r>
    </w:p>
    <w:p w14:paraId="0B7A67A1" w14:textId="77777777" w:rsidR="00083B40" w:rsidRPr="00A25EE7" w:rsidRDefault="00D31D61" w:rsidP="00735685">
      <w:pPr>
        <w:numPr>
          <w:ilvl w:val="1"/>
          <w:numId w:val="41"/>
        </w:numPr>
        <w:rPr>
          <w:i/>
          <w:lang w:val="es-CO"/>
        </w:rPr>
      </w:pPr>
      <w:r w:rsidRPr="00A25EE7">
        <w:rPr>
          <w:i/>
          <w:lang w:val="es-CO"/>
        </w:rPr>
        <w:t>Distribución</w:t>
      </w:r>
    </w:p>
    <w:p w14:paraId="259FC6A3" w14:textId="77777777" w:rsidR="008647A9" w:rsidRPr="00A25EE7" w:rsidRDefault="008647A9" w:rsidP="0094267A">
      <w:pPr>
        <w:ind w:left="1080"/>
        <w:rPr>
          <w:i/>
          <w:lang w:val="es-CO"/>
        </w:rPr>
      </w:pPr>
    </w:p>
    <w:p w14:paraId="5AFE028A" w14:textId="7D548DD5" w:rsidR="008647A9" w:rsidRPr="00A25EE7" w:rsidRDefault="003E0093" w:rsidP="00E6597E">
      <w:pPr>
        <w:rPr>
          <w:i/>
          <w:lang w:val="es-CO"/>
        </w:rPr>
      </w:pPr>
      <w:r w:rsidRPr="00A25EE7">
        <w:rPr>
          <w:i/>
          <w:lang w:val="es-CO"/>
        </w:rPr>
        <w:t xml:space="preserve">Javier </w:t>
      </w:r>
      <w:r w:rsidR="00FE7CE3" w:rsidRPr="00A25EE7">
        <w:rPr>
          <w:i/>
          <w:lang w:val="es-CO"/>
        </w:rPr>
        <w:t>Díaz</w:t>
      </w:r>
      <w:r w:rsidRPr="00A25EE7">
        <w:rPr>
          <w:i/>
          <w:lang w:val="es-CO"/>
        </w:rPr>
        <w:t xml:space="preserve"> Fajardo – Vicepresidente Comercial de la Bolsa de Valores de Colombia</w:t>
      </w:r>
      <w:r w:rsidR="007A5D71" w:rsidRPr="00A25EE7">
        <w:rPr>
          <w:rStyle w:val="Refdenotaalpie"/>
          <w:i/>
          <w:lang w:val="es-CO"/>
        </w:rPr>
        <w:footnoteReference w:id="57"/>
      </w:r>
    </w:p>
    <w:p w14:paraId="24FA91CD" w14:textId="4EF7B02C" w:rsidR="008647A9" w:rsidRPr="00A25EE7" w:rsidRDefault="008647A9" w:rsidP="00E6597E">
      <w:pPr>
        <w:rPr>
          <w:i/>
          <w:lang w:val="es-CO"/>
        </w:rPr>
      </w:pPr>
      <w:r w:rsidRPr="00A25EE7">
        <w:rPr>
          <w:i/>
          <w:lang w:val="es-CO"/>
        </w:rPr>
        <w:lastRenderedPageBreak/>
        <w:t xml:space="preserve">“Estas participaciones suman poco más de un billón de pesos y </w:t>
      </w:r>
      <w:r w:rsidR="00DF31C0" w:rsidRPr="00A25EE7">
        <w:rPr>
          <w:i/>
          <w:lang w:val="es-CO"/>
        </w:rPr>
        <w:t>lógicamente</w:t>
      </w:r>
      <w:r w:rsidRPr="00A25EE7">
        <w:rPr>
          <w:i/>
          <w:lang w:val="es-CO"/>
        </w:rPr>
        <w:t xml:space="preserve"> la </w:t>
      </w:r>
      <w:r w:rsidR="00DF31C0" w:rsidRPr="00A25EE7">
        <w:rPr>
          <w:i/>
          <w:lang w:val="es-CO"/>
        </w:rPr>
        <w:t>más</w:t>
      </w:r>
      <w:r w:rsidRPr="00A25EE7">
        <w:rPr>
          <w:i/>
          <w:lang w:val="es-CO"/>
        </w:rPr>
        <w:t xml:space="preserve"> grande de ella es la </w:t>
      </w:r>
      <w:r w:rsidR="00DF31C0" w:rsidRPr="00A25EE7">
        <w:rPr>
          <w:i/>
          <w:lang w:val="es-CO"/>
        </w:rPr>
        <w:t>participación</w:t>
      </w:r>
      <w:r w:rsidRPr="00A25EE7">
        <w:rPr>
          <w:i/>
          <w:lang w:val="es-CO"/>
        </w:rPr>
        <w:t xml:space="preserve"> en </w:t>
      </w:r>
      <w:proofErr w:type="spellStart"/>
      <w:r w:rsidRPr="00A25EE7">
        <w:rPr>
          <w:i/>
          <w:lang w:val="es-CO"/>
        </w:rPr>
        <w:t>Promigas</w:t>
      </w:r>
      <w:proofErr w:type="spellEnd"/>
      <w:r w:rsidRPr="00A25EE7">
        <w:rPr>
          <w:i/>
          <w:lang w:val="es-CO"/>
        </w:rPr>
        <w:t xml:space="preserve">. La </w:t>
      </w:r>
      <w:r w:rsidR="00DF31C0" w:rsidRPr="00A25EE7">
        <w:rPr>
          <w:i/>
          <w:lang w:val="es-CO"/>
        </w:rPr>
        <w:t>participación</w:t>
      </w:r>
      <w:r w:rsidRPr="00A25EE7">
        <w:rPr>
          <w:i/>
          <w:lang w:val="es-CO"/>
        </w:rPr>
        <w:t xml:space="preserve"> en </w:t>
      </w:r>
      <w:proofErr w:type="spellStart"/>
      <w:r w:rsidRPr="00A25EE7">
        <w:rPr>
          <w:i/>
          <w:lang w:val="es-CO"/>
        </w:rPr>
        <w:t>Promigas</w:t>
      </w:r>
      <w:proofErr w:type="spellEnd"/>
      <w:r w:rsidRPr="00A25EE7">
        <w:rPr>
          <w:i/>
          <w:lang w:val="es-CO"/>
        </w:rPr>
        <w:t xml:space="preserve"> suma un poquito menos del billón, pero redondeando estamos hablando de  uno, 1.1 billones de pesos. </w:t>
      </w:r>
    </w:p>
    <w:p w14:paraId="491D7F6E" w14:textId="1FBC8620" w:rsidR="008647A9" w:rsidRPr="00A25EE7" w:rsidRDefault="008647A9" w:rsidP="00E6597E">
      <w:pPr>
        <w:rPr>
          <w:i/>
          <w:lang w:val="es-CO"/>
        </w:rPr>
      </w:pPr>
      <w:r w:rsidRPr="00A25EE7">
        <w:rPr>
          <w:i/>
          <w:lang w:val="es-CO"/>
        </w:rPr>
        <w:t xml:space="preserve">Desde la perspectiva de los mercados de valores, desde la perspectiva de la estrategia de la compañía lo que se plantea </w:t>
      </w:r>
      <w:r w:rsidR="00DF31C0" w:rsidRPr="00A25EE7">
        <w:rPr>
          <w:i/>
          <w:lang w:val="es-CO"/>
        </w:rPr>
        <w:t>acá</w:t>
      </w:r>
      <w:r w:rsidRPr="00A25EE7">
        <w:rPr>
          <w:i/>
          <w:lang w:val="es-CO"/>
        </w:rPr>
        <w:t xml:space="preserve">, aunque se trata de una cifras bastantes cuantiosas es bastante simple, es en donde </w:t>
      </w:r>
      <w:r w:rsidR="00DF31C0" w:rsidRPr="00A25EE7">
        <w:rPr>
          <w:i/>
          <w:lang w:val="es-CO"/>
        </w:rPr>
        <w:t>está</w:t>
      </w:r>
      <w:r w:rsidRPr="00A25EE7">
        <w:rPr>
          <w:i/>
          <w:lang w:val="es-CO"/>
        </w:rPr>
        <w:t xml:space="preserve"> mejor invertido Un billón de pesos.</w:t>
      </w:r>
    </w:p>
    <w:p w14:paraId="30D61EEF" w14:textId="1D979901" w:rsidR="00047AD8" w:rsidRPr="00A25EE7" w:rsidRDefault="00047AD8" w:rsidP="00E6597E">
      <w:pPr>
        <w:rPr>
          <w:i/>
          <w:lang w:val="es-CO"/>
        </w:rPr>
      </w:pPr>
      <w:r w:rsidRPr="00A25EE7">
        <w:rPr>
          <w:i/>
          <w:lang w:val="es-CO"/>
        </w:rPr>
        <w:t xml:space="preserve">Esta mejor invertido en unas participaciones minoritarias, en unas compañías que están listadas en bolsa, porque les recuerdo que todas estas compañías están listadas en bolsa o ese billón de pesos esta mejor invertido en negocios que la propia compañía ha determinado que son </w:t>
      </w:r>
      <w:r w:rsidR="00DF31C0" w:rsidRPr="00A25EE7">
        <w:rPr>
          <w:i/>
          <w:lang w:val="es-CO"/>
        </w:rPr>
        <w:t>más</w:t>
      </w:r>
      <w:r w:rsidRPr="00A25EE7">
        <w:rPr>
          <w:i/>
          <w:lang w:val="es-CO"/>
        </w:rPr>
        <w:t xml:space="preserve"> estratégicos y </w:t>
      </w:r>
      <w:r w:rsidR="00DF31C0" w:rsidRPr="00A25EE7">
        <w:rPr>
          <w:i/>
          <w:lang w:val="es-CO"/>
        </w:rPr>
        <w:t>más</w:t>
      </w:r>
      <w:r w:rsidRPr="00A25EE7">
        <w:rPr>
          <w:i/>
          <w:lang w:val="es-CO"/>
        </w:rPr>
        <w:t xml:space="preserve"> cercanos a su naturaleza y </w:t>
      </w:r>
      <w:r w:rsidR="00DF31C0" w:rsidRPr="00A25EE7">
        <w:rPr>
          <w:i/>
          <w:lang w:val="es-CO"/>
        </w:rPr>
        <w:t>más</w:t>
      </w:r>
      <w:r w:rsidRPr="00A25EE7">
        <w:rPr>
          <w:i/>
          <w:lang w:val="es-CO"/>
        </w:rPr>
        <w:t xml:space="preserve"> cercanos a su objeto social</w:t>
      </w:r>
      <w:r w:rsidR="00F14DF6" w:rsidRPr="00A25EE7">
        <w:rPr>
          <w:i/>
          <w:lang w:val="es-CO"/>
        </w:rPr>
        <w:t>.</w:t>
      </w:r>
    </w:p>
    <w:p w14:paraId="3E85F617" w14:textId="346EF15F" w:rsidR="00047AD8" w:rsidRPr="00A25EE7" w:rsidRDefault="00047AD8" w:rsidP="00E6597E">
      <w:pPr>
        <w:rPr>
          <w:i/>
          <w:lang w:val="es-CO"/>
        </w:rPr>
      </w:pPr>
      <w:r w:rsidRPr="00A25EE7">
        <w:rPr>
          <w:i/>
          <w:lang w:val="es-CO"/>
        </w:rPr>
        <w:t xml:space="preserve">Yo no necesariamente pretendo contestar esa </w:t>
      </w:r>
      <w:r w:rsidR="00333BE1" w:rsidRPr="00A25EE7">
        <w:rPr>
          <w:i/>
          <w:lang w:val="es-CO"/>
        </w:rPr>
        <w:t>pregunta</w:t>
      </w:r>
      <w:r w:rsidRPr="00A25EE7">
        <w:rPr>
          <w:i/>
          <w:lang w:val="es-CO"/>
        </w:rPr>
        <w:t>, pero creo que esa es la disyuntiva que se viene planteando con esto donde están mejor invertida la plata.</w:t>
      </w:r>
    </w:p>
    <w:p w14:paraId="43677491" w14:textId="383CCE06" w:rsidR="00047AD8" w:rsidRPr="00A25EE7" w:rsidRDefault="00047AD8" w:rsidP="00E6597E">
      <w:pPr>
        <w:rPr>
          <w:i/>
          <w:lang w:val="es-CO"/>
        </w:rPr>
      </w:pPr>
      <w:r w:rsidRPr="00A25EE7">
        <w:rPr>
          <w:i/>
          <w:lang w:val="es-CO"/>
        </w:rPr>
        <w:t xml:space="preserve">Lo que si les puedo decir es que los inversionistas tanto locales como internacionales tienden a ver favorablemente, que las compañías se enfoquen en lo que saben hacer mejor y en este caso la energía ha propuesto que ese billón de pesos se destine a negocios que la misma compañía ha dicho son su prioridad. Hay que darle tiempo a esto estudiarlo con detalle, pero la empresa </w:t>
      </w:r>
      <w:r w:rsidR="00333BE1" w:rsidRPr="00A25EE7">
        <w:rPr>
          <w:i/>
          <w:lang w:val="es-CO"/>
        </w:rPr>
        <w:t>está</w:t>
      </w:r>
      <w:r w:rsidRPr="00A25EE7">
        <w:rPr>
          <w:i/>
          <w:lang w:val="es-CO"/>
        </w:rPr>
        <w:t xml:space="preserve"> diciendo </w:t>
      </w:r>
      <w:r w:rsidR="00333BE1" w:rsidRPr="00A25EE7">
        <w:rPr>
          <w:i/>
          <w:lang w:val="es-CO"/>
        </w:rPr>
        <w:t>eso</w:t>
      </w:r>
      <w:r w:rsidRPr="00A25EE7">
        <w:rPr>
          <w:i/>
          <w:lang w:val="es-CO"/>
        </w:rPr>
        <w:t>, la plata va a estar mejor invertida o mejor gastada en otro tipo de negocios.</w:t>
      </w:r>
    </w:p>
    <w:p w14:paraId="1C51F32C" w14:textId="526441CE" w:rsidR="00333BE1" w:rsidRPr="00A25EE7" w:rsidRDefault="00047AD8" w:rsidP="00E6597E">
      <w:pPr>
        <w:rPr>
          <w:i/>
          <w:lang w:val="es-CO"/>
        </w:rPr>
      </w:pPr>
      <w:r w:rsidRPr="00A25EE7">
        <w:rPr>
          <w:i/>
          <w:lang w:val="es-CO"/>
        </w:rPr>
        <w:t xml:space="preserve">Desde el punto de vista del mercado de valores creo que lo que puede pasar </w:t>
      </w:r>
      <w:r w:rsidR="00333BE1" w:rsidRPr="00A25EE7">
        <w:rPr>
          <w:i/>
          <w:lang w:val="es-CO"/>
        </w:rPr>
        <w:t>acá</w:t>
      </w:r>
      <w:r w:rsidRPr="00A25EE7">
        <w:rPr>
          <w:i/>
          <w:lang w:val="es-CO"/>
        </w:rPr>
        <w:t xml:space="preserve"> es una redistribución de recursos bien interesante, porque ya lo mencionaba hace dos días, entre </w:t>
      </w:r>
      <w:r w:rsidR="00333BE1" w:rsidRPr="00A25EE7">
        <w:rPr>
          <w:i/>
          <w:lang w:val="es-CO"/>
        </w:rPr>
        <w:t>más</w:t>
      </w:r>
      <w:r w:rsidRPr="00A25EE7">
        <w:rPr>
          <w:i/>
          <w:lang w:val="es-CO"/>
        </w:rPr>
        <w:t xml:space="preserve"> acciones haya en manos del </w:t>
      </w:r>
      <w:r w:rsidR="00333BE1" w:rsidRPr="00A25EE7">
        <w:rPr>
          <w:i/>
          <w:lang w:val="es-CO"/>
        </w:rPr>
        <w:t>público</w:t>
      </w:r>
      <w:r w:rsidRPr="00A25EE7">
        <w:rPr>
          <w:i/>
          <w:lang w:val="es-CO"/>
        </w:rPr>
        <w:t xml:space="preserve"> mejor negociación, </w:t>
      </w:r>
      <w:r w:rsidR="00333BE1" w:rsidRPr="00A25EE7">
        <w:rPr>
          <w:i/>
          <w:lang w:val="es-CO"/>
        </w:rPr>
        <w:t>más</w:t>
      </w:r>
      <w:r w:rsidRPr="00A25EE7">
        <w:rPr>
          <w:i/>
          <w:lang w:val="es-CO"/>
        </w:rPr>
        <w:t xml:space="preserve"> volumen y mejor formación de precios que tienen los activos. Esto que es posible que pase para la energía de </w:t>
      </w:r>
      <w:r w:rsidR="00333BE1" w:rsidRPr="00A25EE7">
        <w:rPr>
          <w:i/>
          <w:lang w:val="es-CO"/>
        </w:rPr>
        <w:t>Bogotá</w:t>
      </w:r>
      <w:r w:rsidRPr="00A25EE7">
        <w:rPr>
          <w:i/>
          <w:lang w:val="es-CO"/>
        </w:rPr>
        <w:t xml:space="preserve"> también es posible que pase para </w:t>
      </w:r>
      <w:proofErr w:type="spellStart"/>
      <w:r w:rsidRPr="00A25EE7">
        <w:rPr>
          <w:i/>
          <w:lang w:val="es-CO"/>
        </w:rPr>
        <w:t>Promigas</w:t>
      </w:r>
      <w:proofErr w:type="spellEnd"/>
      <w:r w:rsidRPr="00A25EE7">
        <w:rPr>
          <w:i/>
          <w:lang w:val="es-CO"/>
        </w:rPr>
        <w:t xml:space="preserve">, dicho de otra manera un 15% de las acciones de </w:t>
      </w:r>
      <w:proofErr w:type="spellStart"/>
      <w:r w:rsidRPr="00A25EE7">
        <w:rPr>
          <w:i/>
          <w:lang w:val="es-CO"/>
        </w:rPr>
        <w:t>Promigas</w:t>
      </w:r>
      <w:proofErr w:type="spellEnd"/>
      <w:r w:rsidRPr="00A25EE7">
        <w:rPr>
          <w:i/>
          <w:lang w:val="es-CO"/>
        </w:rPr>
        <w:t xml:space="preserve"> que quede en </w:t>
      </w:r>
      <w:r w:rsidR="00333BE1" w:rsidRPr="00A25EE7">
        <w:rPr>
          <w:i/>
          <w:lang w:val="es-CO"/>
        </w:rPr>
        <w:t>manos</w:t>
      </w:r>
      <w:r w:rsidRPr="00A25EE7">
        <w:rPr>
          <w:i/>
          <w:lang w:val="es-CO"/>
        </w:rPr>
        <w:t xml:space="preserve"> del </w:t>
      </w:r>
      <w:r w:rsidR="00333BE1" w:rsidRPr="00A25EE7">
        <w:rPr>
          <w:i/>
          <w:lang w:val="es-CO"/>
        </w:rPr>
        <w:t>público</w:t>
      </w:r>
      <w:r w:rsidRPr="00A25EE7">
        <w:rPr>
          <w:i/>
          <w:lang w:val="es-CO"/>
        </w:rPr>
        <w:t xml:space="preserve"> lo que en el mercado bursátil se llama </w:t>
      </w:r>
      <w:r w:rsidR="00333BE1" w:rsidRPr="00A25EE7">
        <w:rPr>
          <w:i/>
          <w:lang w:val="es-CO"/>
        </w:rPr>
        <w:t xml:space="preserve">flotante, pues puede redundar en el beneficio de la propia compañía de </w:t>
      </w:r>
      <w:proofErr w:type="spellStart"/>
      <w:r w:rsidR="00333BE1" w:rsidRPr="00A25EE7">
        <w:rPr>
          <w:i/>
          <w:lang w:val="es-CO"/>
        </w:rPr>
        <w:t>Promigas</w:t>
      </w:r>
      <w:proofErr w:type="spellEnd"/>
      <w:r w:rsidR="00333BE1" w:rsidRPr="00A25EE7">
        <w:rPr>
          <w:i/>
          <w:lang w:val="es-CO"/>
        </w:rPr>
        <w:t>, redunde en beneficio del mercado de valores y redunda en una mejor participación y en una mejor distribución de donde está</w:t>
      </w:r>
      <w:r w:rsidR="00F14DF6" w:rsidRPr="00A25EE7">
        <w:rPr>
          <w:i/>
          <w:lang w:val="es-CO"/>
        </w:rPr>
        <w:t>n mejor invertidos los recursos</w:t>
      </w:r>
      <w:r w:rsidR="00333BE1" w:rsidRPr="00A25EE7">
        <w:rPr>
          <w:i/>
          <w:lang w:val="es-CO"/>
        </w:rPr>
        <w:t xml:space="preserve"> (…)</w:t>
      </w:r>
      <w:r w:rsidR="00F14DF6" w:rsidRPr="00A25EE7">
        <w:rPr>
          <w:i/>
          <w:lang w:val="es-CO"/>
        </w:rPr>
        <w:t>.</w:t>
      </w:r>
    </w:p>
    <w:p w14:paraId="7999B2E0" w14:textId="53F57889" w:rsidR="00AD7252" w:rsidRPr="00A25EE7" w:rsidRDefault="00333BE1" w:rsidP="00E6597E">
      <w:pPr>
        <w:rPr>
          <w:i/>
          <w:lang w:val="es-CO"/>
        </w:rPr>
      </w:pPr>
      <w:r w:rsidRPr="00A25EE7">
        <w:rPr>
          <w:i/>
          <w:lang w:val="es-CO"/>
        </w:rPr>
        <w:t xml:space="preserve">Lo que está pasando acá es una redistribución bien importante de recursos que tiene el potencial de darle mayor liquidez y mayor volumen a las acciones de estas compañías. Y tal vez el tercer mensaje que quisiera dejarles, es el siguiente, en la medida que se trata de procesos de una entidad de capital </w:t>
      </w:r>
      <w:r w:rsidR="00DF31C0" w:rsidRPr="00A25EE7">
        <w:rPr>
          <w:i/>
          <w:lang w:val="es-CO"/>
        </w:rPr>
        <w:t>público</w:t>
      </w:r>
      <w:r w:rsidRPr="00A25EE7">
        <w:rPr>
          <w:i/>
          <w:lang w:val="es-CO"/>
        </w:rPr>
        <w:t xml:space="preserve"> que eventualmente llegan a ser desinvertidos pues hay que tener en cuenta toda la normatividad que sea aplicable en particular el artículo 60 de la </w:t>
      </w:r>
      <w:r w:rsidR="00DF31C0" w:rsidRPr="00A25EE7">
        <w:rPr>
          <w:i/>
          <w:lang w:val="es-CO"/>
        </w:rPr>
        <w:t>Constitución</w:t>
      </w:r>
      <w:r w:rsidRPr="00A25EE7">
        <w:rPr>
          <w:i/>
          <w:lang w:val="es-CO"/>
        </w:rPr>
        <w:t xml:space="preserve"> Nacional, la Ley 226 de 1995 y propender porque se han procesos de la ,</w:t>
      </w:r>
      <w:r w:rsidR="00DF31C0" w:rsidRPr="00A25EE7">
        <w:rPr>
          <w:i/>
          <w:lang w:val="es-CO"/>
        </w:rPr>
        <w:t>m</w:t>
      </w:r>
      <w:r w:rsidRPr="00A25EE7">
        <w:rPr>
          <w:i/>
          <w:lang w:val="es-CO"/>
        </w:rPr>
        <w:t xml:space="preserve">anera </w:t>
      </w:r>
      <w:r w:rsidR="00DF31C0" w:rsidRPr="00A25EE7">
        <w:rPr>
          <w:i/>
          <w:lang w:val="es-CO"/>
        </w:rPr>
        <w:lastRenderedPageBreak/>
        <w:t>más</w:t>
      </w:r>
      <w:r w:rsidRPr="00A25EE7">
        <w:rPr>
          <w:i/>
          <w:lang w:val="es-CO"/>
        </w:rPr>
        <w:t xml:space="preserve"> transparente posible y que les llegue tanto a las personas que se quiere democratizar y a los inversionistas finales</w:t>
      </w:r>
      <w:r w:rsidR="00AD7252" w:rsidRPr="00A25EE7">
        <w:rPr>
          <w:i/>
          <w:lang w:val="es-CO"/>
        </w:rPr>
        <w:t>.</w:t>
      </w:r>
    </w:p>
    <w:p w14:paraId="70B8F94F" w14:textId="6B3D4E7B" w:rsidR="00771921" w:rsidRPr="00A25EE7" w:rsidRDefault="00AD7252" w:rsidP="00E6597E">
      <w:pPr>
        <w:rPr>
          <w:i/>
          <w:lang w:val="es-CO"/>
        </w:rPr>
      </w:pPr>
      <w:r w:rsidRPr="00A25EE7">
        <w:rPr>
          <w:i/>
          <w:lang w:val="es-CO"/>
        </w:rPr>
        <w:t xml:space="preserve">En conclusión y me disculpan un poco la brevedad del mensaje, creo que es mejor ser breve y al punto, yo creo que lo que se </w:t>
      </w:r>
      <w:r w:rsidR="00DF31C0" w:rsidRPr="00A25EE7">
        <w:rPr>
          <w:i/>
          <w:lang w:val="es-CO"/>
        </w:rPr>
        <w:t>está</w:t>
      </w:r>
      <w:r w:rsidRPr="00A25EE7">
        <w:rPr>
          <w:i/>
          <w:lang w:val="es-CO"/>
        </w:rPr>
        <w:t xml:space="preserve"> hablando </w:t>
      </w:r>
      <w:r w:rsidR="00DF31C0" w:rsidRPr="00A25EE7">
        <w:rPr>
          <w:i/>
          <w:lang w:val="es-CO"/>
        </w:rPr>
        <w:t>acá</w:t>
      </w:r>
      <w:r w:rsidRPr="00A25EE7">
        <w:rPr>
          <w:i/>
          <w:lang w:val="es-CO"/>
        </w:rPr>
        <w:t xml:space="preserve"> es donde se invierte mejor los recursos </w:t>
      </w:r>
      <w:r w:rsidR="00DF31C0" w:rsidRPr="00A25EE7">
        <w:rPr>
          <w:i/>
          <w:lang w:val="es-CO"/>
        </w:rPr>
        <w:t xml:space="preserve">y la compañía tiene un plan que ha dicho que los mercados están </w:t>
      </w:r>
      <w:r w:rsidR="00A36EFB" w:rsidRPr="00A25EE7">
        <w:rPr>
          <w:i/>
          <w:lang w:val="es-CO"/>
        </w:rPr>
        <w:t xml:space="preserve">entendiendo, me parece que es un plan al cual hay que hacerle muchísima difusión, hay que enseñarle a la gente porque es mejor invertir en negocios </w:t>
      </w:r>
      <w:proofErr w:type="spellStart"/>
      <w:r w:rsidR="00A36EFB" w:rsidRPr="00A25EE7">
        <w:rPr>
          <w:i/>
          <w:lang w:val="es-CO"/>
        </w:rPr>
        <w:t>core</w:t>
      </w:r>
      <w:proofErr w:type="spellEnd"/>
      <w:r w:rsidR="00A36EFB" w:rsidRPr="00A25EE7">
        <w:rPr>
          <w:i/>
          <w:lang w:val="es-CO"/>
        </w:rPr>
        <w:t xml:space="preserve"> y en negocios estratégicos de la compañía que manejar unas participaciones minoritarias donde no se tiene ningún tipo de control, me parece importante que hay que hacer estos procesos de una forma ordenada y transparente, respetando las democratizaciones y al final del </w:t>
      </w:r>
      <w:proofErr w:type="spellStart"/>
      <w:r w:rsidR="00A36EFB" w:rsidRPr="00A25EE7">
        <w:rPr>
          <w:i/>
          <w:lang w:val="es-CO"/>
        </w:rPr>
        <w:t>dia</w:t>
      </w:r>
      <w:proofErr w:type="spellEnd"/>
      <w:r w:rsidR="00A36EFB" w:rsidRPr="00A25EE7">
        <w:rPr>
          <w:i/>
          <w:lang w:val="es-CO"/>
        </w:rPr>
        <w:t xml:space="preserve"> si esto funciona creo que para el mercado, para los accionistas e inversionistas internacionales para las personas naturales, se da una mejor redistribución de recursos (…)</w:t>
      </w:r>
      <w:r w:rsidR="00A36EFB" w:rsidRPr="00A25EE7">
        <w:rPr>
          <w:rStyle w:val="Refdenotaalpie"/>
          <w:i/>
          <w:lang w:val="es-CO"/>
        </w:rPr>
        <w:footnoteReference w:id="58"/>
      </w:r>
      <w:r w:rsidR="00A36EFB" w:rsidRPr="00A25EE7">
        <w:rPr>
          <w:i/>
          <w:lang w:val="es-CO"/>
        </w:rPr>
        <w:t>”</w:t>
      </w:r>
      <w:r w:rsidR="00F14DF6" w:rsidRPr="00A25EE7">
        <w:rPr>
          <w:i/>
          <w:lang w:val="es-CO"/>
        </w:rPr>
        <w:t>.</w:t>
      </w:r>
      <w:r w:rsidR="00333BE1" w:rsidRPr="00A25EE7">
        <w:rPr>
          <w:i/>
          <w:lang w:val="es-CO"/>
        </w:rPr>
        <w:t xml:space="preserve">  </w:t>
      </w:r>
      <w:r w:rsidR="00047AD8" w:rsidRPr="00A25EE7">
        <w:rPr>
          <w:i/>
          <w:lang w:val="es-CO"/>
        </w:rPr>
        <w:t xml:space="preserve">   </w:t>
      </w:r>
    </w:p>
    <w:p w14:paraId="4A580A4C" w14:textId="0ABA1436" w:rsidR="00C77C2B" w:rsidRPr="00A25EE7" w:rsidRDefault="00F14DF6" w:rsidP="00E6597E">
      <w:pPr>
        <w:rPr>
          <w:lang w:val="es-CO"/>
        </w:rPr>
      </w:pPr>
      <w:r w:rsidRPr="00A25EE7">
        <w:rPr>
          <w:lang w:val="es-CO"/>
        </w:rPr>
        <w:t xml:space="preserve">Finalmente, como conclusión del análisis realizado se puede establecer la conveniencia </w:t>
      </w:r>
      <w:r w:rsidR="003E01C3" w:rsidRPr="00A25EE7">
        <w:rPr>
          <w:lang w:val="es-CO"/>
        </w:rPr>
        <w:t xml:space="preserve">de esta iniciativa presentada por la Administración Distrital, </w:t>
      </w:r>
      <w:r w:rsidRPr="00A25EE7">
        <w:rPr>
          <w:lang w:val="es-CO"/>
        </w:rPr>
        <w:t xml:space="preserve">haciendo énfasis </w:t>
      </w:r>
      <w:r w:rsidR="003E01C3" w:rsidRPr="00A25EE7">
        <w:rPr>
          <w:lang w:val="es-CO"/>
        </w:rPr>
        <w:t>que</w:t>
      </w:r>
      <w:r w:rsidR="00615048" w:rsidRPr="00A25EE7">
        <w:rPr>
          <w:lang w:val="es-CO"/>
        </w:rPr>
        <w:t xml:space="preserve"> de</w:t>
      </w:r>
      <w:r w:rsidR="003E01C3" w:rsidRPr="00A25EE7">
        <w:rPr>
          <w:lang w:val="es-CO"/>
        </w:rPr>
        <w:t xml:space="preserve"> </w:t>
      </w:r>
      <w:r w:rsidRPr="00A25EE7">
        <w:rPr>
          <w:lang w:val="es-CO"/>
        </w:rPr>
        <w:t xml:space="preserve">llegarse a autorizar por parte del Concejo de Bogotá la enajenación de las ya mencionadas participaciones accionarias, </w:t>
      </w:r>
      <w:r w:rsidR="00C77C2B" w:rsidRPr="00A25EE7">
        <w:rPr>
          <w:lang w:val="es-CO"/>
        </w:rPr>
        <w:t xml:space="preserve">estas deberán dar estricto cumplimiento a lo descrito por la Constitución Política en su artículo 60, y lo dispuesto en </w:t>
      </w:r>
      <w:r w:rsidR="003E01C3" w:rsidRPr="00A25EE7">
        <w:rPr>
          <w:lang w:val="es-CO"/>
        </w:rPr>
        <w:t>la Ley 226 de 1995</w:t>
      </w:r>
      <w:r w:rsidR="00C77C2B" w:rsidRPr="00A25EE7">
        <w:rPr>
          <w:lang w:val="es-CO"/>
        </w:rPr>
        <w:t xml:space="preserve">, específicamente en cuanto al Principio </w:t>
      </w:r>
      <w:r w:rsidR="00C77C2B" w:rsidRPr="00A25EE7">
        <w:rPr>
          <w:rFonts w:cs="Arial"/>
          <w:iCs/>
        </w:rPr>
        <w:t>Protección del patrimonio público</w:t>
      </w:r>
      <w:r w:rsidR="00C77C2B" w:rsidRPr="00A25EE7">
        <w:rPr>
          <w:lang w:val="es-CO"/>
        </w:rPr>
        <w:t xml:space="preserve"> descrito por el artículo 4°:</w:t>
      </w:r>
    </w:p>
    <w:p w14:paraId="5F8664B3" w14:textId="63D9A8A8" w:rsidR="003E01C3" w:rsidRPr="00A25EE7" w:rsidRDefault="00C77C2B" w:rsidP="00C77C2B">
      <w:pPr>
        <w:ind w:left="284" w:right="193"/>
        <w:rPr>
          <w:rFonts w:cs="Arial"/>
          <w:i/>
        </w:rPr>
      </w:pPr>
      <w:r w:rsidRPr="00A25EE7">
        <w:rPr>
          <w:rFonts w:cs="Arial"/>
          <w:b/>
          <w:bCs/>
          <w:i/>
        </w:rPr>
        <w:t>“</w:t>
      </w:r>
      <w:r w:rsidR="003E01C3" w:rsidRPr="00A25EE7">
        <w:rPr>
          <w:rFonts w:cs="Arial"/>
          <w:b/>
          <w:bCs/>
          <w:i/>
        </w:rPr>
        <w:t>Artículo 4º.-</w:t>
      </w:r>
      <w:r w:rsidR="003E01C3" w:rsidRPr="00A25EE7">
        <w:rPr>
          <w:rFonts w:cs="Arial"/>
          <w:i/>
        </w:rPr>
        <w:t xml:space="preserve"> </w:t>
      </w:r>
      <w:r w:rsidR="003E01C3" w:rsidRPr="00A25EE7">
        <w:rPr>
          <w:rFonts w:cs="Arial"/>
          <w:i/>
          <w:iCs/>
        </w:rPr>
        <w:t>Protección del patrimonio público.</w:t>
      </w:r>
      <w:r w:rsidR="003E01C3" w:rsidRPr="00A25EE7">
        <w:rPr>
          <w:rFonts w:cs="Arial"/>
          <w:i/>
        </w:rPr>
        <w:t xml:space="preserve"> La enajenación de la participación accionaria estatal se hará en condiciones que salvaguarden el patrimonio público. </w:t>
      </w:r>
      <w:r w:rsidR="003E01C3" w:rsidRPr="00A25EE7">
        <w:rPr>
          <w:rFonts w:cs="Arial"/>
          <w:b/>
          <w:i/>
          <w:u w:val="single"/>
        </w:rPr>
        <w:t>El recurso del balance en que se constituye el producto de esta enajenación, se incorporará en el presupuesto al cual pertenece el titular respectivo para cumplir con los planes de desarrollo</w:t>
      </w:r>
      <w:r w:rsidR="003E01C3" w:rsidRPr="00A25EE7">
        <w:rPr>
          <w:rFonts w:cs="Arial"/>
          <w:i/>
        </w:rPr>
        <w:t>, salvo en el caso de que haga parte de los fondos parafiscales, en cuyo evento se destinará al objeto mismo de la parafiscalidad</w:t>
      </w:r>
      <w:r w:rsidRPr="00A25EE7">
        <w:rPr>
          <w:rFonts w:cs="Arial"/>
          <w:i/>
        </w:rPr>
        <w:t>”</w:t>
      </w:r>
      <w:r w:rsidR="003E01C3" w:rsidRPr="00A25EE7">
        <w:rPr>
          <w:rFonts w:cs="Arial"/>
          <w:i/>
        </w:rPr>
        <w:t>.</w:t>
      </w:r>
    </w:p>
    <w:p w14:paraId="0FB8F210" w14:textId="50F03A3E" w:rsidR="00C77C2B" w:rsidRPr="00A25EE7" w:rsidRDefault="00C77C2B" w:rsidP="00C77C2B">
      <w:pPr>
        <w:ind w:right="193"/>
        <w:rPr>
          <w:rFonts w:cs="Arial"/>
        </w:rPr>
      </w:pPr>
      <w:r w:rsidRPr="00A25EE7">
        <w:rPr>
          <w:rFonts w:cs="Arial"/>
          <w:bCs/>
        </w:rPr>
        <w:t>Al respecto, resulta relevante resaltar lo descrito por el Concejo de Estado:</w:t>
      </w:r>
      <w:r w:rsidRPr="00A25EE7">
        <w:rPr>
          <w:rFonts w:cs="Arial"/>
        </w:rPr>
        <w:t xml:space="preserve"> </w:t>
      </w:r>
    </w:p>
    <w:p w14:paraId="39AB4BEE" w14:textId="77777777" w:rsidR="00C77C2B" w:rsidRPr="00A25EE7" w:rsidRDefault="00C77C2B" w:rsidP="00C77C2B">
      <w:pPr>
        <w:spacing w:after="0"/>
        <w:contextualSpacing/>
        <w:rPr>
          <w:rFonts w:cs="Arial"/>
        </w:rPr>
      </w:pPr>
      <w:r w:rsidRPr="00A25EE7">
        <w:rPr>
          <w:rFonts w:cs="Arial"/>
          <w:i/>
        </w:rPr>
        <w:t xml:space="preserve">“(…) la protección al patrimonio público que rige los procesos de enajenación de la propiedad accionaria se garantiza de dos maneras: I) con la restricción a la destinación de los recursos obtenidos en la venta, al ordenar que se incorporen al presupuesto del titular de la participación accionaria, y II) con el mandato de </w:t>
      </w:r>
      <w:r w:rsidRPr="00A25EE7">
        <w:rPr>
          <w:rFonts w:cs="Arial"/>
          <w:i/>
        </w:rPr>
        <w:lastRenderedPageBreak/>
        <w:t>valorar el activo con fundamento en estudios técnicos que, a su turno, permitan fijar el justo precio de la acción”</w:t>
      </w:r>
      <w:r w:rsidRPr="00A25EE7">
        <w:rPr>
          <w:rStyle w:val="Refdenotaalpie"/>
          <w:rFonts w:cs="Arial"/>
        </w:rPr>
        <w:footnoteReference w:id="59"/>
      </w:r>
      <w:r w:rsidRPr="00A25EE7">
        <w:rPr>
          <w:rFonts w:cs="Arial"/>
        </w:rPr>
        <w:t>.</w:t>
      </w:r>
    </w:p>
    <w:p w14:paraId="05236376" w14:textId="77777777" w:rsidR="00C77C2B" w:rsidRPr="00A25EE7" w:rsidRDefault="00C77C2B" w:rsidP="00C77C2B">
      <w:pPr>
        <w:ind w:right="193"/>
        <w:rPr>
          <w:rFonts w:cs="Arial"/>
          <w:i/>
        </w:rPr>
      </w:pPr>
    </w:p>
    <w:p w14:paraId="6B16CD70" w14:textId="30E24EA3" w:rsidR="00C77C2B" w:rsidRPr="00A25EE7" w:rsidRDefault="00C77C2B" w:rsidP="00C77C2B">
      <w:pPr>
        <w:ind w:right="193"/>
        <w:rPr>
          <w:rFonts w:cs="Arial"/>
        </w:rPr>
      </w:pPr>
      <w:r w:rsidRPr="00A25EE7">
        <w:rPr>
          <w:rFonts w:cs="Arial"/>
        </w:rPr>
        <w:t>De igual manera, esta alta Corte ha manifestado que:</w:t>
      </w:r>
    </w:p>
    <w:p w14:paraId="6E1818B9" w14:textId="1AE324FE" w:rsidR="00C77C2B" w:rsidRPr="00A25EE7" w:rsidRDefault="00C77C2B" w:rsidP="00A25EE7">
      <w:r w:rsidRPr="00A25EE7">
        <w:rPr>
          <w:rFonts w:cs="Arial"/>
          <w:i/>
        </w:rPr>
        <w:t>“A su vez, la Ley 226 consignó unos principios generales que obligatoriamente han de seguirse en caso de enajenación total o parcial a favor de particulares de la participación estatal en el capital social de cualquier empresa, bien porque esté en cabeza de órganos públicos o de las personas jurídicas de las cuales éstos hagan parte, o bien porque fueron adquiridas con recursos públicos o del tesoro público. “La Sala reitera que el primero de esos principios particulares es la democratización, conforme al cual todas las personas naturales y jurídicas podrán tener acceso a la propiedad accionaria que el Estado enajene. Este principio, a su vez impone, la aplicación de otros principios como el de publicidad y libre concurrencia (arts. 2 Ley 226, 27.2 Ley 142 y 77 Ley 143). Conforme al principio de preferencia, para garantizar el acceso efectivo a la propiedad del Estado, deben otorgarse condiciones especiales a ciertos sectores para así facilitar la adquisición de la participación social estatal ofrecida, de acuerdo al artículo 60 constitucional (art. 3 de la Ley 226)”</w:t>
      </w:r>
      <w:r w:rsidRPr="00A25EE7">
        <w:rPr>
          <w:rStyle w:val="Refdenotaalpie"/>
          <w:rFonts w:cs="Arial"/>
          <w:i/>
        </w:rPr>
        <w:footnoteReference w:id="60"/>
      </w:r>
      <w:r w:rsidRPr="00A25EE7">
        <w:rPr>
          <w:rFonts w:cs="Arial"/>
          <w:i/>
        </w:rPr>
        <w:t xml:space="preserve">. </w:t>
      </w:r>
    </w:p>
    <w:p w14:paraId="4AC9280E" w14:textId="0E23F2A0" w:rsidR="00962B56" w:rsidRPr="00A25EE7" w:rsidRDefault="00C77C2B" w:rsidP="00E6597E">
      <w:pPr>
        <w:rPr>
          <w:rFonts w:cs="Arial"/>
        </w:rPr>
      </w:pPr>
      <w:r w:rsidRPr="00A25EE7">
        <w:rPr>
          <w:rFonts w:cs="Arial"/>
        </w:rPr>
        <w:t xml:space="preserve">Por lo cual es claro que </w:t>
      </w:r>
      <w:r w:rsidR="00B5015A" w:rsidRPr="00A25EE7">
        <w:rPr>
          <w:rFonts w:cs="Arial"/>
        </w:rPr>
        <w:t xml:space="preserve">los recursos resultantes de esta enajenación, </w:t>
      </w:r>
      <w:r w:rsidR="00962B56" w:rsidRPr="00A25EE7">
        <w:rPr>
          <w:rFonts w:cs="Arial"/>
        </w:rPr>
        <w:t xml:space="preserve">deberán ser destinados por la Empresa de Energía de Bogotá, al desarrollo de </w:t>
      </w:r>
      <w:r w:rsidRPr="00A25EE7">
        <w:rPr>
          <w:rFonts w:cs="Arial"/>
        </w:rPr>
        <w:t>proyectos de su Plan E</w:t>
      </w:r>
      <w:r w:rsidR="00B5015A" w:rsidRPr="00A25EE7">
        <w:rPr>
          <w:rFonts w:cs="Arial"/>
        </w:rPr>
        <w:t>stratégi</w:t>
      </w:r>
      <w:r w:rsidRPr="00A25EE7">
        <w:rPr>
          <w:rFonts w:cs="Arial"/>
        </w:rPr>
        <w:t>co C</w:t>
      </w:r>
      <w:r w:rsidR="00B5015A" w:rsidRPr="00A25EE7">
        <w:rPr>
          <w:rFonts w:cs="Arial"/>
        </w:rPr>
        <w:t>orporativo</w:t>
      </w:r>
      <w:r w:rsidR="00962B56" w:rsidRPr="00A25EE7">
        <w:rPr>
          <w:rFonts w:cs="Arial"/>
        </w:rPr>
        <w:t xml:space="preserve">, siendo responsabilidad de su Junta Directiva el desarrollo y direccionamiento eficiente del mismo para garantizar una rentabilidad apropiada que permita incrementar los ingresos históricos de la empresa y por ende su valor y posicionamiento a nivel país y </w:t>
      </w:r>
      <w:r w:rsidR="00827CED" w:rsidRPr="00A25EE7">
        <w:rPr>
          <w:rFonts w:cs="Arial"/>
        </w:rPr>
        <w:t xml:space="preserve">a nivel internacional </w:t>
      </w:r>
      <w:r w:rsidR="00962B56" w:rsidRPr="00A25EE7">
        <w:rPr>
          <w:rFonts w:cs="Arial"/>
        </w:rPr>
        <w:t>en las actividades de su objeto.</w:t>
      </w:r>
    </w:p>
    <w:p w14:paraId="72AFF9C8" w14:textId="77777777" w:rsidR="00FB34C4" w:rsidRPr="00D369AA" w:rsidRDefault="00FB34C4" w:rsidP="008D31A1">
      <w:pPr>
        <w:pStyle w:val="Ttulo1"/>
        <w:rPr>
          <w:lang w:val="es-CO"/>
        </w:rPr>
      </w:pPr>
      <w:r w:rsidRPr="00D369AA">
        <w:rPr>
          <w:lang w:val="es-CO"/>
        </w:rPr>
        <w:t>IMPACTO FISCAL</w:t>
      </w:r>
    </w:p>
    <w:p w14:paraId="640E4F96" w14:textId="77777777" w:rsidR="00E43974" w:rsidRPr="00D369AA" w:rsidRDefault="00E43974" w:rsidP="008D31A1">
      <w:pPr>
        <w:rPr>
          <w:bCs/>
          <w:szCs w:val="24"/>
          <w:lang w:val="es-CO"/>
        </w:rPr>
      </w:pPr>
      <w:r w:rsidRPr="00D369AA">
        <w:rPr>
          <w:bCs/>
          <w:szCs w:val="24"/>
          <w:lang w:val="es-CO"/>
        </w:rPr>
        <w:t>De conformidad con lo establecido en el artículo 7º de la Ley 819 de 2003, la iniciativa objeto de estudio presentada por la Administración Distrital, no genera impacto fiscal, debido a que no se pretende ordenar ningún tipo de gasto u otorgamiento de beneficios tributarios.</w:t>
      </w:r>
    </w:p>
    <w:p w14:paraId="484BFEA7" w14:textId="77777777" w:rsidR="00FB34C4" w:rsidRPr="00D369AA" w:rsidRDefault="00FB34C4" w:rsidP="008D31A1">
      <w:pPr>
        <w:pStyle w:val="Ttulo1"/>
        <w:rPr>
          <w:lang w:val="es-CO"/>
        </w:rPr>
      </w:pPr>
      <w:r w:rsidRPr="00D369AA">
        <w:rPr>
          <w:lang w:val="es-CO"/>
        </w:rPr>
        <w:lastRenderedPageBreak/>
        <w:t>CONCLUSIONES</w:t>
      </w:r>
    </w:p>
    <w:p w14:paraId="267518DF" w14:textId="77777777" w:rsidR="00FB34C4" w:rsidRPr="00D369AA" w:rsidRDefault="00FB34C4" w:rsidP="008D31A1">
      <w:pPr>
        <w:rPr>
          <w:rFonts w:cs="Arial"/>
          <w:i/>
          <w:szCs w:val="24"/>
          <w:lang w:val="es-CO"/>
        </w:rPr>
      </w:pPr>
      <w:r w:rsidRPr="00D369AA">
        <w:rPr>
          <w:bCs/>
          <w:szCs w:val="24"/>
          <w:lang w:val="es-CO"/>
        </w:rPr>
        <w:t xml:space="preserve">Con base en lo esbozado en este documento, me permito rendir </w:t>
      </w:r>
      <w:r w:rsidRPr="00D369AA">
        <w:rPr>
          <w:b/>
          <w:bCs/>
          <w:szCs w:val="24"/>
          <w:lang w:val="es-CO"/>
        </w:rPr>
        <w:t>PONENCIA POSITIVA</w:t>
      </w:r>
      <w:r w:rsidRPr="00D369AA">
        <w:rPr>
          <w:bCs/>
          <w:szCs w:val="24"/>
          <w:lang w:val="es-CO"/>
        </w:rPr>
        <w:t xml:space="preserve"> con modificaciones</w:t>
      </w:r>
      <w:r w:rsidR="006562BD" w:rsidRPr="00D369AA">
        <w:rPr>
          <w:bCs/>
          <w:szCs w:val="24"/>
          <w:lang w:val="es-CO"/>
        </w:rPr>
        <w:t xml:space="preserve"> al</w:t>
      </w:r>
      <w:r w:rsidR="008B2A87" w:rsidRPr="00D369AA">
        <w:rPr>
          <w:rFonts w:cs="Arial"/>
          <w:lang w:val="es-CO"/>
        </w:rPr>
        <w:t xml:space="preserve"> Proyecto de Acuerdo No. 472 de 2016, </w:t>
      </w:r>
      <w:r w:rsidR="008B2A87" w:rsidRPr="00D369AA">
        <w:rPr>
          <w:b/>
          <w:i/>
          <w:lang w:val="es-CO" w:eastAsia="es-CO"/>
        </w:rPr>
        <w:t>“</w:t>
      </w:r>
      <w:r w:rsidR="008B2A87" w:rsidRPr="00D369AA">
        <w:rPr>
          <w:i/>
          <w:lang w:val="es-CO" w:eastAsia="es-CO"/>
        </w:rPr>
        <w:t xml:space="preserve">Por medio del cual se autoriza a la Empresa de Energía de Bogotá S.A. E.S.P. para que enajene la participación accionaria que posee en Interconexión Eléctrica S.A. E.S.P. – ISA-, Grupo </w:t>
      </w:r>
      <w:proofErr w:type="spellStart"/>
      <w:r w:rsidR="008B2A87" w:rsidRPr="00D369AA">
        <w:rPr>
          <w:i/>
          <w:lang w:val="es-CO" w:eastAsia="es-CO"/>
        </w:rPr>
        <w:t>Nutresa</w:t>
      </w:r>
      <w:proofErr w:type="spellEnd"/>
      <w:r w:rsidR="008B2A87" w:rsidRPr="00D369AA">
        <w:rPr>
          <w:i/>
          <w:lang w:val="es-CO" w:eastAsia="es-CO"/>
        </w:rPr>
        <w:t xml:space="preserve"> S.A., Banco Popular S.A. y a EEB Gas S.A.S. para que enajene la participación accionaria que posee en </w:t>
      </w:r>
      <w:proofErr w:type="spellStart"/>
      <w:r w:rsidR="008B2A87" w:rsidRPr="00D369AA">
        <w:rPr>
          <w:i/>
          <w:lang w:val="es-CO" w:eastAsia="es-CO"/>
        </w:rPr>
        <w:t>Promigas</w:t>
      </w:r>
      <w:proofErr w:type="spellEnd"/>
      <w:r w:rsidR="008B2A87" w:rsidRPr="00D369AA">
        <w:rPr>
          <w:i/>
          <w:lang w:val="es-CO" w:eastAsia="es-CO"/>
        </w:rPr>
        <w:t xml:space="preserve"> S.A. E.S.P</w:t>
      </w:r>
      <w:r w:rsidR="008B2A87" w:rsidRPr="00D369AA">
        <w:rPr>
          <w:b/>
          <w:i/>
          <w:lang w:val="es-CO" w:eastAsia="es-CO"/>
        </w:rPr>
        <w:t>.”</w:t>
      </w:r>
    </w:p>
    <w:p w14:paraId="7547F26F" w14:textId="77777777" w:rsidR="00FB34C4" w:rsidRPr="00D369AA" w:rsidRDefault="00FB34C4" w:rsidP="008D31A1">
      <w:pPr>
        <w:rPr>
          <w:bCs/>
          <w:szCs w:val="24"/>
          <w:lang w:val="es-CO"/>
        </w:rPr>
      </w:pPr>
    </w:p>
    <w:p w14:paraId="642C7AD7" w14:textId="58E995D7" w:rsidR="00FB34C4" w:rsidRPr="00D369AA" w:rsidRDefault="00FB34C4" w:rsidP="008D31A1">
      <w:pPr>
        <w:rPr>
          <w:bCs/>
          <w:szCs w:val="24"/>
          <w:lang w:val="es-CO"/>
        </w:rPr>
      </w:pPr>
      <w:r w:rsidRPr="00D369AA">
        <w:rPr>
          <w:bCs/>
          <w:szCs w:val="24"/>
          <w:lang w:val="es-CO"/>
        </w:rPr>
        <w:t>Cordialmente,</w:t>
      </w:r>
      <w:r w:rsidR="003E7D32" w:rsidRPr="00D369AA">
        <w:rPr>
          <w:bCs/>
          <w:szCs w:val="24"/>
          <w:lang w:val="es-CO"/>
        </w:rPr>
        <w:t xml:space="preserve"> </w:t>
      </w:r>
    </w:p>
    <w:p w14:paraId="19718750" w14:textId="77777777" w:rsidR="00FB34C4" w:rsidRPr="00D369AA" w:rsidRDefault="00FB34C4" w:rsidP="008D31A1">
      <w:pPr>
        <w:rPr>
          <w:bCs/>
          <w:szCs w:val="24"/>
          <w:lang w:val="es-CO"/>
        </w:rPr>
      </w:pPr>
    </w:p>
    <w:p w14:paraId="3360CF8C" w14:textId="77777777" w:rsidR="00FB34C4" w:rsidRPr="00D369AA" w:rsidRDefault="00FB34C4" w:rsidP="008D31A1">
      <w:pPr>
        <w:rPr>
          <w:bCs/>
          <w:szCs w:val="24"/>
          <w:lang w:val="es-CO"/>
        </w:rPr>
      </w:pPr>
    </w:p>
    <w:p w14:paraId="2406EC47" w14:textId="77777777" w:rsidR="00FB34C4" w:rsidRPr="00D369AA" w:rsidRDefault="00FB34C4" w:rsidP="008D31A1">
      <w:pPr>
        <w:rPr>
          <w:bCs/>
          <w:szCs w:val="24"/>
          <w:lang w:val="es-CO"/>
        </w:rPr>
      </w:pPr>
    </w:p>
    <w:p w14:paraId="38A31F09" w14:textId="77777777" w:rsidR="00FB34C4" w:rsidRPr="00D369AA" w:rsidRDefault="00FB34C4" w:rsidP="008D31A1">
      <w:pPr>
        <w:rPr>
          <w:b/>
          <w:bCs/>
          <w:szCs w:val="24"/>
          <w:lang w:val="es-CO"/>
        </w:rPr>
      </w:pPr>
      <w:r w:rsidRPr="00D369AA">
        <w:rPr>
          <w:b/>
          <w:bCs/>
          <w:szCs w:val="24"/>
          <w:lang w:val="es-CO"/>
        </w:rPr>
        <w:t>JUAN FELIPE GRILLO CARRASCO</w:t>
      </w:r>
    </w:p>
    <w:p w14:paraId="64EA5B6F" w14:textId="6F26EBD3" w:rsidR="00FB34C4" w:rsidRPr="00D369AA" w:rsidRDefault="00FB34C4" w:rsidP="008D31A1">
      <w:pPr>
        <w:rPr>
          <w:bCs/>
          <w:szCs w:val="24"/>
          <w:lang w:val="es-CO"/>
        </w:rPr>
      </w:pPr>
      <w:r w:rsidRPr="00D369AA">
        <w:rPr>
          <w:bCs/>
          <w:szCs w:val="24"/>
          <w:lang w:val="es-CO"/>
        </w:rPr>
        <w:t>Concejal de Bogotá</w:t>
      </w:r>
      <w:r w:rsidR="003E7D32" w:rsidRPr="00D369AA">
        <w:rPr>
          <w:bCs/>
          <w:szCs w:val="24"/>
          <w:lang w:val="es-CO"/>
        </w:rPr>
        <w:t xml:space="preserve"> </w:t>
      </w:r>
    </w:p>
    <w:p w14:paraId="290322B7" w14:textId="77777777" w:rsidR="00702119" w:rsidRDefault="00702119" w:rsidP="00B460C2">
      <w:pPr>
        <w:spacing w:beforeAutospacing="1" w:after="0"/>
        <w:jc w:val="center"/>
        <w:rPr>
          <w:rFonts w:cs="Arial"/>
          <w:b/>
          <w:szCs w:val="24"/>
          <w:lang w:eastAsia="es-CO"/>
        </w:rPr>
      </w:pPr>
    </w:p>
    <w:p w14:paraId="78578EDC" w14:textId="77777777" w:rsidR="00702119" w:rsidRDefault="00702119" w:rsidP="00B460C2">
      <w:pPr>
        <w:spacing w:beforeAutospacing="1" w:after="0"/>
        <w:jc w:val="center"/>
        <w:rPr>
          <w:rFonts w:cs="Arial"/>
          <w:b/>
          <w:szCs w:val="24"/>
          <w:lang w:eastAsia="es-CO"/>
        </w:rPr>
      </w:pPr>
    </w:p>
    <w:p w14:paraId="52107998" w14:textId="77777777" w:rsidR="00702119" w:rsidRDefault="00702119" w:rsidP="00B460C2">
      <w:pPr>
        <w:spacing w:beforeAutospacing="1" w:after="0"/>
        <w:jc w:val="center"/>
        <w:rPr>
          <w:rFonts w:cs="Arial"/>
          <w:b/>
          <w:szCs w:val="24"/>
          <w:lang w:eastAsia="es-CO"/>
        </w:rPr>
      </w:pPr>
    </w:p>
    <w:p w14:paraId="5D1596CE" w14:textId="77777777" w:rsidR="00702119" w:rsidRDefault="00702119" w:rsidP="00B460C2">
      <w:pPr>
        <w:spacing w:beforeAutospacing="1" w:after="0"/>
        <w:jc w:val="center"/>
        <w:rPr>
          <w:rFonts w:cs="Arial"/>
          <w:b/>
          <w:szCs w:val="24"/>
          <w:lang w:eastAsia="es-CO"/>
        </w:rPr>
      </w:pPr>
    </w:p>
    <w:p w14:paraId="20474DD4" w14:textId="77777777" w:rsidR="00702119" w:rsidRDefault="00702119" w:rsidP="00B460C2">
      <w:pPr>
        <w:spacing w:beforeAutospacing="1" w:after="0"/>
        <w:jc w:val="center"/>
        <w:rPr>
          <w:rFonts w:cs="Arial"/>
          <w:b/>
          <w:szCs w:val="24"/>
          <w:lang w:eastAsia="es-CO"/>
        </w:rPr>
      </w:pPr>
    </w:p>
    <w:p w14:paraId="6A81948E" w14:textId="77777777" w:rsidR="00702119" w:rsidRDefault="00702119" w:rsidP="00B460C2">
      <w:pPr>
        <w:spacing w:beforeAutospacing="1" w:after="0"/>
        <w:jc w:val="center"/>
        <w:rPr>
          <w:rFonts w:cs="Arial"/>
          <w:b/>
          <w:szCs w:val="24"/>
          <w:lang w:eastAsia="es-CO"/>
        </w:rPr>
      </w:pPr>
    </w:p>
    <w:p w14:paraId="082D03ED" w14:textId="77777777" w:rsidR="00702119" w:rsidRDefault="00702119" w:rsidP="00B460C2">
      <w:pPr>
        <w:spacing w:beforeAutospacing="1" w:after="0"/>
        <w:jc w:val="center"/>
        <w:rPr>
          <w:rFonts w:cs="Arial"/>
          <w:b/>
          <w:szCs w:val="24"/>
          <w:lang w:eastAsia="es-CO"/>
        </w:rPr>
      </w:pPr>
    </w:p>
    <w:p w14:paraId="41FC43A2" w14:textId="77777777" w:rsidR="00702119" w:rsidRDefault="00702119" w:rsidP="00B460C2">
      <w:pPr>
        <w:spacing w:beforeAutospacing="1" w:after="0"/>
        <w:jc w:val="center"/>
        <w:rPr>
          <w:rFonts w:cs="Arial"/>
          <w:b/>
          <w:szCs w:val="24"/>
          <w:lang w:eastAsia="es-CO"/>
        </w:rPr>
      </w:pPr>
    </w:p>
    <w:p w14:paraId="05BB81F6" w14:textId="77777777" w:rsidR="00702119" w:rsidRDefault="00702119" w:rsidP="00B460C2">
      <w:pPr>
        <w:spacing w:beforeAutospacing="1" w:after="0"/>
        <w:jc w:val="center"/>
        <w:rPr>
          <w:rFonts w:cs="Arial"/>
          <w:b/>
          <w:szCs w:val="24"/>
          <w:lang w:eastAsia="es-CO"/>
        </w:rPr>
      </w:pPr>
    </w:p>
    <w:p w14:paraId="05756142" w14:textId="77777777" w:rsidR="00702119" w:rsidRDefault="00702119" w:rsidP="00B460C2">
      <w:pPr>
        <w:spacing w:beforeAutospacing="1" w:after="0"/>
        <w:jc w:val="center"/>
        <w:rPr>
          <w:rFonts w:cs="Arial"/>
          <w:b/>
          <w:szCs w:val="24"/>
          <w:lang w:eastAsia="es-CO"/>
        </w:rPr>
      </w:pPr>
    </w:p>
    <w:p w14:paraId="0320DEDF" w14:textId="77777777" w:rsidR="00702119" w:rsidRDefault="00702119" w:rsidP="00B460C2">
      <w:pPr>
        <w:spacing w:beforeAutospacing="1" w:after="0"/>
        <w:jc w:val="center"/>
        <w:rPr>
          <w:rFonts w:cs="Arial"/>
          <w:b/>
          <w:szCs w:val="24"/>
          <w:lang w:eastAsia="es-CO"/>
        </w:rPr>
      </w:pPr>
    </w:p>
    <w:p w14:paraId="1F12C5D7" w14:textId="77777777" w:rsidR="00702119" w:rsidRDefault="00702119" w:rsidP="00B460C2">
      <w:pPr>
        <w:spacing w:beforeAutospacing="1" w:after="0"/>
        <w:jc w:val="center"/>
        <w:rPr>
          <w:rFonts w:cs="Arial"/>
          <w:b/>
          <w:szCs w:val="24"/>
          <w:lang w:eastAsia="es-CO"/>
        </w:rPr>
      </w:pPr>
    </w:p>
    <w:p w14:paraId="25AD4ED0" w14:textId="65960D9D" w:rsidR="00B460C2" w:rsidRDefault="00B460C2" w:rsidP="00B460C2">
      <w:pPr>
        <w:spacing w:beforeAutospacing="1" w:after="0"/>
        <w:jc w:val="center"/>
        <w:rPr>
          <w:rFonts w:cs="Arial"/>
          <w:b/>
          <w:szCs w:val="24"/>
          <w:lang w:eastAsia="es-CO"/>
        </w:rPr>
      </w:pPr>
      <w:r>
        <w:rPr>
          <w:rFonts w:cs="Arial"/>
          <w:b/>
          <w:szCs w:val="24"/>
          <w:lang w:eastAsia="es-CO"/>
        </w:rPr>
        <w:t>PROYECTO DE ACUERDO 472 DE 2016</w:t>
      </w:r>
    </w:p>
    <w:p w14:paraId="3AA3258F" w14:textId="77777777" w:rsidR="00B460C2" w:rsidRDefault="00B460C2" w:rsidP="00B460C2">
      <w:pPr>
        <w:spacing w:beforeAutospacing="1" w:after="0"/>
        <w:jc w:val="center"/>
        <w:rPr>
          <w:rFonts w:cs="Arial"/>
          <w:b/>
          <w:szCs w:val="24"/>
          <w:lang w:eastAsia="es-CO"/>
        </w:rPr>
      </w:pPr>
      <w:r>
        <w:rPr>
          <w:rFonts w:cs="Arial"/>
          <w:b/>
          <w:szCs w:val="24"/>
          <w:lang w:eastAsia="es-CO"/>
        </w:rPr>
        <w:t>“POR MEDIO DEL CUAL SE AUTORIZA A LA EMPRESA DE ENERGÍA DE BOGOTÁ S.A. E.S.P. PARA QUE ENAJENE LA PARTICIPACIÓN ACCIONARIA QUE POSEE EN INTERCONEXIÓN ELÉCTRICA S.A. E.S.P. – ISA-; GRUPO NUTRESA S.A.; BANCO POPULAR S.A. Y A EEB GAS S.A.S. PARA QUE ENAJENE LA PARTICIPACIÓN ACCIONARIA QUE POSEE EN PROMIGAS S.A. E.S.P.”</w:t>
      </w:r>
    </w:p>
    <w:p w14:paraId="1FE4B1E6" w14:textId="77777777" w:rsidR="00B460C2" w:rsidRDefault="00B460C2" w:rsidP="00B460C2">
      <w:pPr>
        <w:jc w:val="center"/>
      </w:pPr>
    </w:p>
    <w:p w14:paraId="23897AF4" w14:textId="77777777" w:rsidR="00B460C2" w:rsidRDefault="00B460C2" w:rsidP="00B460C2">
      <w:pPr>
        <w:spacing w:beforeAutospacing="1" w:after="0"/>
        <w:jc w:val="center"/>
        <w:rPr>
          <w:rFonts w:ascii="Times New Roman" w:hAnsi="Times New Roman"/>
          <w:szCs w:val="24"/>
          <w:lang w:eastAsia="es-CO"/>
        </w:rPr>
      </w:pPr>
      <w:r>
        <w:rPr>
          <w:rFonts w:cs="Arial"/>
          <w:b/>
          <w:szCs w:val="24"/>
          <w:lang w:eastAsia="es-CO"/>
        </w:rPr>
        <w:t>EL CONCEJO DE BOGOTÁ DISTRITO CAPITAL </w:t>
      </w:r>
    </w:p>
    <w:p w14:paraId="6C3EB788" w14:textId="77777777" w:rsidR="00B460C2" w:rsidRDefault="00B460C2" w:rsidP="00B460C2">
      <w:pPr>
        <w:spacing w:beforeAutospacing="1" w:after="0"/>
        <w:jc w:val="center"/>
        <w:rPr>
          <w:rFonts w:ascii="Times New Roman" w:hAnsi="Times New Roman"/>
          <w:szCs w:val="24"/>
          <w:lang w:eastAsia="es-CO"/>
        </w:rPr>
      </w:pPr>
      <w:r>
        <w:rPr>
          <w:rFonts w:cs="Arial"/>
          <w:b/>
          <w:szCs w:val="24"/>
          <w:lang w:eastAsia="es-CO"/>
        </w:rPr>
        <w:t>En uso de sus atribuciones legales, en especial las conferidas por los artículos 12 y 13 del Decreto Ley 1421 de 1993 y el artículo 17 de la Ley 226 de 1995, y</w:t>
      </w:r>
    </w:p>
    <w:p w14:paraId="3D13D4E4" w14:textId="77777777" w:rsidR="00B460C2" w:rsidRDefault="00B460C2" w:rsidP="00B460C2">
      <w:pPr>
        <w:spacing w:beforeAutospacing="1" w:after="0"/>
        <w:jc w:val="center"/>
        <w:rPr>
          <w:rFonts w:ascii="Times New Roman" w:hAnsi="Times New Roman"/>
          <w:szCs w:val="24"/>
          <w:lang w:eastAsia="es-CO"/>
        </w:rPr>
      </w:pPr>
      <w:r>
        <w:rPr>
          <w:rFonts w:cs="Arial"/>
          <w:b/>
          <w:szCs w:val="24"/>
          <w:lang w:eastAsia="es-CO"/>
        </w:rPr>
        <w:t>CONSIDERANDO:</w:t>
      </w:r>
    </w:p>
    <w:p w14:paraId="3CDB0BAA" w14:textId="77777777" w:rsidR="00B460C2" w:rsidRDefault="00B460C2" w:rsidP="00B460C2">
      <w:pPr>
        <w:spacing w:beforeAutospacing="1" w:after="0"/>
        <w:rPr>
          <w:rFonts w:cs="Arial"/>
          <w:szCs w:val="24"/>
          <w:lang w:eastAsia="es-CO"/>
        </w:rPr>
      </w:pPr>
      <w:r>
        <w:rPr>
          <w:rFonts w:cs="Arial"/>
          <w:szCs w:val="24"/>
          <w:lang w:eastAsia="es-CO"/>
        </w:rPr>
        <w:t>Que la Empresa de Energía de Bogotá S.A. E.S.P., tiene la condición de accionista de Interconexión Eléctrica S.A. E.S.P. –ISA-, por poseer 18.448.050 acciones ordinarias, correspondientes al 1,67% del total de su capital social.</w:t>
      </w:r>
    </w:p>
    <w:p w14:paraId="3A5B549F" w14:textId="77777777" w:rsidR="00B460C2" w:rsidRDefault="00B460C2" w:rsidP="00B460C2">
      <w:pPr>
        <w:spacing w:beforeAutospacing="1" w:after="0"/>
        <w:rPr>
          <w:rFonts w:cs="Arial"/>
          <w:szCs w:val="24"/>
          <w:lang w:eastAsia="es-CO"/>
        </w:rPr>
      </w:pPr>
      <w:r>
        <w:rPr>
          <w:rFonts w:cs="Arial"/>
          <w:szCs w:val="24"/>
          <w:lang w:eastAsia="es-CO"/>
        </w:rPr>
        <w:t xml:space="preserve">Que la Empresa de Energía de Bogotá S.A. E.S.P., tiene la condición de accionista de Grupo </w:t>
      </w:r>
      <w:proofErr w:type="spellStart"/>
      <w:r>
        <w:rPr>
          <w:rFonts w:cs="Arial"/>
          <w:szCs w:val="24"/>
          <w:lang w:eastAsia="es-CO"/>
        </w:rPr>
        <w:t>Nutresa</w:t>
      </w:r>
      <w:proofErr w:type="spellEnd"/>
      <w:r>
        <w:rPr>
          <w:rFonts w:cs="Arial"/>
          <w:szCs w:val="24"/>
          <w:lang w:eastAsia="es-CO"/>
        </w:rPr>
        <w:t xml:space="preserve"> S.A. por poseer 223 acciones ordinarias, correspondientes al 0.001% del total de su capital social.</w:t>
      </w:r>
    </w:p>
    <w:p w14:paraId="5CCA25C3" w14:textId="77777777" w:rsidR="00B460C2" w:rsidRDefault="00B460C2" w:rsidP="00B460C2">
      <w:pPr>
        <w:spacing w:beforeAutospacing="1" w:after="0"/>
        <w:rPr>
          <w:rFonts w:cs="Arial"/>
          <w:szCs w:val="24"/>
          <w:lang w:eastAsia="es-CO"/>
        </w:rPr>
      </w:pPr>
      <w:r>
        <w:rPr>
          <w:rFonts w:cs="Arial"/>
          <w:szCs w:val="24"/>
          <w:lang w:eastAsia="es-CO"/>
        </w:rPr>
        <w:t>Que la Empresa de Energía de Bogotá S.A. E.S.P., tiene la condición de accionista de Banco Popular S.A., por poseer 8.772.703 acciones ordinarias, correspondientes al 0.11% del total de su capital social.</w:t>
      </w:r>
    </w:p>
    <w:p w14:paraId="5217870D" w14:textId="77777777" w:rsidR="00B460C2" w:rsidRDefault="00B460C2" w:rsidP="00B460C2">
      <w:pPr>
        <w:spacing w:beforeAutospacing="1" w:after="0"/>
        <w:rPr>
          <w:rFonts w:cs="Arial"/>
          <w:szCs w:val="24"/>
          <w:lang w:eastAsia="es-CO"/>
        </w:rPr>
      </w:pPr>
      <w:r>
        <w:rPr>
          <w:rFonts w:cs="Arial"/>
          <w:szCs w:val="24"/>
          <w:lang w:eastAsia="es-CO"/>
        </w:rPr>
        <w:t xml:space="preserve">Que la Empresa de Energía de Bogotá S.A. E.S.P. es el propietario de la totalidad de acciones en circulación de EEB GAS S.A.S., quien, a su turno, tiene la condición de accionista de </w:t>
      </w:r>
      <w:proofErr w:type="spellStart"/>
      <w:r>
        <w:rPr>
          <w:rFonts w:cs="Arial"/>
          <w:szCs w:val="24"/>
          <w:lang w:eastAsia="es-CO"/>
        </w:rPr>
        <w:t>Promigas</w:t>
      </w:r>
      <w:proofErr w:type="spellEnd"/>
      <w:r>
        <w:rPr>
          <w:rFonts w:cs="Arial"/>
          <w:szCs w:val="24"/>
          <w:lang w:eastAsia="es-CO"/>
        </w:rPr>
        <w:t xml:space="preserve"> S.A. E.S.P., por poseer 177.464.263 acciones ordinarias, correspondientes al 15,64% del total de su capital social.</w:t>
      </w:r>
    </w:p>
    <w:p w14:paraId="6BA4D610" w14:textId="77777777" w:rsidR="00B460C2" w:rsidRDefault="00B460C2" w:rsidP="00B460C2">
      <w:pPr>
        <w:spacing w:beforeAutospacing="1" w:after="0"/>
        <w:rPr>
          <w:rFonts w:cs="Arial"/>
          <w:bCs/>
          <w:szCs w:val="24"/>
          <w:lang w:eastAsia="es-CO"/>
        </w:rPr>
      </w:pPr>
      <w:r>
        <w:rPr>
          <w:rFonts w:cs="Arial"/>
          <w:szCs w:val="24"/>
          <w:lang w:eastAsia="es-CO"/>
        </w:rPr>
        <w:t>Que la Empresa de Energía de Bogotá S.A. E.S.P. ha adoptado un plan estratégico</w:t>
      </w:r>
      <w:r>
        <w:t xml:space="preserve"> </w:t>
      </w:r>
      <w:r>
        <w:rPr>
          <w:szCs w:val="24"/>
        </w:rPr>
        <w:t xml:space="preserve">que se basa en el impulso del desarrollo de una Bogotá-Región que brinda bienestar a sus ciudadanos, conectando operadores estratégicos de altos </w:t>
      </w:r>
      <w:r>
        <w:rPr>
          <w:szCs w:val="24"/>
        </w:rPr>
        <w:lastRenderedPageBreak/>
        <w:t>estándares de gobierno corporativo y</w:t>
      </w:r>
      <w:r>
        <w:rPr>
          <w:rFonts w:cs="Arial"/>
          <w:szCs w:val="24"/>
          <w:lang w:eastAsia="es-CO"/>
        </w:rPr>
        <w:t xml:space="preserve"> conforme a los estudios y diagnósticos estratégicos, técnicos y financieros que ha acometido en el curso del año 2016, considera la posibilidad de enajenar la participación accionaria que posee directamente en los siguientes activos no controlados, por no encontrarse alineados con la estrategia antes mencionada: Interconexión Eléctrica S.A. E.S.P. –ISA-, Grupo </w:t>
      </w:r>
      <w:proofErr w:type="spellStart"/>
      <w:r>
        <w:rPr>
          <w:rFonts w:cs="Arial"/>
          <w:szCs w:val="24"/>
          <w:lang w:eastAsia="es-CO"/>
        </w:rPr>
        <w:t>Nutresa</w:t>
      </w:r>
      <w:proofErr w:type="spellEnd"/>
      <w:r>
        <w:rPr>
          <w:rFonts w:cs="Arial"/>
          <w:szCs w:val="24"/>
          <w:lang w:eastAsia="es-CO"/>
        </w:rPr>
        <w:t xml:space="preserve"> S.A. y Banco Popular S.A. y la participación accionaria que su filial EEB GAS S.A.S. posee en </w:t>
      </w:r>
      <w:proofErr w:type="spellStart"/>
      <w:r>
        <w:rPr>
          <w:rFonts w:cs="Arial"/>
          <w:szCs w:val="24"/>
          <w:lang w:eastAsia="es-CO"/>
        </w:rPr>
        <w:t>Promigas</w:t>
      </w:r>
      <w:proofErr w:type="spellEnd"/>
      <w:r>
        <w:rPr>
          <w:rFonts w:cs="Arial"/>
          <w:szCs w:val="24"/>
          <w:lang w:eastAsia="es-CO"/>
        </w:rPr>
        <w:t xml:space="preserve"> S.A. E.S.P., para cuyos efectos se han adoptado todas las decisiones corporativas del caso.</w:t>
      </w:r>
      <w:r>
        <w:rPr>
          <w:rFonts w:cs="Arial"/>
          <w:bCs/>
          <w:szCs w:val="24"/>
          <w:lang w:eastAsia="es-CO"/>
        </w:rPr>
        <w:t xml:space="preserve">  </w:t>
      </w:r>
    </w:p>
    <w:p w14:paraId="1456D747" w14:textId="77777777" w:rsidR="00B460C2" w:rsidRDefault="00B460C2" w:rsidP="00B460C2">
      <w:pPr>
        <w:spacing w:beforeAutospacing="1" w:after="0"/>
        <w:jc w:val="center"/>
        <w:rPr>
          <w:rFonts w:cs="Arial"/>
          <w:szCs w:val="24"/>
          <w:lang w:eastAsia="es-CO"/>
        </w:rPr>
      </w:pPr>
      <w:r>
        <w:rPr>
          <w:rFonts w:cs="Arial"/>
          <w:b/>
          <w:szCs w:val="24"/>
          <w:lang w:eastAsia="es-CO"/>
        </w:rPr>
        <w:t>ACUERDA:</w:t>
      </w:r>
    </w:p>
    <w:p w14:paraId="628D6D19" w14:textId="77777777" w:rsidR="00B460C2" w:rsidRDefault="00B460C2" w:rsidP="00B460C2">
      <w:pPr>
        <w:spacing w:beforeAutospacing="1" w:after="0"/>
        <w:rPr>
          <w:rFonts w:cs="Arial"/>
          <w:szCs w:val="24"/>
          <w:lang w:eastAsia="es-CO"/>
        </w:rPr>
      </w:pPr>
      <w:r>
        <w:rPr>
          <w:rFonts w:cs="Arial"/>
          <w:b/>
          <w:szCs w:val="24"/>
          <w:lang w:eastAsia="es-CO"/>
        </w:rPr>
        <w:t>ARTÍCULO 1º</w:t>
      </w:r>
      <w:r>
        <w:rPr>
          <w:rFonts w:cs="Arial"/>
          <w:szCs w:val="24"/>
          <w:lang w:eastAsia="es-CO"/>
        </w:rPr>
        <w:t>. Autorizar a la Empresa de Energía de Bogotá S.A. E.S.P. para que enajene la participación accionaria que posee en Interconexión Eléctrica S.A. E.S.P. –ISA-.</w:t>
      </w:r>
    </w:p>
    <w:p w14:paraId="669F3BA9" w14:textId="77777777" w:rsidR="00B460C2" w:rsidRDefault="00B460C2" w:rsidP="00B460C2">
      <w:pPr>
        <w:spacing w:beforeAutospacing="1" w:after="0"/>
        <w:rPr>
          <w:rFonts w:cs="Arial"/>
          <w:szCs w:val="24"/>
          <w:lang w:eastAsia="es-CO"/>
        </w:rPr>
      </w:pPr>
      <w:r>
        <w:rPr>
          <w:rFonts w:cs="Arial"/>
          <w:b/>
          <w:szCs w:val="24"/>
          <w:lang w:eastAsia="es-CO"/>
        </w:rPr>
        <w:t xml:space="preserve">ARTÍCULO 2º. </w:t>
      </w:r>
      <w:r>
        <w:rPr>
          <w:rFonts w:cs="Arial"/>
          <w:szCs w:val="24"/>
          <w:lang w:eastAsia="es-CO"/>
        </w:rPr>
        <w:t xml:space="preserve">Autorizar a la Empresa de Energía de Bogotá S.A. E.S.P. para que enajene la participación accionaria que posee en Grupo </w:t>
      </w:r>
      <w:proofErr w:type="spellStart"/>
      <w:r>
        <w:rPr>
          <w:rFonts w:cs="Arial"/>
          <w:szCs w:val="24"/>
          <w:lang w:eastAsia="es-CO"/>
        </w:rPr>
        <w:t>Nutresa</w:t>
      </w:r>
      <w:proofErr w:type="spellEnd"/>
      <w:r>
        <w:rPr>
          <w:rFonts w:cs="Arial"/>
          <w:szCs w:val="24"/>
          <w:lang w:eastAsia="es-CO"/>
        </w:rPr>
        <w:t xml:space="preserve"> S.A.</w:t>
      </w:r>
    </w:p>
    <w:p w14:paraId="05C0AB99" w14:textId="77777777" w:rsidR="00B460C2" w:rsidRDefault="00B460C2" w:rsidP="00B460C2">
      <w:pPr>
        <w:spacing w:beforeAutospacing="1" w:after="0"/>
        <w:rPr>
          <w:rFonts w:cs="Arial"/>
          <w:szCs w:val="24"/>
          <w:lang w:eastAsia="es-CO"/>
        </w:rPr>
      </w:pPr>
      <w:r>
        <w:rPr>
          <w:rFonts w:cs="Arial"/>
          <w:b/>
          <w:szCs w:val="24"/>
          <w:lang w:eastAsia="es-CO"/>
        </w:rPr>
        <w:t xml:space="preserve">ARTÍCULO 3º. </w:t>
      </w:r>
      <w:r>
        <w:rPr>
          <w:rFonts w:cs="Arial"/>
          <w:szCs w:val="24"/>
          <w:lang w:eastAsia="es-CO"/>
        </w:rPr>
        <w:t>Autorizar a la Empresa de Energía de Bogotá S.A. E.S.P. para que enajene la participación accionaria que posee en Banco Popular S.A.</w:t>
      </w:r>
    </w:p>
    <w:p w14:paraId="4B83C0F5" w14:textId="77777777" w:rsidR="00B460C2" w:rsidRDefault="00B460C2" w:rsidP="00B460C2">
      <w:pPr>
        <w:spacing w:beforeAutospacing="1" w:after="0"/>
        <w:rPr>
          <w:rFonts w:cs="Arial"/>
          <w:szCs w:val="24"/>
          <w:lang w:eastAsia="es-CO"/>
        </w:rPr>
      </w:pPr>
      <w:r>
        <w:rPr>
          <w:rFonts w:cs="Arial"/>
          <w:b/>
          <w:szCs w:val="24"/>
          <w:lang w:eastAsia="es-CO"/>
        </w:rPr>
        <w:t xml:space="preserve">ARTÍCULO 4º. </w:t>
      </w:r>
      <w:r>
        <w:rPr>
          <w:rFonts w:cs="Arial"/>
          <w:szCs w:val="24"/>
          <w:lang w:eastAsia="es-CO"/>
        </w:rPr>
        <w:t xml:space="preserve">Autorizar a EEB GAS S.A. E.S.P. para que enajene la participación accionaria que posee en </w:t>
      </w:r>
      <w:proofErr w:type="spellStart"/>
      <w:r>
        <w:rPr>
          <w:rFonts w:cs="Arial"/>
          <w:szCs w:val="24"/>
          <w:lang w:eastAsia="es-CO"/>
        </w:rPr>
        <w:t>Promigas</w:t>
      </w:r>
      <w:proofErr w:type="spellEnd"/>
      <w:r>
        <w:rPr>
          <w:rFonts w:cs="Arial"/>
          <w:szCs w:val="24"/>
          <w:lang w:eastAsia="es-CO"/>
        </w:rPr>
        <w:t xml:space="preserve"> S.A. E.S.P.</w:t>
      </w:r>
    </w:p>
    <w:p w14:paraId="188E4F92" w14:textId="77777777" w:rsidR="00B460C2" w:rsidRDefault="00B460C2" w:rsidP="00B460C2">
      <w:pPr>
        <w:spacing w:beforeAutospacing="1" w:after="0"/>
        <w:rPr>
          <w:rFonts w:cs="Arial"/>
          <w:szCs w:val="24"/>
          <w:lang w:eastAsia="es-CO"/>
        </w:rPr>
      </w:pPr>
      <w:r>
        <w:rPr>
          <w:rFonts w:cs="Arial"/>
          <w:b/>
          <w:szCs w:val="24"/>
          <w:lang w:eastAsia="es-CO"/>
        </w:rPr>
        <w:t>ARTÍCULO 5º.</w:t>
      </w:r>
      <w:r>
        <w:rPr>
          <w:rFonts w:cs="Arial"/>
          <w:szCs w:val="24"/>
          <w:lang w:eastAsia="es-CO"/>
        </w:rPr>
        <w:t xml:space="preserve"> Los procesos que adelanten la Empresa de Energía de Bogotá S.A. E.S.P. y EEB GAS S.A. E.S.P. se realizarán conforme a estudios técnicos especializados, previo al diseño y reglamentación de programas de enajenación que se sujeten a los principios de democratización, preferencia, protección del patrimonio público y continuidad del servicio, de acuerdo con lo señalado en la Ley 226 de 1995. </w:t>
      </w:r>
    </w:p>
    <w:p w14:paraId="18AE99B5" w14:textId="05236439" w:rsidR="00B460C2" w:rsidRPr="00B460C2" w:rsidRDefault="00B460C2" w:rsidP="00B460C2">
      <w:pPr>
        <w:spacing w:beforeAutospacing="1" w:after="0"/>
        <w:rPr>
          <w:rFonts w:cs="Arial"/>
          <w:b/>
          <w:szCs w:val="24"/>
          <w:u w:val="single"/>
          <w:lang w:eastAsia="es-CO"/>
        </w:rPr>
      </w:pPr>
      <w:r w:rsidRPr="00B460C2">
        <w:rPr>
          <w:rFonts w:cs="Arial"/>
          <w:b/>
          <w:szCs w:val="24"/>
          <w:u w:val="single"/>
          <w:lang w:val="es-CO" w:eastAsia="es-CO"/>
        </w:rPr>
        <w:t>ARTÍCULO 6º. Los recursos producto de esta enajenación d</w:t>
      </w:r>
      <w:r w:rsidR="00F43E76">
        <w:rPr>
          <w:rFonts w:cs="Arial"/>
          <w:b/>
          <w:szCs w:val="24"/>
          <w:u w:val="single"/>
          <w:lang w:val="es-CO" w:eastAsia="es-CO"/>
        </w:rPr>
        <w:t>eberán cumplir el principio de Protección del Patrimonio P</w:t>
      </w:r>
      <w:r w:rsidRPr="00B460C2">
        <w:rPr>
          <w:rFonts w:cs="Arial"/>
          <w:b/>
          <w:szCs w:val="24"/>
          <w:u w:val="single"/>
          <w:lang w:val="es-CO" w:eastAsia="es-CO"/>
        </w:rPr>
        <w:t>úblico establecido en el Artículo 4º de la Ley 226 de 1995.</w:t>
      </w:r>
    </w:p>
    <w:p w14:paraId="268F6257" w14:textId="5278642D" w:rsidR="00B460C2" w:rsidRDefault="00B460C2" w:rsidP="00B460C2">
      <w:pPr>
        <w:spacing w:beforeAutospacing="1" w:after="0"/>
        <w:rPr>
          <w:rFonts w:cs="Arial"/>
          <w:szCs w:val="24"/>
          <w:lang w:eastAsia="es-CO"/>
        </w:rPr>
      </w:pPr>
      <w:r>
        <w:rPr>
          <w:rFonts w:cs="Arial"/>
          <w:b/>
          <w:szCs w:val="24"/>
          <w:lang w:eastAsia="es-CO"/>
        </w:rPr>
        <w:t xml:space="preserve">ARTICULO 7º. </w:t>
      </w:r>
      <w:r>
        <w:rPr>
          <w:rFonts w:cs="Arial"/>
          <w:szCs w:val="24"/>
          <w:lang w:eastAsia="es-CO"/>
        </w:rPr>
        <w:t>El presente Acuerdo rige a partir de la fecha de su publicación.</w:t>
      </w:r>
    </w:p>
    <w:p w14:paraId="65BC7653" w14:textId="77777777" w:rsidR="00B460C2" w:rsidRDefault="00B460C2" w:rsidP="00B460C2">
      <w:pPr>
        <w:spacing w:beforeAutospacing="1" w:after="0"/>
        <w:rPr>
          <w:rFonts w:cs="Arial"/>
          <w:szCs w:val="24"/>
          <w:lang w:eastAsia="es-CO"/>
        </w:rPr>
      </w:pPr>
    </w:p>
    <w:p w14:paraId="0A143C60" w14:textId="77777777" w:rsidR="00B460C2" w:rsidRDefault="00B460C2" w:rsidP="00B460C2">
      <w:pPr>
        <w:spacing w:beforeAutospacing="1" w:after="0"/>
        <w:jc w:val="center"/>
        <w:rPr>
          <w:rFonts w:cs="Arial"/>
          <w:b/>
          <w:szCs w:val="24"/>
          <w:lang w:eastAsia="es-CO"/>
        </w:rPr>
      </w:pPr>
      <w:r>
        <w:rPr>
          <w:rFonts w:cs="Arial"/>
          <w:b/>
          <w:szCs w:val="24"/>
          <w:lang w:eastAsia="es-CO"/>
        </w:rPr>
        <w:t>PUBLÍQUESE Y CÚMPLASE</w:t>
      </w:r>
    </w:p>
    <w:p w14:paraId="455CE9C5" w14:textId="77777777" w:rsidR="00B460C2" w:rsidRDefault="00B460C2" w:rsidP="00B460C2">
      <w:pPr>
        <w:spacing w:beforeAutospacing="1" w:after="0"/>
        <w:rPr>
          <w:rFonts w:cs="Arial"/>
          <w:szCs w:val="24"/>
          <w:lang w:eastAsia="es-CO"/>
        </w:rPr>
      </w:pPr>
    </w:p>
    <w:sectPr w:rsidR="00B460C2" w:rsidSect="00851E51">
      <w:headerReference w:type="even" r:id="rId58"/>
      <w:headerReference w:type="default" r:id="rId59"/>
      <w:footerReference w:type="even" r:id="rId60"/>
      <w:footerReference w:type="default" r:id="rId61"/>
      <w:headerReference w:type="first" r:id="rId62"/>
      <w:footerReference w:type="first" r:id="rId63"/>
      <w:pgSz w:w="12242" w:h="15842" w:code="1"/>
      <w:pgMar w:top="1701" w:right="1701" w:bottom="1701" w:left="1701" w:header="1134"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6E69B" w14:textId="77777777" w:rsidR="00E2214F" w:rsidRDefault="00E2214F">
      <w:r>
        <w:separator/>
      </w:r>
    </w:p>
  </w:endnote>
  <w:endnote w:type="continuationSeparator" w:id="0">
    <w:p w14:paraId="04B8997D" w14:textId="77777777" w:rsidR="00E2214F" w:rsidRDefault="00E2214F">
      <w:r>
        <w:continuationSeparator/>
      </w:r>
    </w:p>
  </w:endnote>
  <w:endnote w:type="continuationNotice" w:id="1">
    <w:p w14:paraId="43E17800" w14:textId="77777777" w:rsidR="00E2214F" w:rsidRDefault="00E221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open_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260F4" w14:textId="77777777" w:rsidR="00E2214F" w:rsidRDefault="00E2214F" w:rsidP="000D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9FE2D55" w14:textId="77777777" w:rsidR="00E2214F" w:rsidRDefault="00E2214F" w:rsidP="007341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FEEFC" w14:textId="77777777" w:rsidR="00E2214F" w:rsidRPr="008229A8" w:rsidRDefault="00E2214F" w:rsidP="008229A8">
    <w:pPr>
      <w:pStyle w:val="Piedepgina"/>
      <w:jc w:val="center"/>
    </w:pPr>
    <w:r w:rsidRPr="00C62B76">
      <w:rPr>
        <w:noProof/>
        <w:sz w:val="18"/>
        <w:szCs w:val="18"/>
        <w:lang w:val="es-CO" w:eastAsia="es-CO"/>
      </w:rPr>
      <w:drawing>
        <wp:anchor distT="0" distB="0" distL="114300" distR="114300" simplePos="0" relativeHeight="251665408" behindDoc="1" locked="0" layoutInCell="1" allowOverlap="1" wp14:anchorId="2447BB45" wp14:editId="6EE8120B">
          <wp:simplePos x="0" y="0"/>
          <wp:positionH relativeFrom="column">
            <wp:posOffset>4958715</wp:posOffset>
          </wp:positionH>
          <wp:positionV relativeFrom="paragraph">
            <wp:posOffset>-238125</wp:posOffset>
          </wp:positionV>
          <wp:extent cx="622935" cy="662940"/>
          <wp:effectExtent l="0" t="0" r="5715" b="3810"/>
          <wp:wrapNone/>
          <wp:docPr id="3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stretch>
                    <a:fillRect/>
                  </a:stretch>
                </pic:blipFill>
                <pic:spPr>
                  <a:xfrm>
                    <a:off x="0" y="0"/>
                    <a:ext cx="622935" cy="662940"/>
                  </a:xfrm>
                  <a:prstGeom prst="rect">
                    <a:avLst/>
                  </a:prstGeom>
                </pic:spPr>
              </pic:pic>
            </a:graphicData>
          </a:graphic>
        </wp:anchor>
      </w:drawing>
    </w:r>
    <w:r w:rsidRPr="00C62B76">
      <w:rPr>
        <w:noProof/>
        <w:sz w:val="18"/>
        <w:szCs w:val="18"/>
        <w:lang w:val="es-CO" w:eastAsia="es-CO"/>
      </w:rPr>
      <w:drawing>
        <wp:anchor distT="0" distB="0" distL="114300" distR="114300" simplePos="0" relativeHeight="251664384" behindDoc="1" locked="0" layoutInCell="1" allowOverlap="1" wp14:anchorId="580910E1" wp14:editId="6ED95C54">
          <wp:simplePos x="0" y="0"/>
          <wp:positionH relativeFrom="column">
            <wp:posOffset>0</wp:posOffset>
          </wp:positionH>
          <wp:positionV relativeFrom="paragraph">
            <wp:posOffset>-228600</wp:posOffset>
          </wp:positionV>
          <wp:extent cx="654050" cy="628650"/>
          <wp:effectExtent l="0" t="0" r="0" b="0"/>
          <wp:wrapNone/>
          <wp:docPr id="3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2"/>
                  <a:stretch>
                    <a:fillRect/>
                  </a:stretch>
                </pic:blipFill>
                <pic:spPr>
                  <a:xfrm>
                    <a:off x="0" y="0"/>
                    <a:ext cx="654050" cy="628650"/>
                  </a:xfrm>
                  <a:prstGeom prst="rect">
                    <a:avLst/>
                  </a:prstGeom>
                </pic:spPr>
              </pic:pic>
            </a:graphicData>
          </a:graphic>
        </wp:anchor>
      </w:drawing>
    </w:r>
    <w:r w:rsidRPr="005327A2">
      <w:rPr>
        <w:sz w:val="18"/>
        <w:szCs w:val="16"/>
      </w:rPr>
      <w:t>“EL CONCEJO, COMPRO</w:t>
    </w:r>
    <w:r>
      <w:rPr>
        <w:sz w:val="18"/>
        <w:szCs w:val="16"/>
      </w:rPr>
      <w:t>MISO</w:t>
    </w:r>
    <w:r w:rsidRPr="005327A2">
      <w:rPr>
        <w:sz w:val="18"/>
        <w:szCs w:val="16"/>
      </w:rPr>
      <w:t xml:space="preserve"> Y TRANSPARENCIA POR BOGOTÁ"</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422D" w14:textId="77777777" w:rsidR="00E2214F" w:rsidRDefault="00E221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8BC5D" w14:textId="77777777" w:rsidR="00E2214F" w:rsidRDefault="00E2214F">
      <w:r>
        <w:separator/>
      </w:r>
    </w:p>
  </w:footnote>
  <w:footnote w:type="continuationSeparator" w:id="0">
    <w:p w14:paraId="10320E6D" w14:textId="77777777" w:rsidR="00E2214F" w:rsidRDefault="00E2214F">
      <w:r>
        <w:continuationSeparator/>
      </w:r>
    </w:p>
  </w:footnote>
  <w:footnote w:type="continuationNotice" w:id="1">
    <w:p w14:paraId="6121F2BF" w14:textId="77777777" w:rsidR="00E2214F" w:rsidRDefault="00E2214F">
      <w:pPr>
        <w:spacing w:after="0"/>
      </w:pPr>
    </w:p>
  </w:footnote>
  <w:footnote w:id="2">
    <w:p w14:paraId="5A326D0D" w14:textId="3D59EE92"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Grupo Energía de Bogotá (2016), “Grupo Energía de Bogotá consolida su estrategia en América Latina”, [En línea], disponible en: http://www.grupoenergiadebogota.com/eeb/index.php/sala-de-prensa/noticias-eeb/septiembre/21-30-de-septiembre/grupo-energia-de-bogota-consolida-su-estrategia-en-america-latina</w:t>
      </w:r>
    </w:p>
  </w:footnote>
  <w:footnote w:id="3">
    <w:p w14:paraId="5B8E6C61" w14:textId="77777777" w:rsidR="00E2214F" w:rsidRPr="00F7588F" w:rsidRDefault="00E2214F">
      <w:pPr>
        <w:pStyle w:val="Textonotapie"/>
      </w:pPr>
      <w:r w:rsidRPr="00F7588F">
        <w:rPr>
          <w:rStyle w:val="Refdenotaalpie"/>
          <w:sz w:val="16"/>
          <w:szCs w:val="16"/>
        </w:rPr>
        <w:footnoteRef/>
      </w:r>
      <w:r w:rsidRPr="00F7588F">
        <w:rPr>
          <w:sz w:val="16"/>
          <w:szCs w:val="16"/>
        </w:rPr>
        <w:t xml:space="preserve"> Proyecto de Acuerdo 472 de 2016. Página 12.</w:t>
      </w:r>
    </w:p>
  </w:footnote>
  <w:footnote w:id="4">
    <w:p w14:paraId="01E0AB38" w14:textId="77777777"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Proyecto de Acuerdo 472 de 2016. Página 12.</w:t>
      </w:r>
    </w:p>
  </w:footnote>
  <w:footnote w:id="5">
    <w:p w14:paraId="56B78963" w14:textId="14B89ED1" w:rsidR="00E2214F" w:rsidRPr="00F7588F" w:rsidRDefault="00E2214F">
      <w:pPr>
        <w:pStyle w:val="Textonotapie"/>
        <w:rPr>
          <w:sz w:val="16"/>
          <w:szCs w:val="16"/>
        </w:rPr>
      </w:pPr>
      <w:r w:rsidRPr="00F7588F">
        <w:rPr>
          <w:rStyle w:val="Refdenotaalpie"/>
          <w:sz w:val="16"/>
          <w:szCs w:val="16"/>
        </w:rPr>
        <w:footnoteRef/>
      </w:r>
      <w:r w:rsidRPr="00F7588F">
        <w:rPr>
          <w:sz w:val="16"/>
          <w:szCs w:val="16"/>
        </w:rPr>
        <w:t>Proyecto de acuerdo 472 de 2016. Página 18.</w:t>
      </w:r>
    </w:p>
  </w:footnote>
  <w:footnote w:id="6">
    <w:p w14:paraId="23153EFD" w14:textId="77777777" w:rsidR="00E2214F" w:rsidRPr="0094267A" w:rsidRDefault="00E2214F">
      <w:pPr>
        <w:pStyle w:val="Textonotapie"/>
        <w:rPr>
          <w:sz w:val="16"/>
          <w:szCs w:val="16"/>
          <w:lang w:val="en-US"/>
        </w:rPr>
      </w:pPr>
      <w:r w:rsidRPr="00F7588F">
        <w:rPr>
          <w:rStyle w:val="Refdenotaalpie"/>
          <w:sz w:val="16"/>
          <w:szCs w:val="16"/>
        </w:rPr>
        <w:footnoteRef/>
      </w:r>
      <w:r w:rsidRPr="0094267A">
        <w:rPr>
          <w:sz w:val="16"/>
          <w:szCs w:val="16"/>
          <w:lang w:val="en-US"/>
        </w:rPr>
        <w:t xml:space="preserve"> file:///C:/Users/DMSANCHEZ/Downloads/16.%20ISAGEN%20segunda%20etapa.pdf</w:t>
      </w:r>
    </w:p>
  </w:footnote>
  <w:footnote w:id="7">
    <w:p w14:paraId="011E39DF" w14:textId="3EDB94E0" w:rsidR="00E2214F" w:rsidRPr="00F7588F" w:rsidRDefault="00E2214F" w:rsidP="00200A63">
      <w:pPr>
        <w:pStyle w:val="Textonotapie"/>
        <w:rPr>
          <w:color w:val="FF0000"/>
          <w:sz w:val="16"/>
          <w:szCs w:val="16"/>
        </w:rPr>
      </w:pPr>
      <w:r w:rsidRPr="00F7588F">
        <w:rPr>
          <w:rStyle w:val="Refdenotaalpie"/>
          <w:sz w:val="16"/>
          <w:szCs w:val="16"/>
        </w:rPr>
        <w:footnoteRef/>
      </w:r>
      <w:r w:rsidRPr="00F7588F">
        <w:rPr>
          <w:sz w:val="16"/>
          <w:szCs w:val="16"/>
        </w:rPr>
        <w:t xml:space="preserve"> Respuesta EEB, Derecho de Petición 2016EE13353. </w:t>
      </w:r>
    </w:p>
  </w:footnote>
  <w:footnote w:id="8">
    <w:p w14:paraId="7F9ECED7" w14:textId="535AFBDC" w:rsidR="00E2214F" w:rsidRPr="00F7588F" w:rsidRDefault="00E2214F" w:rsidP="00973055">
      <w:pPr>
        <w:pStyle w:val="Textonotapie"/>
        <w:spacing w:after="0"/>
        <w:rPr>
          <w:sz w:val="16"/>
          <w:szCs w:val="16"/>
        </w:rPr>
      </w:pPr>
      <w:r w:rsidRPr="00F7588F">
        <w:rPr>
          <w:rStyle w:val="Refdenotaalpie"/>
          <w:sz w:val="16"/>
          <w:szCs w:val="16"/>
        </w:rPr>
        <w:footnoteRef/>
      </w:r>
      <w:r w:rsidRPr="00F7588F">
        <w:rPr>
          <w:sz w:val="16"/>
          <w:szCs w:val="16"/>
        </w:rPr>
        <w:t xml:space="preserve"> Grupo Energía de Bogotá (2016), “¿Quiénes somos?”, [en línea], disponible en:  http://www.eeb.com.co/empresa/quienes-somos</w:t>
      </w:r>
    </w:p>
  </w:footnote>
  <w:footnote w:id="9">
    <w:p w14:paraId="0A71FC1B" w14:textId="2909533C" w:rsidR="00E2214F" w:rsidRPr="00F7588F" w:rsidRDefault="00E2214F" w:rsidP="00A376F0">
      <w:pPr>
        <w:pStyle w:val="Textonotapie"/>
      </w:pPr>
      <w:r w:rsidRPr="00F7588F">
        <w:rPr>
          <w:rStyle w:val="Refdenotaalpie"/>
          <w:sz w:val="16"/>
          <w:szCs w:val="16"/>
        </w:rPr>
        <w:footnoteRef/>
      </w:r>
      <w:r w:rsidRPr="00F7588F">
        <w:rPr>
          <w:sz w:val="16"/>
          <w:szCs w:val="16"/>
        </w:rPr>
        <w:t xml:space="preserve"> Grupo Energía de Bogotá (2016), “Naturaleza”, [en línea], disponible en: http://www.eeb.com.co/empresa/quienes-somos/naturaleza</w:t>
      </w:r>
    </w:p>
  </w:footnote>
  <w:footnote w:id="10">
    <w:p w14:paraId="51E14956" w14:textId="6DBCC256"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Respuesta EEB, Derecho de Petición 2016EE13353.</w:t>
      </w:r>
    </w:p>
  </w:footnote>
  <w:footnote w:id="11">
    <w:p w14:paraId="21B6F81C" w14:textId="22D497E5" w:rsidR="00E2214F" w:rsidRPr="00F7588F" w:rsidRDefault="00E2214F" w:rsidP="00C2455C">
      <w:pPr>
        <w:pStyle w:val="Citadestacada"/>
        <w:ind w:left="0"/>
        <w:jc w:val="left"/>
        <w:rPr>
          <w:szCs w:val="16"/>
        </w:rPr>
      </w:pPr>
      <w:r w:rsidRPr="00F7588F">
        <w:rPr>
          <w:rStyle w:val="Refdenotaalpie"/>
          <w:szCs w:val="16"/>
        </w:rPr>
        <w:footnoteRef/>
      </w:r>
      <w:r w:rsidRPr="00F7588F">
        <w:rPr>
          <w:szCs w:val="16"/>
        </w:rPr>
        <w:t xml:space="preserve"> Estudios Técnicos Proyecto de Acuerdo 472 de 2016. 18 de Octubre de 2016. Página 17.  </w:t>
      </w:r>
    </w:p>
  </w:footnote>
  <w:footnote w:id="12">
    <w:p w14:paraId="3D0D0A93" w14:textId="1B934A4C" w:rsidR="00E2214F" w:rsidRPr="00F7588F" w:rsidRDefault="00E2214F">
      <w:pPr>
        <w:pStyle w:val="Textonotapie"/>
      </w:pPr>
      <w:r w:rsidRPr="00F7588F">
        <w:rPr>
          <w:rStyle w:val="Refdenotaalpie"/>
          <w:sz w:val="16"/>
          <w:szCs w:val="16"/>
        </w:rPr>
        <w:footnoteRef/>
      </w:r>
      <w:r w:rsidRPr="00F7588F">
        <w:rPr>
          <w:sz w:val="16"/>
          <w:szCs w:val="16"/>
        </w:rPr>
        <w:t xml:space="preserve"> Estudios Técnicos Proyecto de Acuerdo 472 de 2016. 18 de Octubre de 2016. Página 88.</w:t>
      </w:r>
      <w:r w:rsidRPr="00F7588F">
        <w:t xml:space="preserve">  </w:t>
      </w:r>
    </w:p>
  </w:footnote>
  <w:footnote w:id="13">
    <w:p w14:paraId="15CF96C2" w14:textId="366C4F6E" w:rsidR="00E2214F" w:rsidRPr="00F7588F" w:rsidRDefault="00E2214F" w:rsidP="00262A5F">
      <w:pPr>
        <w:pStyle w:val="Textonotapie"/>
        <w:rPr>
          <w:sz w:val="16"/>
          <w:szCs w:val="16"/>
        </w:rPr>
      </w:pPr>
      <w:r w:rsidRPr="00F7588F">
        <w:rPr>
          <w:rStyle w:val="Refdenotaalpie"/>
          <w:sz w:val="16"/>
          <w:szCs w:val="16"/>
        </w:rPr>
        <w:footnoteRef/>
      </w:r>
      <w:r w:rsidRPr="00F7588F">
        <w:rPr>
          <w:sz w:val="16"/>
          <w:szCs w:val="16"/>
        </w:rPr>
        <w:t xml:space="preserve"> Grupo Energía de Bogotá (2016), “Grupo Energía de Bogotá consolida su estrategia en América Latina”, [en línea], disponible en: http://www.eeb.com.co/sala-de-prensa/noticias-eeb/grupo-energia-de-bogota-consolida-su-estrategia-en-america-latina</w:t>
      </w:r>
    </w:p>
  </w:footnote>
  <w:footnote w:id="14">
    <w:p w14:paraId="78737804" w14:textId="6D5755A1" w:rsidR="00E2214F" w:rsidRPr="00F7588F" w:rsidRDefault="00E2214F" w:rsidP="00032111">
      <w:pPr>
        <w:pStyle w:val="Textonotapie"/>
        <w:rPr>
          <w:sz w:val="16"/>
          <w:szCs w:val="16"/>
        </w:rPr>
      </w:pPr>
      <w:r w:rsidRPr="00F7588F">
        <w:rPr>
          <w:rStyle w:val="Refdenotaalpie"/>
          <w:sz w:val="16"/>
          <w:szCs w:val="16"/>
        </w:rPr>
        <w:footnoteRef/>
      </w:r>
      <w:r w:rsidRPr="00F7588F">
        <w:rPr>
          <w:sz w:val="16"/>
          <w:szCs w:val="16"/>
        </w:rPr>
        <w:t xml:space="preserve"> Grupo Energía de Bogotá (2016), “¿Quiénes somos?”, [en línea], disponible en: http://www.grupoenergiadebogota.com/informacion-corporativa/quienes-somos2</w:t>
      </w:r>
    </w:p>
  </w:footnote>
  <w:footnote w:id="15">
    <w:p w14:paraId="00D02E5D" w14:textId="07559456" w:rsidR="00E2214F" w:rsidRPr="00F7588F" w:rsidRDefault="00E2214F" w:rsidP="0085737E">
      <w:pPr>
        <w:pStyle w:val="Textonotapie"/>
        <w:rPr>
          <w:sz w:val="16"/>
          <w:szCs w:val="16"/>
        </w:rPr>
      </w:pPr>
      <w:r w:rsidRPr="00F7588F">
        <w:rPr>
          <w:rStyle w:val="Refdenotaalpie"/>
          <w:sz w:val="16"/>
          <w:szCs w:val="16"/>
        </w:rPr>
        <w:footnoteRef/>
      </w:r>
      <w:r w:rsidRPr="00F7588F">
        <w:rPr>
          <w:sz w:val="16"/>
          <w:szCs w:val="16"/>
        </w:rPr>
        <w:t xml:space="preserve"> </w:t>
      </w:r>
      <w:r w:rsidR="0041714A" w:rsidRPr="0041714A">
        <w:rPr>
          <w:sz w:val="16"/>
          <w:szCs w:val="16"/>
        </w:rPr>
        <w:t>http://www.grupoenergiadebogota.com/grupos-estrategicos/soluciones-energeticas-urbanas2/gas-natural</w:t>
      </w:r>
    </w:p>
  </w:footnote>
  <w:footnote w:id="16">
    <w:p w14:paraId="4D8F5178" w14:textId="1F41E8CD" w:rsidR="00E2214F" w:rsidRPr="00F7588F" w:rsidRDefault="00E2214F" w:rsidP="0085737E">
      <w:pPr>
        <w:pStyle w:val="Textonotapie"/>
        <w:rPr>
          <w:sz w:val="16"/>
          <w:szCs w:val="16"/>
        </w:rPr>
      </w:pPr>
      <w:r w:rsidRPr="00F7588F">
        <w:rPr>
          <w:rStyle w:val="Refdenotaalpie"/>
          <w:sz w:val="16"/>
          <w:szCs w:val="16"/>
        </w:rPr>
        <w:footnoteRef/>
      </w:r>
      <w:r w:rsidRPr="00F7588F">
        <w:rPr>
          <w:sz w:val="16"/>
          <w:szCs w:val="16"/>
        </w:rPr>
        <w:t xml:space="preserve"> </w:t>
      </w:r>
      <w:r w:rsidR="0041714A" w:rsidRPr="0041714A">
        <w:rPr>
          <w:sz w:val="16"/>
          <w:szCs w:val="16"/>
        </w:rPr>
        <w:t>http://www.grupoenergiadebogota.com/grupos-estrategicos/soluciones-energeticas-urbanas2/contugas</w:t>
      </w:r>
    </w:p>
  </w:footnote>
  <w:footnote w:id="17">
    <w:p w14:paraId="0E353E77" w14:textId="4507E1B8" w:rsidR="00E2214F" w:rsidRPr="00F7588F" w:rsidRDefault="00E2214F" w:rsidP="00032111">
      <w:pPr>
        <w:pStyle w:val="Textonotapie"/>
        <w:rPr>
          <w:sz w:val="16"/>
          <w:szCs w:val="16"/>
        </w:rPr>
      </w:pPr>
      <w:r w:rsidRPr="00F7588F">
        <w:rPr>
          <w:rStyle w:val="Refdenotaalpie"/>
          <w:sz w:val="16"/>
          <w:szCs w:val="16"/>
        </w:rPr>
        <w:footnoteRef/>
      </w:r>
      <w:r w:rsidRPr="00F7588F">
        <w:rPr>
          <w:sz w:val="16"/>
          <w:szCs w:val="16"/>
        </w:rPr>
        <w:t xml:space="preserve"> Grupo Energía de Bogotá (2016), “¿Quiénes somos?”, [en línea], disponible en: http://www.grupoenergiadebogota.com/informacion-corporativa/quienes-somos2</w:t>
      </w:r>
    </w:p>
  </w:footnote>
  <w:footnote w:id="18">
    <w:p w14:paraId="2BAA2051" w14:textId="575C1657" w:rsidR="00E2214F" w:rsidRPr="00F7588F" w:rsidRDefault="00E2214F" w:rsidP="0085737E">
      <w:pPr>
        <w:pStyle w:val="Textonotapie"/>
        <w:jc w:val="left"/>
        <w:rPr>
          <w:sz w:val="16"/>
          <w:szCs w:val="16"/>
        </w:rPr>
      </w:pPr>
      <w:r w:rsidRPr="00F7588F">
        <w:rPr>
          <w:rStyle w:val="Refdenotaalpie"/>
          <w:sz w:val="16"/>
          <w:szCs w:val="16"/>
        </w:rPr>
        <w:footnoteRef/>
      </w:r>
      <w:r w:rsidRPr="00F7588F">
        <w:rPr>
          <w:sz w:val="16"/>
          <w:szCs w:val="16"/>
        </w:rPr>
        <w:t xml:space="preserve"> </w:t>
      </w:r>
      <w:r w:rsidR="006D02A5" w:rsidRPr="006D02A5">
        <w:rPr>
          <w:sz w:val="16"/>
          <w:szCs w:val="16"/>
        </w:rPr>
        <w:t>http://www.grupoenergiadebogota.com/grupos-estrategicos/interconexion-para-el-desarrollo-de-mercados2/eeb</w:t>
      </w:r>
    </w:p>
  </w:footnote>
  <w:footnote w:id="19">
    <w:p w14:paraId="38A68909" w14:textId="321E8431" w:rsidR="00E2214F" w:rsidRPr="00F7588F" w:rsidRDefault="00E2214F" w:rsidP="0085737E">
      <w:pPr>
        <w:pStyle w:val="Textonotapie"/>
        <w:jc w:val="left"/>
      </w:pPr>
      <w:r w:rsidRPr="00F7588F">
        <w:rPr>
          <w:rStyle w:val="Refdenotaalpie"/>
          <w:sz w:val="16"/>
          <w:szCs w:val="16"/>
        </w:rPr>
        <w:footnoteRef/>
      </w:r>
      <w:r w:rsidRPr="00F7588F">
        <w:rPr>
          <w:sz w:val="16"/>
          <w:szCs w:val="16"/>
        </w:rPr>
        <w:t xml:space="preserve"> </w:t>
      </w:r>
      <w:r w:rsidR="006D02A5" w:rsidRPr="006D02A5">
        <w:rPr>
          <w:sz w:val="16"/>
          <w:szCs w:val="16"/>
        </w:rPr>
        <w:t>http://www.grupoenergiadebogota.com/grupos-estrategicos/interconexion-para-el-desarrollo-de-mercados2/tgi</w:t>
      </w:r>
    </w:p>
  </w:footnote>
  <w:footnote w:id="20">
    <w:p w14:paraId="67E3EE4A" w14:textId="28BA300F" w:rsidR="00E2214F" w:rsidRPr="00F7588F" w:rsidRDefault="00E2214F" w:rsidP="0085737E">
      <w:pPr>
        <w:ind w:right="51"/>
      </w:pPr>
      <w:r w:rsidRPr="00F7588F">
        <w:rPr>
          <w:rStyle w:val="Refdenotaalpie"/>
          <w:sz w:val="20"/>
        </w:rPr>
        <w:footnoteRef/>
      </w:r>
      <w:r w:rsidRPr="00F7588F">
        <w:rPr>
          <w:rStyle w:val="Refdenotaalpie"/>
          <w:sz w:val="20"/>
        </w:rPr>
        <w:t xml:space="preserve"> </w:t>
      </w:r>
      <w:r w:rsidR="006D02A5" w:rsidRPr="006D02A5">
        <w:rPr>
          <w:rFonts w:cs="Arial"/>
          <w:bCs/>
          <w:sz w:val="16"/>
          <w:szCs w:val="16"/>
        </w:rPr>
        <w:t>http://www.grupoenergiadebogota.com/grupos-estrategicos/interconexion-para-el-desarrollo-de-mercados2/trecsa</w:t>
      </w:r>
    </w:p>
  </w:footnote>
  <w:footnote w:id="21">
    <w:p w14:paraId="2E398CC9" w14:textId="606115D0" w:rsidR="00E2214F" w:rsidRPr="00F7588F" w:rsidRDefault="00E2214F" w:rsidP="0085737E">
      <w:pPr>
        <w:pStyle w:val="Textonotapie"/>
      </w:pPr>
      <w:r w:rsidRPr="00F7588F">
        <w:rPr>
          <w:rStyle w:val="Refdenotaalpie"/>
        </w:rPr>
        <w:footnoteRef/>
      </w:r>
      <w:r>
        <w:t xml:space="preserve"> </w:t>
      </w:r>
      <w:r w:rsidR="006D02A5" w:rsidRPr="006D02A5">
        <w:rPr>
          <w:rFonts w:cs="Arial"/>
          <w:bCs/>
          <w:sz w:val="16"/>
          <w:szCs w:val="16"/>
        </w:rPr>
        <w:t>http://www.grupoenergiadebogota.com/grupos-estrategicos/interconexion-para-el-desarrollo-de-mercados2/gebbras</w:t>
      </w:r>
    </w:p>
  </w:footnote>
  <w:footnote w:id="22">
    <w:p w14:paraId="70DAD72E" w14:textId="0BE4B7D6" w:rsidR="00E2214F" w:rsidRPr="00F7588F" w:rsidRDefault="00E2214F" w:rsidP="00032111">
      <w:pPr>
        <w:pStyle w:val="Textonotapie"/>
        <w:rPr>
          <w:sz w:val="16"/>
          <w:szCs w:val="16"/>
        </w:rPr>
      </w:pPr>
      <w:r w:rsidRPr="00F7588F">
        <w:rPr>
          <w:rStyle w:val="Refdenotaalpie"/>
          <w:sz w:val="16"/>
          <w:szCs w:val="16"/>
        </w:rPr>
        <w:footnoteRef/>
      </w:r>
      <w:r w:rsidRPr="00F7588F">
        <w:rPr>
          <w:sz w:val="16"/>
          <w:szCs w:val="16"/>
        </w:rPr>
        <w:t xml:space="preserve"> Grupo Energía de Bogotá (2016), “¿Quiénes somos?”, [en línea], disponible en: http://www.grupoenergiadebogota.com/informacion-corporativa/quienes-somos2</w:t>
      </w:r>
    </w:p>
  </w:footnote>
  <w:footnote w:id="23">
    <w:p w14:paraId="167DE996" w14:textId="4F953EF0" w:rsidR="00E2214F" w:rsidRPr="00F7588F" w:rsidRDefault="00E2214F" w:rsidP="0085737E">
      <w:pPr>
        <w:pStyle w:val="Textonotapie"/>
        <w:rPr>
          <w:sz w:val="16"/>
          <w:szCs w:val="16"/>
        </w:rPr>
      </w:pPr>
      <w:r w:rsidRPr="00F7588F">
        <w:rPr>
          <w:rStyle w:val="Refdenotaalpie"/>
          <w:sz w:val="16"/>
          <w:szCs w:val="16"/>
        </w:rPr>
        <w:footnoteRef/>
      </w:r>
      <w:r w:rsidRPr="00F7588F">
        <w:rPr>
          <w:sz w:val="16"/>
          <w:szCs w:val="16"/>
        </w:rPr>
        <w:t xml:space="preserve"> </w:t>
      </w:r>
      <w:r w:rsidR="006D02A5" w:rsidRPr="006D02A5">
        <w:rPr>
          <w:sz w:val="16"/>
          <w:szCs w:val="16"/>
        </w:rPr>
        <w:t>http://www.grupoenergiadebogota.com/grupos-estrategicos/generacion-de-baja-emision2/emgesa</w:t>
      </w:r>
    </w:p>
  </w:footnote>
  <w:footnote w:id="24">
    <w:p w14:paraId="7F659391" w14:textId="73F6ABBA"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Estudios Técnicos Proyecto de Acuerdo 472 de 2016. 18 de Octubre de 2016. Página 2.</w:t>
      </w:r>
    </w:p>
  </w:footnote>
  <w:footnote w:id="25">
    <w:p w14:paraId="12336634" w14:textId="7727A3FB"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sidRPr="00052A3B">
        <w:rPr>
          <w:sz w:val="16"/>
          <w:szCs w:val="16"/>
        </w:rPr>
        <w:t xml:space="preserve">Respuesta </w:t>
      </w:r>
      <w:r>
        <w:rPr>
          <w:sz w:val="16"/>
          <w:szCs w:val="16"/>
        </w:rPr>
        <w:t xml:space="preserve">EEB </w:t>
      </w:r>
      <w:r w:rsidRPr="00052A3B">
        <w:rPr>
          <w:sz w:val="16"/>
          <w:szCs w:val="16"/>
        </w:rPr>
        <w:t>Derecho de Petición 2016</w:t>
      </w:r>
      <w:r>
        <w:rPr>
          <w:sz w:val="16"/>
          <w:szCs w:val="16"/>
        </w:rPr>
        <w:t>EE14095</w:t>
      </w:r>
      <w:r w:rsidRPr="00052A3B">
        <w:rPr>
          <w:sz w:val="16"/>
          <w:szCs w:val="16"/>
        </w:rPr>
        <w:t>.</w:t>
      </w:r>
    </w:p>
  </w:footnote>
  <w:footnote w:id="26">
    <w:p w14:paraId="7776EC4A" w14:textId="11A9DEC0" w:rsidR="00E2214F" w:rsidRPr="00F7588F" w:rsidRDefault="00E2214F" w:rsidP="00C2455C">
      <w:pPr>
        <w:pStyle w:val="Textonotapie"/>
      </w:pPr>
      <w:r w:rsidRPr="00F7588F">
        <w:rPr>
          <w:rStyle w:val="Refdenotaalpie"/>
        </w:rPr>
        <w:footnoteRef/>
      </w:r>
      <w:r>
        <w:t xml:space="preserve"> </w:t>
      </w:r>
      <w:r w:rsidRPr="003C174C">
        <w:rPr>
          <w:sz w:val="16"/>
          <w:szCs w:val="16"/>
        </w:rPr>
        <w:t>ISA (2015), “Reporte Integrado de Gestión”, [en línea], disponible en:  http://www.isa.co/es/sala-de-prensa/Documents/nuestra-compania/informes-empresariales/15jun2016-reporte-integrado-de-gestion-isa-2015.pdf</w:t>
      </w:r>
    </w:p>
  </w:footnote>
  <w:footnote w:id="27">
    <w:p w14:paraId="2853DA0E" w14:textId="6515066B" w:rsidR="00E2214F" w:rsidRPr="003C174C" w:rsidRDefault="00E2214F" w:rsidP="00927098">
      <w:pPr>
        <w:pStyle w:val="Textonotapie"/>
        <w:jc w:val="left"/>
        <w:rPr>
          <w:sz w:val="16"/>
          <w:szCs w:val="16"/>
        </w:rPr>
      </w:pPr>
      <w:r w:rsidRPr="00F7588F">
        <w:rPr>
          <w:rStyle w:val="Refdenotaalpie"/>
          <w:sz w:val="16"/>
          <w:szCs w:val="16"/>
        </w:rPr>
        <w:footnoteRef/>
      </w:r>
      <w:r w:rsidRPr="00F7588F">
        <w:rPr>
          <w:sz w:val="16"/>
          <w:szCs w:val="16"/>
        </w:rPr>
        <w:t xml:space="preserve"> </w:t>
      </w:r>
      <w:r w:rsidRPr="003C174C">
        <w:rPr>
          <w:sz w:val="16"/>
          <w:szCs w:val="16"/>
        </w:rPr>
        <w:t>ISA (2015), “Reporte Integrado de Gestión”, [en línea], disponible en: http://www.isa.co/es/sala-de-prensa/Documents/nuestra-compania/informes-empresariales/15jun2016-reporte-integrado-de-gestion-isa-2015.pdf</w:t>
      </w:r>
    </w:p>
  </w:footnote>
  <w:footnote w:id="28">
    <w:p w14:paraId="33E118A3" w14:textId="6B6447C8" w:rsidR="00E2214F" w:rsidRPr="00F7588F" w:rsidRDefault="00E2214F" w:rsidP="00C2455C">
      <w:pPr>
        <w:pStyle w:val="Citadestacada"/>
        <w:ind w:left="0"/>
        <w:rPr>
          <w:sz w:val="20"/>
        </w:rPr>
      </w:pPr>
      <w:r w:rsidRPr="00F7588F">
        <w:rPr>
          <w:rStyle w:val="Refdenotaalpie"/>
          <w:szCs w:val="16"/>
        </w:rPr>
        <w:footnoteRef/>
      </w:r>
      <w:r w:rsidRPr="00F7588F">
        <w:rPr>
          <w:szCs w:val="16"/>
        </w:rPr>
        <w:t xml:space="preserve"> Estudios Técnicos Proyecto de Acuerdo 472 de 2016. 18 de Octubre de 2016. Página 113.</w:t>
      </w:r>
      <w:r w:rsidRPr="00F7588F">
        <w:rPr>
          <w:sz w:val="20"/>
        </w:rPr>
        <w:t xml:space="preserve">  </w:t>
      </w:r>
    </w:p>
  </w:footnote>
  <w:footnote w:id="29">
    <w:p w14:paraId="26F288FF" w14:textId="3F92F0F5" w:rsidR="00E2214F" w:rsidRPr="00F7588F" w:rsidRDefault="00E2214F" w:rsidP="001772B9">
      <w:pPr>
        <w:pStyle w:val="Citadestacada"/>
        <w:ind w:left="0"/>
      </w:pPr>
      <w:r w:rsidRPr="00F7588F">
        <w:rPr>
          <w:rStyle w:val="Refdenotaalpie"/>
        </w:rPr>
        <w:footnoteRef/>
      </w:r>
      <w:r w:rsidRPr="00F7588F">
        <w:t xml:space="preserve"> Estudios Técnicos Proyecto de Acuerdo 472 de 2016. 18 de Octubre de 2016. Página 122.  </w:t>
      </w:r>
    </w:p>
    <w:p w14:paraId="01DF8156" w14:textId="79C487C4" w:rsidR="00E2214F" w:rsidRPr="00F7588F" w:rsidRDefault="00E2214F">
      <w:pPr>
        <w:pStyle w:val="Textonotapie"/>
      </w:pPr>
    </w:p>
  </w:footnote>
  <w:footnote w:id="30">
    <w:p w14:paraId="5D7AFEFA" w14:textId="77777777"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sidRPr="00F7588F">
        <w:rPr>
          <w:rFonts w:cs="Arial"/>
          <w:color w:val="222222"/>
          <w:sz w:val="16"/>
          <w:szCs w:val="16"/>
          <w:shd w:val="clear" w:color="auto" w:fill="FFFFFF"/>
        </w:rPr>
        <w:t>El</w:t>
      </w:r>
      <w:r w:rsidRPr="00F7588F">
        <w:rPr>
          <w:sz w:val="16"/>
          <w:szCs w:val="16"/>
        </w:rPr>
        <w:t> </w:t>
      </w:r>
      <w:r w:rsidRPr="00F7588F">
        <w:rPr>
          <w:rFonts w:cs="Arial"/>
          <w:color w:val="222222"/>
          <w:sz w:val="16"/>
          <w:szCs w:val="16"/>
          <w:shd w:val="clear" w:color="auto" w:fill="FFFFFF"/>
        </w:rPr>
        <w:t>COLCAP</w:t>
      </w:r>
      <w:r w:rsidRPr="00F7588F">
        <w:rPr>
          <w:sz w:val="16"/>
          <w:szCs w:val="16"/>
        </w:rPr>
        <w:t> </w:t>
      </w:r>
      <w:r w:rsidRPr="00F7588F">
        <w:rPr>
          <w:rFonts w:cs="Arial"/>
          <w:color w:val="222222"/>
          <w:sz w:val="16"/>
          <w:szCs w:val="16"/>
          <w:shd w:val="clear" w:color="auto" w:fill="FFFFFF"/>
        </w:rPr>
        <w:t>es un indicador que refleja las variaciones de los precios de las 20 acciones más líquidas de la Bolsa de Valores de Colombia (BVC), donde el valor de la Capitalización Bursátil Ajustada de cada compañía determina su nivel de ponderación. A partir del 1 de noviembre de 2013, el COLCAP reemplazó al IGBC como el principal indicador del comportamiento del mercado accionario colombiano. Fuente: http://www.banrep.gov.co/es/igbc.</w:t>
      </w:r>
    </w:p>
  </w:footnote>
  <w:footnote w:id="31">
    <w:p w14:paraId="5294ADE3" w14:textId="040BBE90" w:rsidR="00E2214F" w:rsidRPr="00F7588F" w:rsidRDefault="00E2214F" w:rsidP="0031185B">
      <w:pPr>
        <w:pStyle w:val="Textonotapie"/>
      </w:pPr>
      <w:r w:rsidRPr="00F7588F">
        <w:rPr>
          <w:rStyle w:val="Refdenotaalpie"/>
          <w:sz w:val="16"/>
          <w:szCs w:val="16"/>
        </w:rPr>
        <w:footnoteRef/>
      </w:r>
      <w:r w:rsidRPr="00F7588F">
        <w:rPr>
          <w:sz w:val="16"/>
          <w:szCs w:val="16"/>
        </w:rPr>
        <w:t xml:space="preserve"> </w:t>
      </w:r>
      <w:r w:rsidRPr="003C174C">
        <w:rPr>
          <w:sz w:val="16"/>
          <w:szCs w:val="16"/>
        </w:rPr>
        <w:t>ISA (2015), “Reporte Integrado de Gestión”, [en línea], disponible en:</w:t>
      </w:r>
      <w:r>
        <w:rPr>
          <w:sz w:val="16"/>
          <w:szCs w:val="16"/>
        </w:rPr>
        <w:t xml:space="preserve"> </w:t>
      </w:r>
      <w:r w:rsidRPr="00F7588F">
        <w:rPr>
          <w:sz w:val="16"/>
          <w:szCs w:val="16"/>
        </w:rPr>
        <w:t>http://www.isa.co/es/sala-de-prensa/Documents/nuestra-compania/informes-empresariales/15jun2016-reporte-integrado-de-gestion-isa-2015.pdf</w:t>
      </w:r>
    </w:p>
  </w:footnote>
  <w:footnote w:id="32">
    <w:p w14:paraId="1E14D6AC" w14:textId="3C898A09" w:rsidR="00E2214F" w:rsidRPr="00B242BC" w:rsidRDefault="00E2214F">
      <w:pPr>
        <w:pStyle w:val="Textonotapie"/>
        <w:rPr>
          <w:sz w:val="16"/>
          <w:szCs w:val="16"/>
        </w:rPr>
      </w:pPr>
      <w:r w:rsidRPr="00F7588F">
        <w:rPr>
          <w:rStyle w:val="Refdenotaalpie"/>
        </w:rPr>
        <w:footnoteRef/>
      </w:r>
      <w:r w:rsidRPr="00F7588F">
        <w:t xml:space="preserve"> </w:t>
      </w:r>
      <w:r w:rsidRPr="00B242BC">
        <w:rPr>
          <w:sz w:val="16"/>
          <w:szCs w:val="16"/>
        </w:rPr>
        <w:t xml:space="preserve">Grupo </w:t>
      </w:r>
      <w:proofErr w:type="spellStart"/>
      <w:r w:rsidRPr="00B242BC">
        <w:rPr>
          <w:sz w:val="16"/>
          <w:szCs w:val="16"/>
        </w:rPr>
        <w:t>Nutresa</w:t>
      </w:r>
      <w:proofErr w:type="spellEnd"/>
      <w:r>
        <w:rPr>
          <w:sz w:val="16"/>
          <w:szCs w:val="16"/>
        </w:rPr>
        <w:t xml:space="preserve"> (2016)</w:t>
      </w:r>
      <w:r w:rsidRPr="00B242BC">
        <w:rPr>
          <w:sz w:val="16"/>
          <w:szCs w:val="16"/>
        </w:rPr>
        <w:t>, “PRESENTACIÓN CORPORATIVA / FACT SHEET”, [en línea], disponible en: http://www.gruponutresa.com/inversionistas/perfil-de-la-compania/presentacion-corporativa-fact-sheet/</w:t>
      </w:r>
    </w:p>
  </w:footnote>
  <w:footnote w:id="33">
    <w:p w14:paraId="207C53C3" w14:textId="57844C6B"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sidRPr="00B242BC">
        <w:rPr>
          <w:sz w:val="16"/>
          <w:szCs w:val="16"/>
        </w:rPr>
        <w:t xml:space="preserve">Grupo </w:t>
      </w:r>
      <w:proofErr w:type="spellStart"/>
      <w:r w:rsidRPr="00B242BC">
        <w:rPr>
          <w:sz w:val="16"/>
          <w:szCs w:val="16"/>
        </w:rPr>
        <w:t>Nutresa</w:t>
      </w:r>
      <w:proofErr w:type="spellEnd"/>
      <w:r>
        <w:rPr>
          <w:sz w:val="16"/>
          <w:szCs w:val="16"/>
        </w:rPr>
        <w:t xml:space="preserve"> (2015), “NUTRESA – 2015 RESULTADOS AÑO COMPLETO”, [en línea], disponible en: </w:t>
      </w:r>
      <w:r w:rsidRPr="00F7588F">
        <w:rPr>
          <w:sz w:val="16"/>
          <w:szCs w:val="16"/>
        </w:rPr>
        <w:t>http://www.gruponutresa.com/wp-content/uploads/2015/10/Comunicado-de-resultados-y-estados-financieros.pdf</w:t>
      </w:r>
    </w:p>
  </w:footnote>
  <w:footnote w:id="34">
    <w:p w14:paraId="5CA61A0F" w14:textId="202150C4" w:rsidR="00E2214F" w:rsidRPr="00F7588F" w:rsidRDefault="00E2214F" w:rsidP="00081025">
      <w:pPr>
        <w:pStyle w:val="Textonotapie"/>
        <w:rPr>
          <w:sz w:val="16"/>
          <w:szCs w:val="16"/>
        </w:rPr>
      </w:pPr>
      <w:r w:rsidRPr="00F7588F">
        <w:rPr>
          <w:rStyle w:val="Refdenotaalpie"/>
          <w:sz w:val="16"/>
          <w:szCs w:val="16"/>
        </w:rPr>
        <w:footnoteRef/>
      </w:r>
      <w:r w:rsidRPr="00F7588F">
        <w:rPr>
          <w:sz w:val="16"/>
          <w:szCs w:val="16"/>
        </w:rPr>
        <w:t xml:space="preserve"> Estudios Técnicos Proyecto de Acuerdo 472 de 2016. 18 de Octubre de 2016. Página 133.</w:t>
      </w:r>
    </w:p>
  </w:footnote>
  <w:footnote w:id="35">
    <w:p w14:paraId="6B429075" w14:textId="6602F898" w:rsidR="00E2214F" w:rsidRPr="00F7588F" w:rsidRDefault="00E2214F" w:rsidP="00081025">
      <w:pPr>
        <w:pStyle w:val="Textonotapie"/>
      </w:pPr>
      <w:r w:rsidRPr="00F7588F">
        <w:rPr>
          <w:rStyle w:val="Refdenotaalpie"/>
          <w:sz w:val="16"/>
          <w:szCs w:val="16"/>
        </w:rPr>
        <w:footnoteRef/>
      </w:r>
      <w:r w:rsidR="004C5818" w:rsidRPr="004C5818">
        <w:rPr>
          <w:sz w:val="16"/>
          <w:szCs w:val="16"/>
        </w:rPr>
        <w:t xml:space="preserve">Estudios Técnicos Proyecto de Acuerdo 472 de 2016. 18 de Octubre de 2016. Página 125.  </w:t>
      </w:r>
    </w:p>
  </w:footnote>
  <w:footnote w:id="36">
    <w:p w14:paraId="13D5A33D" w14:textId="1FFC129A"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Pr>
          <w:sz w:val="16"/>
          <w:szCs w:val="16"/>
        </w:rPr>
        <w:t>Grupo Sura (2016), “</w:t>
      </w:r>
      <w:r w:rsidRPr="00671E33">
        <w:rPr>
          <w:sz w:val="16"/>
          <w:szCs w:val="16"/>
        </w:rPr>
        <w:t>¡Bienvenido a Grupo SURA!</w:t>
      </w:r>
      <w:r>
        <w:rPr>
          <w:sz w:val="16"/>
          <w:szCs w:val="16"/>
        </w:rPr>
        <w:t xml:space="preserve">”, [en línea], disponible en: </w:t>
      </w:r>
      <w:r w:rsidRPr="00F7588F">
        <w:rPr>
          <w:sz w:val="16"/>
          <w:szCs w:val="16"/>
        </w:rPr>
        <w:t>https://www.gruposura.com/Informacion-para-Inversionistas/Paginas/default.aspx</w:t>
      </w:r>
    </w:p>
  </w:footnote>
  <w:footnote w:id="37">
    <w:p w14:paraId="08FCA7AB" w14:textId="4E12DF5A"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Pr>
          <w:sz w:val="16"/>
          <w:szCs w:val="16"/>
        </w:rPr>
        <w:t xml:space="preserve">Grupo Argos (2016), “Quiénes Somos”, [en línea], disponible en: </w:t>
      </w:r>
      <w:r w:rsidRPr="00F7588F">
        <w:rPr>
          <w:sz w:val="16"/>
          <w:szCs w:val="16"/>
        </w:rPr>
        <w:t>https://www.grupoargos.com/es-es/Quienes-Somos</w:t>
      </w:r>
    </w:p>
  </w:footnote>
  <w:footnote w:id="38">
    <w:p w14:paraId="73ACBEA1" w14:textId="2261E80E"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w:t>
      </w:r>
      <w:r>
        <w:rPr>
          <w:sz w:val="16"/>
          <w:szCs w:val="16"/>
        </w:rPr>
        <w:t xml:space="preserve">Banco Popular S.A. (2015), “INFORME DE GESTIÓN Y ESTADOS FINANCIEROS SEGUNDO SEMESTRE 2015”, [en línea], disponible en: </w:t>
      </w:r>
      <w:r w:rsidRPr="00F7588F">
        <w:rPr>
          <w:sz w:val="16"/>
          <w:szCs w:val="16"/>
        </w:rPr>
        <w:t>https://www.bancopopular.com.co/wps/wcm/connect/d27c5955-8f02-4ac3-8433-3f9e158f3b44/Informe-de-Gestion-y-EEFF-Banco-Popular-Diciembre-2015.pdf?MOD=AJPERES</w:t>
      </w:r>
    </w:p>
  </w:footnote>
  <w:footnote w:id="39">
    <w:p w14:paraId="451A1682" w14:textId="39D5B068" w:rsidR="00E2214F" w:rsidRPr="00F7588F" w:rsidRDefault="00E2214F">
      <w:pPr>
        <w:pStyle w:val="Textonotapie"/>
      </w:pPr>
      <w:r w:rsidRPr="00F7588F">
        <w:rPr>
          <w:rStyle w:val="Refdenotaalpie"/>
          <w:sz w:val="16"/>
          <w:szCs w:val="16"/>
        </w:rPr>
        <w:footnoteRef/>
      </w:r>
      <w:r w:rsidRPr="00F7588F">
        <w:rPr>
          <w:sz w:val="16"/>
          <w:szCs w:val="16"/>
        </w:rPr>
        <w:t xml:space="preserve"> </w:t>
      </w:r>
      <w:r>
        <w:rPr>
          <w:sz w:val="16"/>
          <w:szCs w:val="16"/>
        </w:rPr>
        <w:t>Banco Popular S.A. (2016), “</w:t>
      </w:r>
      <w:r w:rsidRPr="008A7045">
        <w:rPr>
          <w:sz w:val="16"/>
          <w:szCs w:val="16"/>
        </w:rPr>
        <w:t>Calificaciones de Riesgo de Deuda</w:t>
      </w:r>
      <w:r>
        <w:rPr>
          <w:sz w:val="16"/>
          <w:szCs w:val="16"/>
        </w:rPr>
        <w:t xml:space="preserve">”, [en línea], disponible en:  </w:t>
      </w:r>
      <w:r w:rsidRPr="00F7588F">
        <w:rPr>
          <w:sz w:val="16"/>
          <w:szCs w:val="16"/>
        </w:rPr>
        <w:t>https://www.bancopopular.com.co/wps/portal/popular/inicio/su-banco/informacion-institucional/calificacion-riesgo/</w:t>
      </w:r>
    </w:p>
  </w:footnote>
  <w:footnote w:id="40">
    <w:p w14:paraId="2F4625CE" w14:textId="021A2E13" w:rsidR="00E2214F" w:rsidRPr="00F7588F" w:rsidRDefault="00E2214F">
      <w:pPr>
        <w:pStyle w:val="Textonotapie"/>
        <w:rPr>
          <w:color w:val="FF0000"/>
        </w:rPr>
      </w:pPr>
      <w:r w:rsidRPr="00F7588F">
        <w:rPr>
          <w:rStyle w:val="Refdenotaalpie"/>
        </w:rPr>
        <w:footnoteRef/>
      </w:r>
      <w:r w:rsidRPr="00F7588F">
        <w:t xml:space="preserve"> </w:t>
      </w:r>
      <w:r w:rsidRPr="00F26C3B">
        <w:rPr>
          <w:sz w:val="16"/>
          <w:szCs w:val="16"/>
        </w:rPr>
        <w:t>Respuesta EEB Derecho de Petición 2016EE13353 y estudios Técnicos Proyecto de Acuerdo 472 de 2016. 18 de Octubre de 2016. Página 21.</w:t>
      </w:r>
      <w:r w:rsidRPr="00F7588F">
        <w:t xml:space="preserve">  </w:t>
      </w:r>
    </w:p>
  </w:footnote>
  <w:footnote w:id="41">
    <w:p w14:paraId="2D962256" w14:textId="43452EA5" w:rsidR="00E2214F" w:rsidRPr="00F7588F" w:rsidRDefault="00E2214F" w:rsidP="001F6790">
      <w:pPr>
        <w:pStyle w:val="Textonotapie"/>
        <w:jc w:val="left"/>
        <w:rPr>
          <w:sz w:val="16"/>
          <w:szCs w:val="16"/>
        </w:rPr>
      </w:pPr>
      <w:r w:rsidRPr="00F7588F">
        <w:rPr>
          <w:rStyle w:val="Refdenotaalpie"/>
          <w:sz w:val="16"/>
          <w:szCs w:val="16"/>
        </w:rPr>
        <w:footnoteRef/>
      </w:r>
      <w:r w:rsidRPr="00F7588F">
        <w:rPr>
          <w:sz w:val="16"/>
          <w:szCs w:val="16"/>
        </w:rPr>
        <w:t xml:space="preserve"> </w:t>
      </w:r>
      <w:r>
        <w:rPr>
          <w:sz w:val="16"/>
          <w:szCs w:val="16"/>
        </w:rPr>
        <w:t xml:space="preserve">Banco Popular S.A. (2015), “COMPOSICIÓN ACCIONARIA DEL BANCO POPULAR PRINCIPALES ACCIONISTAS AL 31 DE DICIEMBRE DE 2015”, [en línea], disponible en: </w:t>
      </w:r>
      <w:r w:rsidRPr="00F7588F">
        <w:rPr>
          <w:sz w:val="16"/>
          <w:szCs w:val="16"/>
        </w:rPr>
        <w:t>https://www.bancopopular.com.co/wps/wcm/connect/2d8e92fd-0883-4c5d-a9b7-da9d48e3135a/composicion-acc.pdf?MOD=AJPERES</w:t>
      </w:r>
    </w:p>
  </w:footnote>
  <w:footnote w:id="42">
    <w:p w14:paraId="78D1C6F0" w14:textId="56A71E8C" w:rsidR="00E2214F" w:rsidRPr="001B484F" w:rsidRDefault="00E2214F" w:rsidP="001B484F">
      <w:pPr>
        <w:pStyle w:val="Textonotapie"/>
        <w:rPr>
          <w:sz w:val="16"/>
          <w:szCs w:val="16"/>
        </w:rPr>
      </w:pPr>
      <w:r w:rsidRPr="00F7588F">
        <w:rPr>
          <w:rStyle w:val="Refdenotaalpie"/>
        </w:rPr>
        <w:footnoteRef/>
      </w:r>
      <w:proofErr w:type="spellStart"/>
      <w:r>
        <w:rPr>
          <w:sz w:val="16"/>
          <w:szCs w:val="16"/>
        </w:rPr>
        <w:t>Promigas</w:t>
      </w:r>
      <w:proofErr w:type="spellEnd"/>
      <w:r>
        <w:rPr>
          <w:sz w:val="16"/>
          <w:szCs w:val="16"/>
        </w:rPr>
        <w:t xml:space="preserve"> (2016),</w:t>
      </w:r>
      <w:r w:rsidRPr="001B484F">
        <w:rPr>
          <w:sz w:val="16"/>
          <w:szCs w:val="16"/>
        </w:rPr>
        <w:t xml:space="preserve"> “NUESTRA ORGANIZACIÓN”</w:t>
      </w:r>
      <w:r>
        <w:rPr>
          <w:sz w:val="16"/>
          <w:szCs w:val="16"/>
        </w:rPr>
        <w:t>,</w:t>
      </w:r>
      <w:r w:rsidRPr="001B484F">
        <w:rPr>
          <w:sz w:val="16"/>
          <w:szCs w:val="16"/>
        </w:rPr>
        <w:t xml:space="preserve"> [en línea</w:t>
      </w:r>
      <w:r>
        <w:rPr>
          <w:sz w:val="16"/>
          <w:szCs w:val="16"/>
        </w:rPr>
        <w:t xml:space="preserve">], disponible en: </w:t>
      </w:r>
      <w:r w:rsidRPr="001B484F">
        <w:rPr>
          <w:sz w:val="16"/>
          <w:szCs w:val="16"/>
        </w:rPr>
        <w:t>http://www.promigas.com/Es/Nosotros/Paginas/default.aspx</w:t>
      </w:r>
    </w:p>
  </w:footnote>
  <w:footnote w:id="43">
    <w:p w14:paraId="22C9EBFC" w14:textId="707CA301" w:rsidR="00E2214F" w:rsidRPr="001B484F" w:rsidRDefault="00E2214F" w:rsidP="00B24490">
      <w:pPr>
        <w:pStyle w:val="Textonotapie"/>
        <w:rPr>
          <w:sz w:val="16"/>
          <w:szCs w:val="16"/>
        </w:rPr>
      </w:pPr>
      <w:r w:rsidRPr="00F7588F">
        <w:rPr>
          <w:rStyle w:val="Refdenotaalpie"/>
        </w:rPr>
        <w:footnoteRef/>
      </w:r>
      <w:r w:rsidRPr="00F7588F">
        <w:t xml:space="preserve"> </w:t>
      </w:r>
      <w:proofErr w:type="spellStart"/>
      <w:r w:rsidRPr="001B484F">
        <w:rPr>
          <w:sz w:val="16"/>
          <w:szCs w:val="16"/>
        </w:rPr>
        <w:t>Promigas</w:t>
      </w:r>
      <w:proofErr w:type="spellEnd"/>
      <w:r w:rsidRPr="001B484F">
        <w:rPr>
          <w:sz w:val="16"/>
          <w:szCs w:val="16"/>
        </w:rPr>
        <w:t xml:space="preserve"> (2016), </w:t>
      </w:r>
      <w:r>
        <w:rPr>
          <w:sz w:val="16"/>
          <w:szCs w:val="16"/>
        </w:rPr>
        <w:t>“</w:t>
      </w:r>
      <w:r w:rsidRPr="001B484F">
        <w:rPr>
          <w:sz w:val="16"/>
          <w:szCs w:val="16"/>
        </w:rPr>
        <w:t>DISTRIBUCIÓN DE GAS NATURAL”, [en línea], disponible en: http://www.promigas.com/Es/Negocios/Paginas/Distribucion-de-gas-natural.aspx</w:t>
      </w:r>
    </w:p>
  </w:footnote>
  <w:footnote w:id="44">
    <w:p w14:paraId="376EF3B2" w14:textId="79742B96" w:rsidR="00E2214F" w:rsidRPr="001B484F" w:rsidRDefault="00E2214F" w:rsidP="00B24490">
      <w:pPr>
        <w:pStyle w:val="Textonotapie"/>
        <w:rPr>
          <w:sz w:val="16"/>
          <w:szCs w:val="16"/>
        </w:rPr>
      </w:pPr>
      <w:r w:rsidRPr="00F7588F">
        <w:rPr>
          <w:rStyle w:val="Refdenotaalpie"/>
        </w:rPr>
        <w:footnoteRef/>
      </w:r>
      <w:r w:rsidRPr="00F7588F">
        <w:t xml:space="preserve"> </w:t>
      </w:r>
      <w:proofErr w:type="spellStart"/>
      <w:r w:rsidRPr="001B484F">
        <w:rPr>
          <w:sz w:val="16"/>
          <w:szCs w:val="16"/>
        </w:rPr>
        <w:t>Promigas</w:t>
      </w:r>
      <w:proofErr w:type="spellEnd"/>
      <w:r w:rsidRPr="001B484F">
        <w:rPr>
          <w:sz w:val="16"/>
          <w:szCs w:val="16"/>
        </w:rPr>
        <w:t xml:space="preserve"> (2016), “TRANSPORTE DE GAS NATURAL”, [en línea*, disponible en: http://www.promigas.com/Es/Negocios/Paginas/Tranporte-de-Gas-Natural.aspx</w:t>
      </w:r>
    </w:p>
  </w:footnote>
  <w:footnote w:id="45">
    <w:p w14:paraId="3687C2A4" w14:textId="0DFF8694" w:rsidR="00E2214F" w:rsidRPr="001B484F" w:rsidRDefault="00E2214F" w:rsidP="00B24490">
      <w:pPr>
        <w:pStyle w:val="Textonotapie"/>
        <w:rPr>
          <w:sz w:val="16"/>
          <w:szCs w:val="16"/>
        </w:rPr>
      </w:pPr>
      <w:r w:rsidRPr="00F7588F">
        <w:rPr>
          <w:rStyle w:val="Refdenotaalpie"/>
        </w:rPr>
        <w:footnoteRef/>
      </w:r>
      <w:r w:rsidRPr="00F7588F">
        <w:t xml:space="preserve"> </w:t>
      </w:r>
      <w:proofErr w:type="spellStart"/>
      <w:r w:rsidRPr="001B484F">
        <w:rPr>
          <w:sz w:val="16"/>
          <w:szCs w:val="16"/>
        </w:rPr>
        <w:t>Promigas</w:t>
      </w:r>
      <w:proofErr w:type="spellEnd"/>
      <w:r w:rsidRPr="001B484F">
        <w:rPr>
          <w:sz w:val="16"/>
          <w:szCs w:val="16"/>
        </w:rPr>
        <w:t xml:space="preserve"> (2016), “Crecer en Forma Rentable y Sostenible Acorde a Expectativas de Nuestros Accionistas”, [en línea], disponible en: http://gestion2015.promigas.com/nuestros-propositos/crecer-en-forma-rentable-y-sostenible-acorde-a-expectativas-de-nuestros-accionistas</w:t>
      </w:r>
    </w:p>
  </w:footnote>
  <w:footnote w:id="46">
    <w:p w14:paraId="611FB036" w14:textId="77777777" w:rsidR="00E2214F" w:rsidRPr="001B484F" w:rsidRDefault="00E2214F" w:rsidP="004863AF">
      <w:pPr>
        <w:pStyle w:val="Textonotapie"/>
        <w:rPr>
          <w:rFonts w:cs="Arial"/>
          <w:sz w:val="16"/>
          <w:szCs w:val="16"/>
        </w:rPr>
      </w:pPr>
      <w:r w:rsidRPr="00F7588F">
        <w:rPr>
          <w:rStyle w:val="Refdenotaalpie"/>
          <w:rFonts w:asciiTheme="minorHAnsi" w:eastAsiaTheme="majorEastAsia" w:hAnsiTheme="minorHAnsi"/>
        </w:rPr>
        <w:footnoteRef/>
      </w:r>
      <w:r w:rsidRPr="00F7588F">
        <w:rPr>
          <w:rFonts w:asciiTheme="minorHAnsi" w:hAnsiTheme="minorHAnsi"/>
        </w:rPr>
        <w:t xml:space="preserve"> </w:t>
      </w:r>
      <w:r w:rsidRPr="001B484F">
        <w:rPr>
          <w:rFonts w:cs="Arial"/>
          <w:sz w:val="16"/>
          <w:szCs w:val="16"/>
        </w:rPr>
        <w:t xml:space="preserve">EEB adquirió el 30% de la participación que el Fondo </w:t>
      </w:r>
      <w:proofErr w:type="spellStart"/>
      <w:r w:rsidRPr="001B484F">
        <w:rPr>
          <w:rFonts w:cs="Arial"/>
          <w:sz w:val="16"/>
          <w:szCs w:val="16"/>
        </w:rPr>
        <w:t>Ashmore</w:t>
      </w:r>
      <w:proofErr w:type="spellEnd"/>
      <w:r w:rsidRPr="001B484F">
        <w:rPr>
          <w:rFonts w:cs="Arial"/>
          <w:sz w:val="16"/>
          <w:szCs w:val="16"/>
        </w:rPr>
        <w:t xml:space="preserve"> tenía en </w:t>
      </w:r>
      <w:proofErr w:type="spellStart"/>
      <w:r w:rsidRPr="001B484F">
        <w:rPr>
          <w:rFonts w:cs="Arial"/>
          <w:sz w:val="16"/>
          <w:szCs w:val="16"/>
        </w:rPr>
        <w:t>Promigas</w:t>
      </w:r>
      <w:proofErr w:type="spellEnd"/>
      <w:r w:rsidRPr="001B484F">
        <w:rPr>
          <w:rFonts w:cs="Arial"/>
          <w:sz w:val="16"/>
          <w:szCs w:val="16"/>
        </w:rPr>
        <w:t xml:space="preserve"> S.A. E.S.P. (52.13%). La participación restante fue adquirida por </w:t>
      </w:r>
      <w:proofErr w:type="spellStart"/>
      <w:r w:rsidRPr="001B484F">
        <w:rPr>
          <w:rFonts w:cs="Arial"/>
          <w:sz w:val="16"/>
          <w:szCs w:val="16"/>
          <w:lang w:eastAsia="es-CO"/>
        </w:rPr>
        <w:t>Corficolombiana</w:t>
      </w:r>
      <w:proofErr w:type="spellEnd"/>
      <w:r w:rsidRPr="001B484F">
        <w:rPr>
          <w:rFonts w:cs="Arial"/>
          <w:sz w:val="16"/>
          <w:szCs w:val="16"/>
          <w:lang w:eastAsia="es-CO"/>
        </w:rPr>
        <w:t xml:space="preserve"> (20.3%), FCP Corredores (47.9%) y FCP </w:t>
      </w:r>
      <w:proofErr w:type="spellStart"/>
      <w:r w:rsidRPr="001B484F">
        <w:rPr>
          <w:rFonts w:cs="Arial"/>
          <w:sz w:val="16"/>
          <w:szCs w:val="16"/>
          <w:lang w:eastAsia="es-CO"/>
        </w:rPr>
        <w:t>Correval</w:t>
      </w:r>
      <w:proofErr w:type="spellEnd"/>
      <w:r w:rsidRPr="001B484F">
        <w:rPr>
          <w:rFonts w:cs="Arial"/>
          <w:sz w:val="16"/>
          <w:szCs w:val="16"/>
          <w:lang w:eastAsia="es-CO"/>
        </w:rPr>
        <w:t xml:space="preserve"> (1.8%).</w:t>
      </w:r>
    </w:p>
  </w:footnote>
  <w:footnote w:id="47">
    <w:p w14:paraId="790A1240" w14:textId="764F267C"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Estudios Técnicos Proyecto de Acuerdo 472 de 2016. 18 de Octubre de 2016. Página 99  </w:t>
      </w:r>
    </w:p>
  </w:footnote>
  <w:footnote w:id="48">
    <w:p w14:paraId="17B7DF96" w14:textId="50A9BA3C" w:rsidR="00E2214F" w:rsidRPr="00F7588F" w:rsidRDefault="00E2214F" w:rsidP="00401CF3">
      <w:pPr>
        <w:pStyle w:val="Textonotapie"/>
        <w:rPr>
          <w:sz w:val="16"/>
          <w:szCs w:val="16"/>
        </w:rPr>
      </w:pPr>
      <w:r w:rsidRPr="00F7588F">
        <w:rPr>
          <w:rStyle w:val="Refdenotaalpie"/>
          <w:sz w:val="16"/>
          <w:szCs w:val="16"/>
        </w:rPr>
        <w:footnoteRef/>
      </w:r>
      <w:r w:rsidRPr="00F7588F">
        <w:rPr>
          <w:sz w:val="16"/>
          <w:szCs w:val="16"/>
        </w:rPr>
        <w:t xml:space="preserve"> ROE: Retorno del patrimonio (</w:t>
      </w:r>
      <w:proofErr w:type="spellStart"/>
      <w:r w:rsidRPr="00F7588F">
        <w:rPr>
          <w:sz w:val="16"/>
          <w:szCs w:val="16"/>
        </w:rPr>
        <w:t>Return</w:t>
      </w:r>
      <w:proofErr w:type="spellEnd"/>
      <w:r w:rsidRPr="00F7588F">
        <w:rPr>
          <w:sz w:val="16"/>
          <w:szCs w:val="16"/>
        </w:rPr>
        <w:t xml:space="preserve"> </w:t>
      </w:r>
      <w:proofErr w:type="spellStart"/>
      <w:r w:rsidRPr="00F7588F">
        <w:rPr>
          <w:sz w:val="16"/>
          <w:szCs w:val="16"/>
        </w:rPr>
        <w:t>on</w:t>
      </w:r>
      <w:proofErr w:type="spellEnd"/>
      <w:r w:rsidRPr="00F7588F">
        <w:rPr>
          <w:sz w:val="16"/>
          <w:szCs w:val="16"/>
        </w:rPr>
        <w:t xml:space="preserve"> </w:t>
      </w:r>
      <w:proofErr w:type="spellStart"/>
      <w:r w:rsidRPr="00F7588F">
        <w:rPr>
          <w:sz w:val="16"/>
          <w:szCs w:val="16"/>
        </w:rPr>
        <w:t>Equity</w:t>
      </w:r>
      <w:proofErr w:type="spellEnd"/>
      <w:r w:rsidRPr="00F7588F">
        <w:rPr>
          <w:sz w:val="16"/>
          <w:szCs w:val="16"/>
        </w:rPr>
        <w:t xml:space="preserve"> por sus siglas en inglés). Indicador financiero que mide la rentabilidad sobre patrimonio de una empresa.</w:t>
      </w:r>
    </w:p>
  </w:footnote>
  <w:footnote w:id="49">
    <w:p w14:paraId="56F45556" w14:textId="08BF8092" w:rsidR="00E2214F" w:rsidRDefault="00E2214F">
      <w:pPr>
        <w:pStyle w:val="Textonotapie"/>
      </w:pPr>
      <w:r>
        <w:rPr>
          <w:rStyle w:val="Refdenotaalpie"/>
        </w:rPr>
        <w:footnoteRef/>
      </w:r>
      <w:r>
        <w:t xml:space="preserve"> </w:t>
      </w:r>
      <w:r w:rsidRPr="00052A3B">
        <w:rPr>
          <w:sz w:val="16"/>
          <w:szCs w:val="16"/>
        </w:rPr>
        <w:t xml:space="preserve">Respuesta </w:t>
      </w:r>
      <w:r>
        <w:rPr>
          <w:sz w:val="16"/>
          <w:szCs w:val="16"/>
        </w:rPr>
        <w:t xml:space="preserve">EEB </w:t>
      </w:r>
      <w:r w:rsidRPr="00052A3B">
        <w:rPr>
          <w:sz w:val="16"/>
          <w:szCs w:val="16"/>
        </w:rPr>
        <w:t>Derecho de Petición 2016</w:t>
      </w:r>
      <w:r>
        <w:rPr>
          <w:sz w:val="16"/>
          <w:szCs w:val="16"/>
        </w:rPr>
        <w:t>EE14095</w:t>
      </w:r>
      <w:r w:rsidRPr="00052A3B">
        <w:rPr>
          <w:sz w:val="16"/>
          <w:szCs w:val="16"/>
        </w:rPr>
        <w:t>.</w:t>
      </w:r>
    </w:p>
  </w:footnote>
  <w:footnote w:id="50">
    <w:p w14:paraId="04093A6A" w14:textId="77777777" w:rsidR="00E2214F" w:rsidRPr="00F7588F" w:rsidRDefault="00E2214F">
      <w:pPr>
        <w:pStyle w:val="Textonotapie"/>
      </w:pPr>
      <w:r w:rsidRPr="00F7588F">
        <w:rPr>
          <w:rStyle w:val="Refdenotaalpie"/>
        </w:rPr>
        <w:footnoteRef/>
      </w:r>
      <w:r w:rsidRPr="00F7588F">
        <w:t xml:space="preserve"> </w:t>
      </w:r>
      <w:proofErr w:type="spellStart"/>
      <w:r w:rsidRPr="00F7588F">
        <w:t>Promigas</w:t>
      </w:r>
      <w:proofErr w:type="spellEnd"/>
      <w:r w:rsidRPr="00F7588F">
        <w:t>. Informe del sector Gas Natural 2014. Pg. 59</w:t>
      </w:r>
    </w:p>
  </w:footnote>
  <w:footnote w:id="51">
    <w:p w14:paraId="71129B78" w14:textId="4214D8B9" w:rsidR="00E2214F" w:rsidRPr="00F7588F" w:rsidRDefault="00E2214F">
      <w:pPr>
        <w:pStyle w:val="Textonotapie"/>
        <w:rPr>
          <w:sz w:val="16"/>
          <w:szCs w:val="16"/>
        </w:rPr>
      </w:pPr>
      <w:r w:rsidRPr="00F7588F">
        <w:rPr>
          <w:rStyle w:val="Refdenotaalpie"/>
          <w:sz w:val="16"/>
          <w:szCs w:val="16"/>
        </w:rPr>
        <w:footnoteRef/>
      </w:r>
      <w:r w:rsidRPr="00F7588F">
        <w:rPr>
          <w:sz w:val="16"/>
          <w:szCs w:val="16"/>
        </w:rPr>
        <w:t xml:space="preserve"> Estudios Técnicos P</w:t>
      </w:r>
      <w:r>
        <w:rPr>
          <w:sz w:val="16"/>
          <w:szCs w:val="16"/>
        </w:rPr>
        <w:t xml:space="preserve">royecto de </w:t>
      </w:r>
      <w:r w:rsidRPr="00F7588F">
        <w:rPr>
          <w:sz w:val="16"/>
          <w:szCs w:val="16"/>
        </w:rPr>
        <w:t>A</w:t>
      </w:r>
      <w:r>
        <w:rPr>
          <w:sz w:val="16"/>
          <w:szCs w:val="16"/>
        </w:rPr>
        <w:t>cuerdo</w:t>
      </w:r>
      <w:r w:rsidRPr="00F7588F">
        <w:rPr>
          <w:sz w:val="16"/>
          <w:szCs w:val="16"/>
        </w:rPr>
        <w:t xml:space="preserve"> - 472. Págs. 109 a 110.</w:t>
      </w:r>
    </w:p>
  </w:footnote>
  <w:footnote w:id="52">
    <w:p w14:paraId="2D77B339" w14:textId="568DD905" w:rsidR="00E2214F" w:rsidRPr="00F7588F" w:rsidRDefault="00E2214F" w:rsidP="00F87788">
      <w:pPr>
        <w:pStyle w:val="Citadestacada"/>
        <w:ind w:left="0"/>
      </w:pPr>
      <w:r w:rsidRPr="00F7588F">
        <w:rPr>
          <w:rStyle w:val="Refdenotaalpie"/>
        </w:rPr>
        <w:footnoteRef/>
      </w:r>
      <w:r w:rsidRPr="00F7588F">
        <w:t xml:space="preserve"> Estudios Técnicos Proyecto de Acuerdo 472 de 2016. 18 de Octubre de 2016. Página 145.  </w:t>
      </w:r>
    </w:p>
    <w:p w14:paraId="7529AD99" w14:textId="1E2BE8FC" w:rsidR="00E2214F" w:rsidRPr="00F7588F" w:rsidRDefault="00E2214F">
      <w:pPr>
        <w:pStyle w:val="Textonotapie"/>
      </w:pPr>
    </w:p>
  </w:footnote>
  <w:footnote w:id="53">
    <w:p w14:paraId="1FD51810" w14:textId="46820182" w:rsidR="00E2214F" w:rsidRPr="00F7588F" w:rsidRDefault="00E2214F" w:rsidP="007C0018">
      <w:pPr>
        <w:pStyle w:val="Textonotapie"/>
      </w:pPr>
      <w:r w:rsidRPr="00F7588F">
        <w:rPr>
          <w:rStyle w:val="Refdenotaalpie"/>
        </w:rPr>
        <w:footnoteRef/>
      </w:r>
      <w:r w:rsidRPr="00F7588F">
        <w:t xml:space="preserve"> </w:t>
      </w:r>
      <w:r>
        <w:t>Concejo de Bogotá D.C. (2016), “</w:t>
      </w:r>
      <w:r w:rsidRPr="00F7588F">
        <w:t>Sesión Comisión Tercera de Hacienda</w:t>
      </w:r>
      <w:r>
        <w:t xml:space="preserve"> y Crédito Público Minuto 35:12”, [en línea], disponible en: </w:t>
      </w:r>
      <w:hyperlink r:id="rId1" w:history="1">
        <w:r w:rsidRPr="00F7588F">
          <w:rPr>
            <w:rStyle w:val="Hipervnculo"/>
          </w:rPr>
          <w:t>https://www.youtube.com/watch?v=QRYpHA884H4</w:t>
        </w:r>
      </w:hyperlink>
      <w:r>
        <w:t xml:space="preserve">. </w:t>
      </w:r>
    </w:p>
  </w:footnote>
  <w:footnote w:id="54">
    <w:p w14:paraId="5B66F3A6" w14:textId="0EB882FF" w:rsidR="00E2214F" w:rsidRPr="00F7588F" w:rsidRDefault="00E2214F">
      <w:pPr>
        <w:pStyle w:val="Textonotapie"/>
      </w:pPr>
      <w:r w:rsidRPr="00F7588F">
        <w:rPr>
          <w:rStyle w:val="Refdenotaalpie"/>
        </w:rPr>
        <w:footnoteRef/>
      </w:r>
      <w:r w:rsidRPr="00F7588F">
        <w:t xml:space="preserve"> Presentación 211016_Enajenaciòn_participaciones_EEB. Red Interna del Concejo. Sonido Sesiones. Presentaciones.21-10-2016</w:t>
      </w:r>
    </w:p>
  </w:footnote>
  <w:footnote w:id="55">
    <w:p w14:paraId="515D1E12" w14:textId="464694A2" w:rsidR="00E2214F" w:rsidRPr="00F7588F" w:rsidRDefault="00E2214F">
      <w:pPr>
        <w:pStyle w:val="Textonotapie"/>
      </w:pPr>
      <w:r w:rsidRPr="00F7588F">
        <w:rPr>
          <w:rStyle w:val="Refdenotaalpie"/>
        </w:rPr>
        <w:footnoteRef/>
      </w:r>
      <w:r>
        <w:t xml:space="preserve"> Concejo de Bogotá D.C. (2016), “</w:t>
      </w:r>
      <w:r w:rsidRPr="00F7588F">
        <w:t>Sesión Comisión Tercera de Hacienda</w:t>
      </w:r>
      <w:r>
        <w:t xml:space="preserve"> y Crédito Público Minuto 59:49”, [en línea], disponible en: </w:t>
      </w:r>
      <w:r w:rsidRPr="00F7588F">
        <w:t xml:space="preserve"> </w:t>
      </w:r>
      <w:hyperlink r:id="rId2" w:history="1">
        <w:r w:rsidRPr="00F7588F">
          <w:rPr>
            <w:rStyle w:val="Hipervnculo"/>
          </w:rPr>
          <w:t>https://www.youtube.com/watch?v=QRYpHA884H4</w:t>
        </w:r>
      </w:hyperlink>
      <w:r>
        <w:t xml:space="preserve">. </w:t>
      </w:r>
    </w:p>
  </w:footnote>
  <w:footnote w:id="56">
    <w:p w14:paraId="3D787D26" w14:textId="7EFB5240" w:rsidR="00E2214F" w:rsidRPr="00F7588F" w:rsidRDefault="00E2214F" w:rsidP="00735685">
      <w:pPr>
        <w:pStyle w:val="Textonotapie"/>
      </w:pPr>
      <w:r w:rsidRPr="00F7588F">
        <w:rPr>
          <w:rStyle w:val="Refdenotaalpie"/>
        </w:rPr>
        <w:footnoteRef/>
      </w:r>
      <w:r w:rsidRPr="00F7588F">
        <w:t xml:space="preserve"> Presentación Negocio del Gas v2. Red Interna del Concejo. Sonido Sesiones. Presentaciones.21-10-2016</w:t>
      </w:r>
    </w:p>
    <w:p w14:paraId="7F04AFB8" w14:textId="41615661" w:rsidR="00E2214F" w:rsidRPr="00F7588F" w:rsidRDefault="00E2214F">
      <w:pPr>
        <w:pStyle w:val="Textonotapie"/>
      </w:pPr>
    </w:p>
  </w:footnote>
  <w:footnote w:id="57">
    <w:p w14:paraId="2FD225B5" w14:textId="2BEA259C" w:rsidR="00E2214F" w:rsidRPr="00F7588F" w:rsidRDefault="00E2214F">
      <w:pPr>
        <w:pStyle w:val="Textonotapie"/>
      </w:pPr>
      <w:r w:rsidRPr="00F7588F">
        <w:rPr>
          <w:rStyle w:val="Refdenotaalpie"/>
        </w:rPr>
        <w:footnoteRef/>
      </w:r>
      <w:r>
        <w:t xml:space="preserve"> Concejo de Bogotá D.C. (2016), “</w:t>
      </w:r>
      <w:r w:rsidRPr="00F7588F">
        <w:t>Sesión Comisión Tercera de Hacienda</w:t>
      </w:r>
      <w:r>
        <w:t xml:space="preserve"> y Crédito Público </w:t>
      </w:r>
      <w:r w:rsidRPr="00F7588F">
        <w:t>1:22:00</w:t>
      </w:r>
      <w:r>
        <w:t>, [en línea], disponible en:</w:t>
      </w:r>
      <w:r w:rsidRPr="00F7588F">
        <w:t xml:space="preserve"> </w:t>
      </w:r>
      <w:hyperlink r:id="rId3" w:history="1">
        <w:r w:rsidRPr="00F7588F">
          <w:rPr>
            <w:rStyle w:val="Hipervnculo"/>
          </w:rPr>
          <w:t>https://www.youtube.com/watch?v=QRYpHA884H4</w:t>
        </w:r>
      </w:hyperlink>
      <w:r>
        <w:t xml:space="preserve">. </w:t>
      </w:r>
    </w:p>
  </w:footnote>
  <w:footnote w:id="58">
    <w:p w14:paraId="7E54CCAC" w14:textId="75812D01" w:rsidR="00E2214F" w:rsidRPr="00F7588F" w:rsidRDefault="00E2214F">
      <w:pPr>
        <w:pStyle w:val="Textonotapie"/>
      </w:pPr>
      <w:r w:rsidRPr="00F7588F">
        <w:rPr>
          <w:rStyle w:val="Refdenotaalpie"/>
        </w:rPr>
        <w:footnoteRef/>
      </w:r>
      <w:r w:rsidRPr="00F7588F">
        <w:t xml:space="preserve"> </w:t>
      </w:r>
      <w:r>
        <w:t>Concejo de Bogotá D.C. (2016), “</w:t>
      </w:r>
      <w:r w:rsidRPr="00F7588F">
        <w:t>Sesión Comisión Tercera de Hacienda</w:t>
      </w:r>
      <w:r>
        <w:t xml:space="preserve"> y Crédito Público”, [en línea], disponible en: </w:t>
      </w:r>
      <w:hyperlink r:id="rId4" w:history="1">
        <w:r w:rsidRPr="00F7588F">
          <w:rPr>
            <w:rStyle w:val="Hipervnculo"/>
          </w:rPr>
          <w:t>https://www.youtube.com/watch?v=QRYpHA884H4</w:t>
        </w:r>
      </w:hyperlink>
      <w:r>
        <w:t>.</w:t>
      </w:r>
    </w:p>
  </w:footnote>
  <w:footnote w:id="59">
    <w:p w14:paraId="7B8CCDC9" w14:textId="77777777" w:rsidR="00E2214F" w:rsidRPr="00F167DE" w:rsidRDefault="00E2214F" w:rsidP="00C77C2B">
      <w:pPr>
        <w:pStyle w:val="Textonotapie"/>
        <w:rPr>
          <w:lang w:val="es-CO"/>
        </w:rPr>
      </w:pPr>
      <w:r>
        <w:rPr>
          <w:rStyle w:val="Refdenotaalpie"/>
        </w:rPr>
        <w:footnoteRef/>
      </w:r>
      <w:r>
        <w:t xml:space="preserve"> Colombia, Concejo de Estado, Sala de lo Contencioso Administrativo, Sección Cuarta (2015, Septiembre), Sentencia, Rad: 21025, C.P.: </w:t>
      </w:r>
      <w:r w:rsidRPr="005A3CA4">
        <w:t>Hugo Fernando</w:t>
      </w:r>
      <w:r>
        <w:t xml:space="preserve"> Bastidas </w:t>
      </w:r>
      <w:proofErr w:type="spellStart"/>
      <w:r>
        <w:t>B</w:t>
      </w:r>
      <w:r w:rsidRPr="005A3CA4">
        <w:t>arcenas</w:t>
      </w:r>
      <w:proofErr w:type="spellEnd"/>
      <w:r>
        <w:t>, Bogotá.</w:t>
      </w:r>
    </w:p>
  </w:footnote>
  <w:footnote w:id="60">
    <w:p w14:paraId="35629AF3" w14:textId="77777777" w:rsidR="00E2214F" w:rsidRPr="006B035B" w:rsidRDefault="00E2214F" w:rsidP="00C77C2B">
      <w:pPr>
        <w:pStyle w:val="Textonotapie"/>
      </w:pPr>
      <w:r>
        <w:rPr>
          <w:rStyle w:val="Refdenotaalpie"/>
        </w:rPr>
        <w:footnoteRef/>
      </w:r>
      <w:r>
        <w:t xml:space="preserve"> Colombia, Concejo de Estado, Sala de lo Contencioso Administrativo, Sección Tercera (2011, Mayo), Sentencia, Rad: </w:t>
      </w:r>
      <w:r w:rsidRPr="006B035B">
        <w:t xml:space="preserve">23650, C.P.: </w:t>
      </w:r>
      <w:r>
        <w:t>Ruth Stella C</w:t>
      </w:r>
      <w:r w:rsidRPr="006B035B">
        <w:t xml:space="preserve">orrea </w:t>
      </w:r>
      <w:r>
        <w:t>P</w:t>
      </w:r>
      <w:r w:rsidRPr="006B035B">
        <w:t>alacio</w:t>
      </w:r>
      <w:r>
        <w:t>, Bogotá.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766D0" w14:textId="77777777" w:rsidR="00E2214F" w:rsidRDefault="00E221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70" w:type="dxa"/>
        <w:right w:w="70" w:type="dxa"/>
      </w:tblCellMar>
      <w:tblLook w:val="0000" w:firstRow="0" w:lastRow="0" w:firstColumn="0" w:lastColumn="0" w:noHBand="0" w:noVBand="0"/>
    </w:tblPr>
    <w:tblGrid>
      <w:gridCol w:w="2401"/>
      <w:gridCol w:w="4307"/>
      <w:gridCol w:w="2272"/>
    </w:tblGrid>
    <w:tr w:rsidR="00E2214F" w14:paraId="6E8113ED" w14:textId="77777777" w:rsidTr="00851E51">
      <w:trPr>
        <w:trHeight w:val="454"/>
      </w:trPr>
      <w:tc>
        <w:tcPr>
          <w:tcW w:w="1337" w:type="pct"/>
          <w:vMerge w:val="restart"/>
          <w:tcBorders>
            <w:top w:val="single" w:sz="4" w:space="0" w:color="auto"/>
            <w:left w:val="single" w:sz="4" w:space="0" w:color="auto"/>
            <w:right w:val="single" w:sz="4" w:space="0" w:color="auto"/>
          </w:tcBorders>
          <w:vAlign w:val="center"/>
        </w:tcPr>
        <w:p w14:paraId="6616A360" w14:textId="77777777" w:rsidR="00E2214F" w:rsidRPr="00F545F8" w:rsidRDefault="00E2214F" w:rsidP="002D294D">
          <w:pPr>
            <w:jc w:val="center"/>
            <w:rPr>
              <w:rFonts w:cs="Arial"/>
              <w:i/>
              <w:sz w:val="16"/>
              <w:szCs w:val="16"/>
            </w:rPr>
          </w:pPr>
        </w:p>
      </w:tc>
      <w:tc>
        <w:tcPr>
          <w:tcW w:w="2398" w:type="pct"/>
          <w:tcBorders>
            <w:top w:val="single" w:sz="4" w:space="0" w:color="auto"/>
            <w:left w:val="nil"/>
            <w:bottom w:val="single" w:sz="4" w:space="0" w:color="auto"/>
            <w:right w:val="single" w:sz="4" w:space="0" w:color="auto"/>
          </w:tcBorders>
          <w:vAlign w:val="center"/>
        </w:tcPr>
        <w:p w14:paraId="0D868CD2" w14:textId="77777777" w:rsidR="00E2214F" w:rsidRPr="007E0E2F" w:rsidRDefault="00E2214F" w:rsidP="002D294D">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14:paraId="7DD4F9D3" w14:textId="77777777" w:rsidR="00E2214F" w:rsidRPr="00EA3A02" w:rsidRDefault="00E2214F" w:rsidP="002D294D">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w:t>
          </w:r>
          <w:r>
            <w:rPr>
              <w:rFonts w:cs="Arial"/>
              <w:sz w:val="16"/>
              <w:szCs w:val="16"/>
            </w:rPr>
            <w:t xml:space="preserve"> </w:t>
          </w:r>
          <w:r w:rsidRPr="00920985">
            <w:rPr>
              <w:rFonts w:cs="Arial"/>
              <w:sz w:val="16"/>
              <w:szCs w:val="16"/>
            </w:rPr>
            <w:t>FO</w:t>
          </w:r>
          <w:r>
            <w:rPr>
              <w:rFonts w:cs="Arial"/>
              <w:sz w:val="16"/>
              <w:szCs w:val="16"/>
            </w:rPr>
            <w:t>2</w:t>
          </w:r>
        </w:p>
      </w:tc>
    </w:tr>
    <w:tr w:rsidR="00E2214F" w14:paraId="2C79E2C1" w14:textId="77777777" w:rsidTr="00851E51">
      <w:trPr>
        <w:trHeight w:val="454"/>
      </w:trPr>
      <w:tc>
        <w:tcPr>
          <w:tcW w:w="1337" w:type="pct"/>
          <w:vMerge/>
          <w:tcBorders>
            <w:left w:val="single" w:sz="4" w:space="0" w:color="auto"/>
            <w:right w:val="single" w:sz="4" w:space="0" w:color="auto"/>
          </w:tcBorders>
          <w:vAlign w:val="center"/>
        </w:tcPr>
        <w:p w14:paraId="68E66A19" w14:textId="77777777" w:rsidR="00E2214F" w:rsidRDefault="00E2214F" w:rsidP="002D294D">
          <w:pPr>
            <w:rPr>
              <w:rFonts w:cs="Arial"/>
              <w:sz w:val="16"/>
              <w:szCs w:val="16"/>
            </w:rPr>
          </w:pPr>
        </w:p>
      </w:tc>
      <w:tc>
        <w:tcPr>
          <w:tcW w:w="2398" w:type="pct"/>
          <w:vMerge w:val="restart"/>
          <w:tcBorders>
            <w:top w:val="single" w:sz="4" w:space="0" w:color="auto"/>
            <w:left w:val="nil"/>
            <w:right w:val="single" w:sz="4" w:space="0" w:color="auto"/>
          </w:tcBorders>
          <w:vAlign w:val="center"/>
        </w:tcPr>
        <w:p w14:paraId="6A813CC9" w14:textId="77777777" w:rsidR="00E2214F" w:rsidRPr="002D294D" w:rsidRDefault="00E2214F" w:rsidP="002D294D">
          <w:pPr>
            <w:jc w:val="center"/>
            <w:rPr>
              <w:rFonts w:cs="Arial"/>
              <w:sz w:val="20"/>
            </w:rPr>
          </w:pPr>
          <w:r w:rsidRPr="002D294D">
            <w:rPr>
              <w:rFonts w:cs="Arial"/>
              <w:sz w:val="20"/>
            </w:rPr>
            <w:t>PRESENTACIÓN PONENCIAS</w:t>
          </w:r>
        </w:p>
      </w:tc>
      <w:tc>
        <w:tcPr>
          <w:tcW w:w="1265" w:type="pct"/>
          <w:tcBorders>
            <w:top w:val="single" w:sz="4" w:space="0" w:color="auto"/>
            <w:left w:val="nil"/>
            <w:bottom w:val="single" w:sz="4" w:space="0" w:color="auto"/>
            <w:right w:val="single" w:sz="4" w:space="0" w:color="000000"/>
          </w:tcBorders>
          <w:vAlign w:val="center"/>
        </w:tcPr>
        <w:p w14:paraId="7B05E6F3" w14:textId="74BC7676" w:rsidR="00E2214F" w:rsidRPr="00EA3A02" w:rsidRDefault="00E2214F" w:rsidP="002D294D">
          <w:pPr>
            <w:rPr>
              <w:rFonts w:cs="Arial"/>
              <w:sz w:val="16"/>
              <w:szCs w:val="16"/>
            </w:rPr>
          </w:pPr>
          <w:r>
            <w:rPr>
              <w:rFonts w:cs="Arial"/>
              <w:sz w:val="16"/>
              <w:szCs w:val="16"/>
            </w:rPr>
            <w:t>VERSIÓN: 00</w:t>
          </w:r>
        </w:p>
      </w:tc>
    </w:tr>
    <w:tr w:rsidR="00E2214F" w14:paraId="58D9FF4F" w14:textId="77777777" w:rsidTr="00851E51">
      <w:trPr>
        <w:trHeight w:val="454"/>
      </w:trPr>
      <w:tc>
        <w:tcPr>
          <w:tcW w:w="1337" w:type="pct"/>
          <w:vMerge/>
          <w:tcBorders>
            <w:left w:val="single" w:sz="4" w:space="0" w:color="auto"/>
            <w:bottom w:val="single" w:sz="4" w:space="0" w:color="auto"/>
            <w:right w:val="single" w:sz="4" w:space="0" w:color="auto"/>
          </w:tcBorders>
          <w:vAlign w:val="center"/>
        </w:tcPr>
        <w:p w14:paraId="5AFCBDEF" w14:textId="77777777" w:rsidR="00E2214F" w:rsidRDefault="00E2214F" w:rsidP="002D294D">
          <w:pPr>
            <w:rPr>
              <w:rFonts w:cs="Arial"/>
              <w:sz w:val="16"/>
              <w:szCs w:val="16"/>
            </w:rPr>
          </w:pPr>
        </w:p>
      </w:tc>
      <w:tc>
        <w:tcPr>
          <w:tcW w:w="2398" w:type="pct"/>
          <w:vMerge/>
          <w:tcBorders>
            <w:left w:val="nil"/>
            <w:bottom w:val="single" w:sz="4" w:space="0" w:color="auto"/>
            <w:right w:val="single" w:sz="4" w:space="0" w:color="auto"/>
          </w:tcBorders>
          <w:vAlign w:val="center"/>
        </w:tcPr>
        <w:p w14:paraId="2D0F6007" w14:textId="77777777" w:rsidR="00E2214F" w:rsidRDefault="00E2214F" w:rsidP="002D294D">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14:paraId="41E3BD17" w14:textId="77777777" w:rsidR="00E2214F" w:rsidRDefault="00E2214F" w:rsidP="002D294D">
          <w:pPr>
            <w:rPr>
              <w:rFonts w:cs="Arial"/>
              <w:sz w:val="16"/>
              <w:szCs w:val="16"/>
            </w:rPr>
          </w:pPr>
          <w:r w:rsidRPr="00EA3A02">
            <w:rPr>
              <w:rFonts w:cs="Arial"/>
              <w:sz w:val="16"/>
              <w:szCs w:val="16"/>
            </w:rPr>
            <w:t>F</w:t>
          </w:r>
          <w:r>
            <w:rPr>
              <w:rFonts w:cs="Arial"/>
              <w:sz w:val="16"/>
              <w:szCs w:val="16"/>
            </w:rPr>
            <w:t>ECHA: 04 DIC. 2015</w:t>
          </w:r>
        </w:p>
      </w:tc>
    </w:tr>
  </w:tbl>
  <w:p w14:paraId="3E245F61" w14:textId="77777777" w:rsidR="00E2214F" w:rsidRPr="002D294D" w:rsidRDefault="00E2214F" w:rsidP="002D294D">
    <w:pPr>
      <w:pStyle w:val="Encabezado"/>
    </w:pPr>
    <w:r w:rsidRPr="00D4338D">
      <w:rPr>
        <w:noProof/>
        <w:lang w:val="es-CO" w:eastAsia="es-CO"/>
      </w:rPr>
      <w:drawing>
        <wp:anchor distT="0" distB="0" distL="114300" distR="114300" simplePos="0" relativeHeight="251659264" behindDoc="1" locked="0" layoutInCell="1" allowOverlap="1" wp14:anchorId="7DA384F2" wp14:editId="05302D55">
          <wp:simplePos x="0" y="0"/>
          <wp:positionH relativeFrom="column">
            <wp:posOffset>327025</wp:posOffset>
          </wp:positionH>
          <wp:positionV relativeFrom="paragraph">
            <wp:posOffset>-895350</wp:posOffset>
          </wp:positionV>
          <wp:extent cx="752475" cy="8858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F5793" w14:textId="77777777" w:rsidR="00E2214F" w:rsidRDefault="00E221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520"/>
    <w:multiLevelType w:val="multilevel"/>
    <w:tmpl w:val="C0609FB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7476ED4"/>
    <w:multiLevelType w:val="hybridMultilevel"/>
    <w:tmpl w:val="F120E21E"/>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65660E"/>
    <w:multiLevelType w:val="hybridMultilevel"/>
    <w:tmpl w:val="F398C9C8"/>
    <w:lvl w:ilvl="0" w:tplc="82A4498A">
      <w:start w:val="1"/>
      <w:numFmt w:val="bullet"/>
      <w:lvlText w:val="•"/>
      <w:lvlJc w:val="left"/>
      <w:pPr>
        <w:tabs>
          <w:tab w:val="num" w:pos="720"/>
        </w:tabs>
        <w:ind w:left="720" w:hanging="360"/>
      </w:pPr>
      <w:rPr>
        <w:rFonts w:ascii="Arial" w:hAnsi="Arial" w:hint="default"/>
      </w:rPr>
    </w:lvl>
    <w:lvl w:ilvl="1" w:tplc="89309962" w:tentative="1">
      <w:start w:val="1"/>
      <w:numFmt w:val="bullet"/>
      <w:lvlText w:val="•"/>
      <w:lvlJc w:val="left"/>
      <w:pPr>
        <w:tabs>
          <w:tab w:val="num" w:pos="1440"/>
        </w:tabs>
        <w:ind w:left="1440" w:hanging="360"/>
      </w:pPr>
      <w:rPr>
        <w:rFonts w:ascii="Arial" w:hAnsi="Arial" w:hint="default"/>
      </w:rPr>
    </w:lvl>
    <w:lvl w:ilvl="2" w:tplc="E1C293B6" w:tentative="1">
      <w:start w:val="1"/>
      <w:numFmt w:val="bullet"/>
      <w:lvlText w:val="•"/>
      <w:lvlJc w:val="left"/>
      <w:pPr>
        <w:tabs>
          <w:tab w:val="num" w:pos="2160"/>
        </w:tabs>
        <w:ind w:left="2160" w:hanging="360"/>
      </w:pPr>
      <w:rPr>
        <w:rFonts w:ascii="Arial" w:hAnsi="Arial" w:hint="default"/>
      </w:rPr>
    </w:lvl>
    <w:lvl w:ilvl="3" w:tplc="34A290CA" w:tentative="1">
      <w:start w:val="1"/>
      <w:numFmt w:val="bullet"/>
      <w:lvlText w:val="•"/>
      <w:lvlJc w:val="left"/>
      <w:pPr>
        <w:tabs>
          <w:tab w:val="num" w:pos="2880"/>
        </w:tabs>
        <w:ind w:left="2880" w:hanging="360"/>
      </w:pPr>
      <w:rPr>
        <w:rFonts w:ascii="Arial" w:hAnsi="Arial" w:hint="default"/>
      </w:rPr>
    </w:lvl>
    <w:lvl w:ilvl="4" w:tplc="1390CC08" w:tentative="1">
      <w:start w:val="1"/>
      <w:numFmt w:val="bullet"/>
      <w:lvlText w:val="•"/>
      <w:lvlJc w:val="left"/>
      <w:pPr>
        <w:tabs>
          <w:tab w:val="num" w:pos="3600"/>
        </w:tabs>
        <w:ind w:left="3600" w:hanging="360"/>
      </w:pPr>
      <w:rPr>
        <w:rFonts w:ascii="Arial" w:hAnsi="Arial" w:hint="default"/>
      </w:rPr>
    </w:lvl>
    <w:lvl w:ilvl="5" w:tplc="09D21C5E" w:tentative="1">
      <w:start w:val="1"/>
      <w:numFmt w:val="bullet"/>
      <w:lvlText w:val="•"/>
      <w:lvlJc w:val="left"/>
      <w:pPr>
        <w:tabs>
          <w:tab w:val="num" w:pos="4320"/>
        </w:tabs>
        <w:ind w:left="4320" w:hanging="360"/>
      </w:pPr>
      <w:rPr>
        <w:rFonts w:ascii="Arial" w:hAnsi="Arial" w:hint="default"/>
      </w:rPr>
    </w:lvl>
    <w:lvl w:ilvl="6" w:tplc="8D02292E" w:tentative="1">
      <w:start w:val="1"/>
      <w:numFmt w:val="bullet"/>
      <w:lvlText w:val="•"/>
      <w:lvlJc w:val="left"/>
      <w:pPr>
        <w:tabs>
          <w:tab w:val="num" w:pos="5040"/>
        </w:tabs>
        <w:ind w:left="5040" w:hanging="360"/>
      </w:pPr>
      <w:rPr>
        <w:rFonts w:ascii="Arial" w:hAnsi="Arial" w:hint="default"/>
      </w:rPr>
    </w:lvl>
    <w:lvl w:ilvl="7" w:tplc="210E97A4" w:tentative="1">
      <w:start w:val="1"/>
      <w:numFmt w:val="bullet"/>
      <w:lvlText w:val="•"/>
      <w:lvlJc w:val="left"/>
      <w:pPr>
        <w:tabs>
          <w:tab w:val="num" w:pos="5760"/>
        </w:tabs>
        <w:ind w:left="5760" w:hanging="360"/>
      </w:pPr>
      <w:rPr>
        <w:rFonts w:ascii="Arial" w:hAnsi="Arial" w:hint="default"/>
      </w:rPr>
    </w:lvl>
    <w:lvl w:ilvl="8" w:tplc="E27659E4" w:tentative="1">
      <w:start w:val="1"/>
      <w:numFmt w:val="bullet"/>
      <w:lvlText w:val="•"/>
      <w:lvlJc w:val="left"/>
      <w:pPr>
        <w:tabs>
          <w:tab w:val="num" w:pos="6480"/>
        </w:tabs>
        <w:ind w:left="6480" w:hanging="360"/>
      </w:pPr>
      <w:rPr>
        <w:rFonts w:ascii="Arial" w:hAnsi="Arial" w:hint="default"/>
      </w:rPr>
    </w:lvl>
  </w:abstractNum>
  <w:abstractNum w:abstractNumId="3">
    <w:nsid w:val="08DC0C6B"/>
    <w:multiLevelType w:val="hybridMultilevel"/>
    <w:tmpl w:val="6026E6AE"/>
    <w:lvl w:ilvl="0" w:tplc="406A89A4">
      <w:start w:val="1"/>
      <w:numFmt w:val="bullet"/>
      <w:lvlText w:val=""/>
      <w:lvlJc w:val="left"/>
      <w:pPr>
        <w:ind w:left="1428" w:hanging="360"/>
      </w:pPr>
      <w:rPr>
        <w:rFonts w:ascii="Symbol" w:hAnsi="Symbol" w:hint="default"/>
        <w:sz w:val="16"/>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nsid w:val="0FC41686"/>
    <w:multiLevelType w:val="hybridMultilevel"/>
    <w:tmpl w:val="FF2CC282"/>
    <w:lvl w:ilvl="0" w:tplc="AB8A5E24">
      <w:start w:val="1"/>
      <w:numFmt w:val="bullet"/>
      <w:lvlText w:val="-"/>
      <w:lvlJc w:val="left"/>
      <w:pPr>
        <w:tabs>
          <w:tab w:val="num" w:pos="720"/>
        </w:tabs>
        <w:ind w:left="720" w:hanging="720"/>
      </w:pPr>
      <w:rPr>
        <w:rFonts w:ascii="Arial" w:eastAsia="Times New Roman" w:hAnsi="Aria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5">
    <w:nsid w:val="124177CF"/>
    <w:multiLevelType w:val="multilevel"/>
    <w:tmpl w:val="324CED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Arial" w:eastAsia="Times New Roman" w:hAnsi="Arial" w:cs="Arial" w:hint="default"/>
      </w:rPr>
    </w:lvl>
    <w:lvl w:ilvl="2">
      <w:numFmt w:val="bullet"/>
      <w:lvlText w:val="-"/>
      <w:lvlJc w:val="left"/>
      <w:pPr>
        <w:ind w:left="2505" w:hanging="705"/>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E037AB"/>
    <w:multiLevelType w:val="hybridMultilevel"/>
    <w:tmpl w:val="75FCAC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D27C42"/>
    <w:multiLevelType w:val="hybridMultilevel"/>
    <w:tmpl w:val="3CE80D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7C75E25"/>
    <w:multiLevelType w:val="hybridMultilevel"/>
    <w:tmpl w:val="49826FE6"/>
    <w:lvl w:ilvl="0" w:tplc="37562AF4">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B164808"/>
    <w:multiLevelType w:val="hybridMultilevel"/>
    <w:tmpl w:val="BED0B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3D5579C"/>
    <w:multiLevelType w:val="hybridMultilevel"/>
    <w:tmpl w:val="81A29B08"/>
    <w:lvl w:ilvl="0" w:tplc="13F03AF0">
      <w:start w:val="1"/>
      <w:numFmt w:val="bullet"/>
      <w:lvlText w:val="•"/>
      <w:lvlJc w:val="left"/>
      <w:pPr>
        <w:tabs>
          <w:tab w:val="num" w:pos="720"/>
        </w:tabs>
        <w:ind w:left="720" w:hanging="360"/>
      </w:pPr>
      <w:rPr>
        <w:rFonts w:ascii="Arial" w:hAnsi="Arial" w:hint="default"/>
      </w:rPr>
    </w:lvl>
    <w:lvl w:ilvl="1" w:tplc="92404A40" w:tentative="1">
      <w:start w:val="1"/>
      <w:numFmt w:val="bullet"/>
      <w:lvlText w:val="•"/>
      <w:lvlJc w:val="left"/>
      <w:pPr>
        <w:tabs>
          <w:tab w:val="num" w:pos="1440"/>
        </w:tabs>
        <w:ind w:left="1440" w:hanging="360"/>
      </w:pPr>
      <w:rPr>
        <w:rFonts w:ascii="Arial" w:hAnsi="Arial" w:hint="default"/>
      </w:rPr>
    </w:lvl>
    <w:lvl w:ilvl="2" w:tplc="DA383A8E" w:tentative="1">
      <w:start w:val="1"/>
      <w:numFmt w:val="bullet"/>
      <w:lvlText w:val="•"/>
      <w:lvlJc w:val="left"/>
      <w:pPr>
        <w:tabs>
          <w:tab w:val="num" w:pos="2160"/>
        </w:tabs>
        <w:ind w:left="2160" w:hanging="360"/>
      </w:pPr>
      <w:rPr>
        <w:rFonts w:ascii="Arial" w:hAnsi="Arial" w:hint="default"/>
      </w:rPr>
    </w:lvl>
    <w:lvl w:ilvl="3" w:tplc="EDA09B76" w:tentative="1">
      <w:start w:val="1"/>
      <w:numFmt w:val="bullet"/>
      <w:lvlText w:val="•"/>
      <w:lvlJc w:val="left"/>
      <w:pPr>
        <w:tabs>
          <w:tab w:val="num" w:pos="2880"/>
        </w:tabs>
        <w:ind w:left="2880" w:hanging="360"/>
      </w:pPr>
      <w:rPr>
        <w:rFonts w:ascii="Arial" w:hAnsi="Arial" w:hint="default"/>
      </w:rPr>
    </w:lvl>
    <w:lvl w:ilvl="4" w:tplc="65780CB4" w:tentative="1">
      <w:start w:val="1"/>
      <w:numFmt w:val="bullet"/>
      <w:lvlText w:val="•"/>
      <w:lvlJc w:val="left"/>
      <w:pPr>
        <w:tabs>
          <w:tab w:val="num" w:pos="3600"/>
        </w:tabs>
        <w:ind w:left="3600" w:hanging="360"/>
      </w:pPr>
      <w:rPr>
        <w:rFonts w:ascii="Arial" w:hAnsi="Arial" w:hint="default"/>
      </w:rPr>
    </w:lvl>
    <w:lvl w:ilvl="5" w:tplc="C5E8EB0A" w:tentative="1">
      <w:start w:val="1"/>
      <w:numFmt w:val="bullet"/>
      <w:lvlText w:val="•"/>
      <w:lvlJc w:val="left"/>
      <w:pPr>
        <w:tabs>
          <w:tab w:val="num" w:pos="4320"/>
        </w:tabs>
        <w:ind w:left="4320" w:hanging="360"/>
      </w:pPr>
      <w:rPr>
        <w:rFonts w:ascii="Arial" w:hAnsi="Arial" w:hint="default"/>
      </w:rPr>
    </w:lvl>
    <w:lvl w:ilvl="6" w:tplc="5D261280" w:tentative="1">
      <w:start w:val="1"/>
      <w:numFmt w:val="bullet"/>
      <w:lvlText w:val="•"/>
      <w:lvlJc w:val="left"/>
      <w:pPr>
        <w:tabs>
          <w:tab w:val="num" w:pos="5040"/>
        </w:tabs>
        <w:ind w:left="5040" w:hanging="360"/>
      </w:pPr>
      <w:rPr>
        <w:rFonts w:ascii="Arial" w:hAnsi="Arial" w:hint="default"/>
      </w:rPr>
    </w:lvl>
    <w:lvl w:ilvl="7" w:tplc="21C844EC" w:tentative="1">
      <w:start w:val="1"/>
      <w:numFmt w:val="bullet"/>
      <w:lvlText w:val="•"/>
      <w:lvlJc w:val="left"/>
      <w:pPr>
        <w:tabs>
          <w:tab w:val="num" w:pos="5760"/>
        </w:tabs>
        <w:ind w:left="5760" w:hanging="360"/>
      </w:pPr>
      <w:rPr>
        <w:rFonts w:ascii="Arial" w:hAnsi="Arial" w:hint="default"/>
      </w:rPr>
    </w:lvl>
    <w:lvl w:ilvl="8" w:tplc="7BBAFF52" w:tentative="1">
      <w:start w:val="1"/>
      <w:numFmt w:val="bullet"/>
      <w:lvlText w:val="•"/>
      <w:lvlJc w:val="left"/>
      <w:pPr>
        <w:tabs>
          <w:tab w:val="num" w:pos="6480"/>
        </w:tabs>
        <w:ind w:left="6480" w:hanging="360"/>
      </w:pPr>
      <w:rPr>
        <w:rFonts w:ascii="Arial" w:hAnsi="Arial" w:hint="default"/>
      </w:rPr>
    </w:lvl>
  </w:abstractNum>
  <w:abstractNum w:abstractNumId="11">
    <w:nsid w:val="240B7F2D"/>
    <w:multiLevelType w:val="hybridMultilevel"/>
    <w:tmpl w:val="8F3A2674"/>
    <w:lvl w:ilvl="0" w:tplc="94D41AEA">
      <w:start w:val="1"/>
      <w:numFmt w:val="bullet"/>
      <w:lvlText w:val="•"/>
      <w:lvlJc w:val="left"/>
      <w:pPr>
        <w:tabs>
          <w:tab w:val="num" w:pos="720"/>
        </w:tabs>
        <w:ind w:left="720" w:hanging="360"/>
      </w:pPr>
      <w:rPr>
        <w:rFonts w:ascii="Arial" w:hAnsi="Arial" w:hint="default"/>
      </w:rPr>
    </w:lvl>
    <w:lvl w:ilvl="1" w:tplc="D11838BC">
      <w:numFmt w:val="bullet"/>
      <w:lvlText w:val="–"/>
      <w:lvlJc w:val="left"/>
      <w:pPr>
        <w:tabs>
          <w:tab w:val="num" w:pos="1440"/>
        </w:tabs>
        <w:ind w:left="1440" w:hanging="360"/>
      </w:pPr>
      <w:rPr>
        <w:rFonts w:ascii="Arial" w:hAnsi="Arial" w:hint="default"/>
      </w:rPr>
    </w:lvl>
    <w:lvl w:ilvl="2" w:tplc="EA206B4C" w:tentative="1">
      <w:start w:val="1"/>
      <w:numFmt w:val="bullet"/>
      <w:lvlText w:val="•"/>
      <w:lvlJc w:val="left"/>
      <w:pPr>
        <w:tabs>
          <w:tab w:val="num" w:pos="2160"/>
        </w:tabs>
        <w:ind w:left="2160" w:hanging="360"/>
      </w:pPr>
      <w:rPr>
        <w:rFonts w:ascii="Arial" w:hAnsi="Arial" w:hint="default"/>
      </w:rPr>
    </w:lvl>
    <w:lvl w:ilvl="3" w:tplc="A31A839C" w:tentative="1">
      <w:start w:val="1"/>
      <w:numFmt w:val="bullet"/>
      <w:lvlText w:val="•"/>
      <w:lvlJc w:val="left"/>
      <w:pPr>
        <w:tabs>
          <w:tab w:val="num" w:pos="2880"/>
        </w:tabs>
        <w:ind w:left="2880" w:hanging="360"/>
      </w:pPr>
      <w:rPr>
        <w:rFonts w:ascii="Arial" w:hAnsi="Arial" w:hint="default"/>
      </w:rPr>
    </w:lvl>
    <w:lvl w:ilvl="4" w:tplc="8E525470" w:tentative="1">
      <w:start w:val="1"/>
      <w:numFmt w:val="bullet"/>
      <w:lvlText w:val="•"/>
      <w:lvlJc w:val="left"/>
      <w:pPr>
        <w:tabs>
          <w:tab w:val="num" w:pos="3600"/>
        </w:tabs>
        <w:ind w:left="3600" w:hanging="360"/>
      </w:pPr>
      <w:rPr>
        <w:rFonts w:ascii="Arial" w:hAnsi="Arial" w:hint="default"/>
      </w:rPr>
    </w:lvl>
    <w:lvl w:ilvl="5" w:tplc="D79AEC2A" w:tentative="1">
      <w:start w:val="1"/>
      <w:numFmt w:val="bullet"/>
      <w:lvlText w:val="•"/>
      <w:lvlJc w:val="left"/>
      <w:pPr>
        <w:tabs>
          <w:tab w:val="num" w:pos="4320"/>
        </w:tabs>
        <w:ind w:left="4320" w:hanging="360"/>
      </w:pPr>
      <w:rPr>
        <w:rFonts w:ascii="Arial" w:hAnsi="Arial" w:hint="default"/>
      </w:rPr>
    </w:lvl>
    <w:lvl w:ilvl="6" w:tplc="BD54B0BC" w:tentative="1">
      <w:start w:val="1"/>
      <w:numFmt w:val="bullet"/>
      <w:lvlText w:val="•"/>
      <w:lvlJc w:val="left"/>
      <w:pPr>
        <w:tabs>
          <w:tab w:val="num" w:pos="5040"/>
        </w:tabs>
        <w:ind w:left="5040" w:hanging="360"/>
      </w:pPr>
      <w:rPr>
        <w:rFonts w:ascii="Arial" w:hAnsi="Arial" w:hint="default"/>
      </w:rPr>
    </w:lvl>
    <w:lvl w:ilvl="7" w:tplc="C3EE009E" w:tentative="1">
      <w:start w:val="1"/>
      <w:numFmt w:val="bullet"/>
      <w:lvlText w:val="•"/>
      <w:lvlJc w:val="left"/>
      <w:pPr>
        <w:tabs>
          <w:tab w:val="num" w:pos="5760"/>
        </w:tabs>
        <w:ind w:left="5760" w:hanging="360"/>
      </w:pPr>
      <w:rPr>
        <w:rFonts w:ascii="Arial" w:hAnsi="Arial" w:hint="default"/>
      </w:rPr>
    </w:lvl>
    <w:lvl w:ilvl="8" w:tplc="2AE27AA0" w:tentative="1">
      <w:start w:val="1"/>
      <w:numFmt w:val="bullet"/>
      <w:lvlText w:val="•"/>
      <w:lvlJc w:val="left"/>
      <w:pPr>
        <w:tabs>
          <w:tab w:val="num" w:pos="6480"/>
        </w:tabs>
        <w:ind w:left="6480" w:hanging="360"/>
      </w:pPr>
      <w:rPr>
        <w:rFonts w:ascii="Arial" w:hAnsi="Arial" w:hint="default"/>
      </w:rPr>
    </w:lvl>
  </w:abstractNum>
  <w:abstractNum w:abstractNumId="12">
    <w:nsid w:val="255D0769"/>
    <w:multiLevelType w:val="hybridMultilevel"/>
    <w:tmpl w:val="CB06420A"/>
    <w:lvl w:ilvl="0" w:tplc="DA661B88">
      <w:start w:val="1"/>
      <w:numFmt w:val="bullet"/>
      <w:lvlText w:val=""/>
      <w:lvlJc w:val="left"/>
      <w:pPr>
        <w:tabs>
          <w:tab w:val="num" w:pos="720"/>
        </w:tabs>
        <w:ind w:left="720" w:hanging="360"/>
      </w:pPr>
      <w:rPr>
        <w:rFonts w:ascii="Wingdings" w:hAnsi="Wingdings" w:hint="default"/>
      </w:rPr>
    </w:lvl>
    <w:lvl w:ilvl="1" w:tplc="AE3004FC" w:tentative="1">
      <w:start w:val="1"/>
      <w:numFmt w:val="bullet"/>
      <w:lvlText w:val=""/>
      <w:lvlJc w:val="left"/>
      <w:pPr>
        <w:tabs>
          <w:tab w:val="num" w:pos="1440"/>
        </w:tabs>
        <w:ind w:left="1440" w:hanging="360"/>
      </w:pPr>
      <w:rPr>
        <w:rFonts w:ascii="Wingdings" w:hAnsi="Wingdings" w:hint="default"/>
      </w:rPr>
    </w:lvl>
    <w:lvl w:ilvl="2" w:tplc="8308416E" w:tentative="1">
      <w:start w:val="1"/>
      <w:numFmt w:val="bullet"/>
      <w:lvlText w:val=""/>
      <w:lvlJc w:val="left"/>
      <w:pPr>
        <w:tabs>
          <w:tab w:val="num" w:pos="2160"/>
        </w:tabs>
        <w:ind w:left="2160" w:hanging="360"/>
      </w:pPr>
      <w:rPr>
        <w:rFonts w:ascii="Wingdings" w:hAnsi="Wingdings" w:hint="default"/>
      </w:rPr>
    </w:lvl>
    <w:lvl w:ilvl="3" w:tplc="8FA660DC" w:tentative="1">
      <w:start w:val="1"/>
      <w:numFmt w:val="bullet"/>
      <w:lvlText w:val=""/>
      <w:lvlJc w:val="left"/>
      <w:pPr>
        <w:tabs>
          <w:tab w:val="num" w:pos="2880"/>
        </w:tabs>
        <w:ind w:left="2880" w:hanging="360"/>
      </w:pPr>
      <w:rPr>
        <w:rFonts w:ascii="Wingdings" w:hAnsi="Wingdings" w:hint="default"/>
      </w:rPr>
    </w:lvl>
    <w:lvl w:ilvl="4" w:tplc="583AFE02" w:tentative="1">
      <w:start w:val="1"/>
      <w:numFmt w:val="bullet"/>
      <w:lvlText w:val=""/>
      <w:lvlJc w:val="left"/>
      <w:pPr>
        <w:tabs>
          <w:tab w:val="num" w:pos="3600"/>
        </w:tabs>
        <w:ind w:left="3600" w:hanging="360"/>
      </w:pPr>
      <w:rPr>
        <w:rFonts w:ascii="Wingdings" w:hAnsi="Wingdings" w:hint="default"/>
      </w:rPr>
    </w:lvl>
    <w:lvl w:ilvl="5" w:tplc="2BD62A84" w:tentative="1">
      <w:start w:val="1"/>
      <w:numFmt w:val="bullet"/>
      <w:lvlText w:val=""/>
      <w:lvlJc w:val="left"/>
      <w:pPr>
        <w:tabs>
          <w:tab w:val="num" w:pos="4320"/>
        </w:tabs>
        <w:ind w:left="4320" w:hanging="360"/>
      </w:pPr>
      <w:rPr>
        <w:rFonts w:ascii="Wingdings" w:hAnsi="Wingdings" w:hint="default"/>
      </w:rPr>
    </w:lvl>
    <w:lvl w:ilvl="6" w:tplc="4DAA079E" w:tentative="1">
      <w:start w:val="1"/>
      <w:numFmt w:val="bullet"/>
      <w:lvlText w:val=""/>
      <w:lvlJc w:val="left"/>
      <w:pPr>
        <w:tabs>
          <w:tab w:val="num" w:pos="5040"/>
        </w:tabs>
        <w:ind w:left="5040" w:hanging="360"/>
      </w:pPr>
      <w:rPr>
        <w:rFonts w:ascii="Wingdings" w:hAnsi="Wingdings" w:hint="default"/>
      </w:rPr>
    </w:lvl>
    <w:lvl w:ilvl="7" w:tplc="B5400EC6" w:tentative="1">
      <w:start w:val="1"/>
      <w:numFmt w:val="bullet"/>
      <w:lvlText w:val=""/>
      <w:lvlJc w:val="left"/>
      <w:pPr>
        <w:tabs>
          <w:tab w:val="num" w:pos="5760"/>
        </w:tabs>
        <w:ind w:left="5760" w:hanging="360"/>
      </w:pPr>
      <w:rPr>
        <w:rFonts w:ascii="Wingdings" w:hAnsi="Wingdings" w:hint="default"/>
      </w:rPr>
    </w:lvl>
    <w:lvl w:ilvl="8" w:tplc="439E8752" w:tentative="1">
      <w:start w:val="1"/>
      <w:numFmt w:val="bullet"/>
      <w:lvlText w:val=""/>
      <w:lvlJc w:val="left"/>
      <w:pPr>
        <w:tabs>
          <w:tab w:val="num" w:pos="6480"/>
        </w:tabs>
        <w:ind w:left="6480" w:hanging="360"/>
      </w:pPr>
      <w:rPr>
        <w:rFonts w:ascii="Wingdings" w:hAnsi="Wingdings" w:hint="default"/>
      </w:rPr>
    </w:lvl>
  </w:abstractNum>
  <w:abstractNum w:abstractNumId="13">
    <w:nsid w:val="2A3451F4"/>
    <w:multiLevelType w:val="hybridMultilevel"/>
    <w:tmpl w:val="7440404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2AA539E6"/>
    <w:multiLevelType w:val="multilevel"/>
    <w:tmpl w:val="178A488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2EF22B59"/>
    <w:multiLevelType w:val="hybridMultilevel"/>
    <w:tmpl w:val="7736C928"/>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F1B5FDC"/>
    <w:multiLevelType w:val="hybridMultilevel"/>
    <w:tmpl w:val="6C102976"/>
    <w:lvl w:ilvl="0" w:tplc="195A1582">
      <w:start w:val="1"/>
      <w:numFmt w:val="bullet"/>
      <w:lvlText w:val="•"/>
      <w:lvlJc w:val="left"/>
      <w:pPr>
        <w:tabs>
          <w:tab w:val="num" w:pos="720"/>
        </w:tabs>
        <w:ind w:left="720" w:hanging="360"/>
      </w:pPr>
      <w:rPr>
        <w:rFonts w:ascii="Arial" w:hAnsi="Arial" w:hint="default"/>
      </w:rPr>
    </w:lvl>
    <w:lvl w:ilvl="1" w:tplc="6786DEDE">
      <w:start w:val="1"/>
      <w:numFmt w:val="bullet"/>
      <w:lvlText w:val="•"/>
      <w:lvlJc w:val="left"/>
      <w:pPr>
        <w:tabs>
          <w:tab w:val="num" w:pos="1440"/>
        </w:tabs>
        <w:ind w:left="1440" w:hanging="360"/>
      </w:pPr>
      <w:rPr>
        <w:rFonts w:ascii="Arial" w:hAnsi="Arial" w:hint="default"/>
      </w:rPr>
    </w:lvl>
    <w:lvl w:ilvl="2" w:tplc="72500814" w:tentative="1">
      <w:start w:val="1"/>
      <w:numFmt w:val="bullet"/>
      <w:lvlText w:val="•"/>
      <w:lvlJc w:val="left"/>
      <w:pPr>
        <w:tabs>
          <w:tab w:val="num" w:pos="2160"/>
        </w:tabs>
        <w:ind w:left="2160" w:hanging="360"/>
      </w:pPr>
      <w:rPr>
        <w:rFonts w:ascii="Arial" w:hAnsi="Arial" w:hint="default"/>
      </w:rPr>
    </w:lvl>
    <w:lvl w:ilvl="3" w:tplc="48DC8702" w:tentative="1">
      <w:start w:val="1"/>
      <w:numFmt w:val="bullet"/>
      <w:lvlText w:val="•"/>
      <w:lvlJc w:val="left"/>
      <w:pPr>
        <w:tabs>
          <w:tab w:val="num" w:pos="2880"/>
        </w:tabs>
        <w:ind w:left="2880" w:hanging="360"/>
      </w:pPr>
      <w:rPr>
        <w:rFonts w:ascii="Arial" w:hAnsi="Arial" w:hint="default"/>
      </w:rPr>
    </w:lvl>
    <w:lvl w:ilvl="4" w:tplc="C8E46C2A" w:tentative="1">
      <w:start w:val="1"/>
      <w:numFmt w:val="bullet"/>
      <w:lvlText w:val="•"/>
      <w:lvlJc w:val="left"/>
      <w:pPr>
        <w:tabs>
          <w:tab w:val="num" w:pos="3600"/>
        </w:tabs>
        <w:ind w:left="3600" w:hanging="360"/>
      </w:pPr>
      <w:rPr>
        <w:rFonts w:ascii="Arial" w:hAnsi="Arial" w:hint="default"/>
      </w:rPr>
    </w:lvl>
    <w:lvl w:ilvl="5" w:tplc="E2402F80" w:tentative="1">
      <w:start w:val="1"/>
      <w:numFmt w:val="bullet"/>
      <w:lvlText w:val="•"/>
      <w:lvlJc w:val="left"/>
      <w:pPr>
        <w:tabs>
          <w:tab w:val="num" w:pos="4320"/>
        </w:tabs>
        <w:ind w:left="4320" w:hanging="360"/>
      </w:pPr>
      <w:rPr>
        <w:rFonts w:ascii="Arial" w:hAnsi="Arial" w:hint="default"/>
      </w:rPr>
    </w:lvl>
    <w:lvl w:ilvl="6" w:tplc="88164446" w:tentative="1">
      <w:start w:val="1"/>
      <w:numFmt w:val="bullet"/>
      <w:lvlText w:val="•"/>
      <w:lvlJc w:val="left"/>
      <w:pPr>
        <w:tabs>
          <w:tab w:val="num" w:pos="5040"/>
        </w:tabs>
        <w:ind w:left="5040" w:hanging="360"/>
      </w:pPr>
      <w:rPr>
        <w:rFonts w:ascii="Arial" w:hAnsi="Arial" w:hint="default"/>
      </w:rPr>
    </w:lvl>
    <w:lvl w:ilvl="7" w:tplc="9FD8957C" w:tentative="1">
      <w:start w:val="1"/>
      <w:numFmt w:val="bullet"/>
      <w:lvlText w:val="•"/>
      <w:lvlJc w:val="left"/>
      <w:pPr>
        <w:tabs>
          <w:tab w:val="num" w:pos="5760"/>
        </w:tabs>
        <w:ind w:left="5760" w:hanging="360"/>
      </w:pPr>
      <w:rPr>
        <w:rFonts w:ascii="Arial" w:hAnsi="Arial" w:hint="default"/>
      </w:rPr>
    </w:lvl>
    <w:lvl w:ilvl="8" w:tplc="388A7644" w:tentative="1">
      <w:start w:val="1"/>
      <w:numFmt w:val="bullet"/>
      <w:lvlText w:val="•"/>
      <w:lvlJc w:val="left"/>
      <w:pPr>
        <w:tabs>
          <w:tab w:val="num" w:pos="6480"/>
        </w:tabs>
        <w:ind w:left="6480" w:hanging="360"/>
      </w:pPr>
      <w:rPr>
        <w:rFonts w:ascii="Arial" w:hAnsi="Arial" w:hint="default"/>
      </w:rPr>
    </w:lvl>
  </w:abstractNum>
  <w:abstractNum w:abstractNumId="17">
    <w:nsid w:val="32FC3691"/>
    <w:multiLevelType w:val="hybridMultilevel"/>
    <w:tmpl w:val="8AC425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50A78E7"/>
    <w:multiLevelType w:val="hybridMultilevel"/>
    <w:tmpl w:val="327E5834"/>
    <w:lvl w:ilvl="0" w:tplc="20D8739C">
      <w:start w:val="1"/>
      <w:numFmt w:val="bullet"/>
      <w:lvlText w:val=""/>
      <w:lvlJc w:val="left"/>
      <w:pPr>
        <w:ind w:hanging="360"/>
      </w:pPr>
      <w:rPr>
        <w:rFonts w:ascii="Symbol" w:eastAsia="Symbol" w:hAnsi="Symbol" w:hint="default"/>
        <w:sz w:val="24"/>
        <w:szCs w:val="24"/>
      </w:rPr>
    </w:lvl>
    <w:lvl w:ilvl="1" w:tplc="857A3BDA">
      <w:start w:val="1"/>
      <w:numFmt w:val="bullet"/>
      <w:lvlText w:val="•"/>
      <w:lvlJc w:val="left"/>
      <w:rPr>
        <w:rFonts w:hint="default"/>
      </w:rPr>
    </w:lvl>
    <w:lvl w:ilvl="2" w:tplc="A01CE680">
      <w:start w:val="1"/>
      <w:numFmt w:val="bullet"/>
      <w:lvlText w:val="•"/>
      <w:lvlJc w:val="left"/>
      <w:rPr>
        <w:rFonts w:hint="default"/>
      </w:rPr>
    </w:lvl>
    <w:lvl w:ilvl="3" w:tplc="8084EC96">
      <w:start w:val="1"/>
      <w:numFmt w:val="bullet"/>
      <w:lvlText w:val="•"/>
      <w:lvlJc w:val="left"/>
      <w:rPr>
        <w:rFonts w:hint="default"/>
      </w:rPr>
    </w:lvl>
    <w:lvl w:ilvl="4" w:tplc="D00CDEB2">
      <w:start w:val="1"/>
      <w:numFmt w:val="bullet"/>
      <w:lvlText w:val="•"/>
      <w:lvlJc w:val="left"/>
      <w:rPr>
        <w:rFonts w:hint="default"/>
      </w:rPr>
    </w:lvl>
    <w:lvl w:ilvl="5" w:tplc="03C0194A">
      <w:start w:val="1"/>
      <w:numFmt w:val="bullet"/>
      <w:lvlText w:val="•"/>
      <w:lvlJc w:val="left"/>
      <w:rPr>
        <w:rFonts w:hint="default"/>
      </w:rPr>
    </w:lvl>
    <w:lvl w:ilvl="6" w:tplc="ACCEC75E">
      <w:start w:val="1"/>
      <w:numFmt w:val="bullet"/>
      <w:lvlText w:val="•"/>
      <w:lvlJc w:val="left"/>
      <w:rPr>
        <w:rFonts w:hint="default"/>
      </w:rPr>
    </w:lvl>
    <w:lvl w:ilvl="7" w:tplc="F6D61684">
      <w:start w:val="1"/>
      <w:numFmt w:val="bullet"/>
      <w:lvlText w:val="•"/>
      <w:lvlJc w:val="left"/>
      <w:rPr>
        <w:rFonts w:hint="default"/>
      </w:rPr>
    </w:lvl>
    <w:lvl w:ilvl="8" w:tplc="245EAF0A">
      <w:start w:val="1"/>
      <w:numFmt w:val="bullet"/>
      <w:lvlText w:val="•"/>
      <w:lvlJc w:val="left"/>
      <w:rPr>
        <w:rFonts w:hint="default"/>
      </w:rPr>
    </w:lvl>
  </w:abstractNum>
  <w:abstractNum w:abstractNumId="19">
    <w:nsid w:val="377B353D"/>
    <w:multiLevelType w:val="hybridMultilevel"/>
    <w:tmpl w:val="4136054E"/>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FF265A"/>
    <w:multiLevelType w:val="multilevel"/>
    <w:tmpl w:val="744CEF0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CCB03E8"/>
    <w:multiLevelType w:val="hybridMultilevel"/>
    <w:tmpl w:val="6E5A01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13E1E74"/>
    <w:multiLevelType w:val="hybridMultilevel"/>
    <w:tmpl w:val="EEC6B04C"/>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2713370"/>
    <w:multiLevelType w:val="hybridMultilevel"/>
    <w:tmpl w:val="27D47E9C"/>
    <w:lvl w:ilvl="0" w:tplc="FCF0289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8EA6C7A"/>
    <w:multiLevelType w:val="hybridMultilevel"/>
    <w:tmpl w:val="A9EA29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0E6403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28395F"/>
    <w:multiLevelType w:val="hybridMultilevel"/>
    <w:tmpl w:val="7F5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8AB6ABE"/>
    <w:multiLevelType w:val="hybridMultilevel"/>
    <w:tmpl w:val="90DCEE3E"/>
    <w:lvl w:ilvl="0" w:tplc="240A0001">
      <w:start w:val="1"/>
      <w:numFmt w:val="bullet"/>
      <w:lvlText w:val=""/>
      <w:lvlJc w:val="left"/>
      <w:pPr>
        <w:ind w:left="1509" w:hanging="360"/>
      </w:pPr>
      <w:rPr>
        <w:rFonts w:ascii="Symbol" w:hAnsi="Symbol" w:hint="default"/>
      </w:rPr>
    </w:lvl>
    <w:lvl w:ilvl="1" w:tplc="240A0003" w:tentative="1">
      <w:start w:val="1"/>
      <w:numFmt w:val="bullet"/>
      <w:lvlText w:val="o"/>
      <w:lvlJc w:val="left"/>
      <w:pPr>
        <w:ind w:left="2229" w:hanging="360"/>
      </w:pPr>
      <w:rPr>
        <w:rFonts w:ascii="Courier New" w:hAnsi="Courier New" w:cs="Courier New" w:hint="default"/>
      </w:rPr>
    </w:lvl>
    <w:lvl w:ilvl="2" w:tplc="240A0005" w:tentative="1">
      <w:start w:val="1"/>
      <w:numFmt w:val="bullet"/>
      <w:lvlText w:val=""/>
      <w:lvlJc w:val="left"/>
      <w:pPr>
        <w:ind w:left="2949" w:hanging="360"/>
      </w:pPr>
      <w:rPr>
        <w:rFonts w:ascii="Wingdings" w:hAnsi="Wingdings" w:hint="default"/>
      </w:rPr>
    </w:lvl>
    <w:lvl w:ilvl="3" w:tplc="240A0001" w:tentative="1">
      <w:start w:val="1"/>
      <w:numFmt w:val="bullet"/>
      <w:lvlText w:val=""/>
      <w:lvlJc w:val="left"/>
      <w:pPr>
        <w:ind w:left="3669" w:hanging="360"/>
      </w:pPr>
      <w:rPr>
        <w:rFonts w:ascii="Symbol" w:hAnsi="Symbol" w:hint="default"/>
      </w:rPr>
    </w:lvl>
    <w:lvl w:ilvl="4" w:tplc="240A0003" w:tentative="1">
      <w:start w:val="1"/>
      <w:numFmt w:val="bullet"/>
      <w:lvlText w:val="o"/>
      <w:lvlJc w:val="left"/>
      <w:pPr>
        <w:ind w:left="4389" w:hanging="360"/>
      </w:pPr>
      <w:rPr>
        <w:rFonts w:ascii="Courier New" w:hAnsi="Courier New" w:cs="Courier New" w:hint="default"/>
      </w:rPr>
    </w:lvl>
    <w:lvl w:ilvl="5" w:tplc="240A0005" w:tentative="1">
      <w:start w:val="1"/>
      <w:numFmt w:val="bullet"/>
      <w:lvlText w:val=""/>
      <w:lvlJc w:val="left"/>
      <w:pPr>
        <w:ind w:left="5109" w:hanging="360"/>
      </w:pPr>
      <w:rPr>
        <w:rFonts w:ascii="Wingdings" w:hAnsi="Wingdings" w:hint="default"/>
      </w:rPr>
    </w:lvl>
    <w:lvl w:ilvl="6" w:tplc="240A0001" w:tentative="1">
      <w:start w:val="1"/>
      <w:numFmt w:val="bullet"/>
      <w:lvlText w:val=""/>
      <w:lvlJc w:val="left"/>
      <w:pPr>
        <w:ind w:left="5829" w:hanging="360"/>
      </w:pPr>
      <w:rPr>
        <w:rFonts w:ascii="Symbol" w:hAnsi="Symbol" w:hint="default"/>
      </w:rPr>
    </w:lvl>
    <w:lvl w:ilvl="7" w:tplc="240A0003" w:tentative="1">
      <w:start w:val="1"/>
      <w:numFmt w:val="bullet"/>
      <w:lvlText w:val="o"/>
      <w:lvlJc w:val="left"/>
      <w:pPr>
        <w:ind w:left="6549" w:hanging="360"/>
      </w:pPr>
      <w:rPr>
        <w:rFonts w:ascii="Courier New" w:hAnsi="Courier New" w:cs="Courier New" w:hint="default"/>
      </w:rPr>
    </w:lvl>
    <w:lvl w:ilvl="8" w:tplc="240A0005" w:tentative="1">
      <w:start w:val="1"/>
      <w:numFmt w:val="bullet"/>
      <w:lvlText w:val=""/>
      <w:lvlJc w:val="left"/>
      <w:pPr>
        <w:ind w:left="7269" w:hanging="360"/>
      </w:pPr>
      <w:rPr>
        <w:rFonts w:ascii="Wingdings" w:hAnsi="Wingdings" w:hint="default"/>
      </w:rPr>
    </w:lvl>
  </w:abstractNum>
  <w:abstractNum w:abstractNumId="28">
    <w:nsid w:val="5A082E52"/>
    <w:multiLevelType w:val="hybridMultilevel"/>
    <w:tmpl w:val="57D60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E26231B"/>
    <w:multiLevelType w:val="hybridMultilevel"/>
    <w:tmpl w:val="D3B2F954"/>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EA0634F"/>
    <w:multiLevelType w:val="hybridMultilevel"/>
    <w:tmpl w:val="1224613C"/>
    <w:lvl w:ilvl="0" w:tplc="9760D57E">
      <w:start w:val="1"/>
      <w:numFmt w:val="bullet"/>
      <w:lvlText w:val=""/>
      <w:lvlJc w:val="left"/>
      <w:pPr>
        <w:tabs>
          <w:tab w:val="num" w:pos="720"/>
        </w:tabs>
        <w:ind w:left="720" w:hanging="360"/>
      </w:pPr>
      <w:rPr>
        <w:rFonts w:ascii="Wingdings" w:hAnsi="Wingdings" w:hint="default"/>
      </w:rPr>
    </w:lvl>
    <w:lvl w:ilvl="1" w:tplc="0072806A" w:tentative="1">
      <w:start w:val="1"/>
      <w:numFmt w:val="bullet"/>
      <w:lvlText w:val=""/>
      <w:lvlJc w:val="left"/>
      <w:pPr>
        <w:tabs>
          <w:tab w:val="num" w:pos="1440"/>
        </w:tabs>
        <w:ind w:left="1440" w:hanging="360"/>
      </w:pPr>
      <w:rPr>
        <w:rFonts w:ascii="Wingdings" w:hAnsi="Wingdings" w:hint="default"/>
      </w:rPr>
    </w:lvl>
    <w:lvl w:ilvl="2" w:tplc="D9E6DD2A" w:tentative="1">
      <w:start w:val="1"/>
      <w:numFmt w:val="bullet"/>
      <w:lvlText w:val=""/>
      <w:lvlJc w:val="left"/>
      <w:pPr>
        <w:tabs>
          <w:tab w:val="num" w:pos="2160"/>
        </w:tabs>
        <w:ind w:left="2160" w:hanging="360"/>
      </w:pPr>
      <w:rPr>
        <w:rFonts w:ascii="Wingdings" w:hAnsi="Wingdings" w:hint="default"/>
      </w:rPr>
    </w:lvl>
    <w:lvl w:ilvl="3" w:tplc="0CBABBA6" w:tentative="1">
      <w:start w:val="1"/>
      <w:numFmt w:val="bullet"/>
      <w:lvlText w:val=""/>
      <w:lvlJc w:val="left"/>
      <w:pPr>
        <w:tabs>
          <w:tab w:val="num" w:pos="2880"/>
        </w:tabs>
        <w:ind w:left="2880" w:hanging="360"/>
      </w:pPr>
      <w:rPr>
        <w:rFonts w:ascii="Wingdings" w:hAnsi="Wingdings" w:hint="default"/>
      </w:rPr>
    </w:lvl>
    <w:lvl w:ilvl="4" w:tplc="8196D04E" w:tentative="1">
      <w:start w:val="1"/>
      <w:numFmt w:val="bullet"/>
      <w:lvlText w:val=""/>
      <w:lvlJc w:val="left"/>
      <w:pPr>
        <w:tabs>
          <w:tab w:val="num" w:pos="3600"/>
        </w:tabs>
        <w:ind w:left="3600" w:hanging="360"/>
      </w:pPr>
      <w:rPr>
        <w:rFonts w:ascii="Wingdings" w:hAnsi="Wingdings" w:hint="default"/>
      </w:rPr>
    </w:lvl>
    <w:lvl w:ilvl="5" w:tplc="ECB2E5FE" w:tentative="1">
      <w:start w:val="1"/>
      <w:numFmt w:val="bullet"/>
      <w:lvlText w:val=""/>
      <w:lvlJc w:val="left"/>
      <w:pPr>
        <w:tabs>
          <w:tab w:val="num" w:pos="4320"/>
        </w:tabs>
        <w:ind w:left="4320" w:hanging="360"/>
      </w:pPr>
      <w:rPr>
        <w:rFonts w:ascii="Wingdings" w:hAnsi="Wingdings" w:hint="default"/>
      </w:rPr>
    </w:lvl>
    <w:lvl w:ilvl="6" w:tplc="EA04289E" w:tentative="1">
      <w:start w:val="1"/>
      <w:numFmt w:val="bullet"/>
      <w:lvlText w:val=""/>
      <w:lvlJc w:val="left"/>
      <w:pPr>
        <w:tabs>
          <w:tab w:val="num" w:pos="5040"/>
        </w:tabs>
        <w:ind w:left="5040" w:hanging="360"/>
      </w:pPr>
      <w:rPr>
        <w:rFonts w:ascii="Wingdings" w:hAnsi="Wingdings" w:hint="default"/>
      </w:rPr>
    </w:lvl>
    <w:lvl w:ilvl="7" w:tplc="B07C338C" w:tentative="1">
      <w:start w:val="1"/>
      <w:numFmt w:val="bullet"/>
      <w:lvlText w:val=""/>
      <w:lvlJc w:val="left"/>
      <w:pPr>
        <w:tabs>
          <w:tab w:val="num" w:pos="5760"/>
        </w:tabs>
        <w:ind w:left="5760" w:hanging="360"/>
      </w:pPr>
      <w:rPr>
        <w:rFonts w:ascii="Wingdings" w:hAnsi="Wingdings" w:hint="default"/>
      </w:rPr>
    </w:lvl>
    <w:lvl w:ilvl="8" w:tplc="FA5EB250" w:tentative="1">
      <w:start w:val="1"/>
      <w:numFmt w:val="bullet"/>
      <w:lvlText w:val=""/>
      <w:lvlJc w:val="left"/>
      <w:pPr>
        <w:tabs>
          <w:tab w:val="num" w:pos="6480"/>
        </w:tabs>
        <w:ind w:left="6480" w:hanging="360"/>
      </w:pPr>
      <w:rPr>
        <w:rFonts w:ascii="Wingdings" w:hAnsi="Wingdings" w:hint="default"/>
      </w:rPr>
    </w:lvl>
  </w:abstractNum>
  <w:abstractNum w:abstractNumId="31">
    <w:nsid w:val="5F21315F"/>
    <w:multiLevelType w:val="hybridMultilevel"/>
    <w:tmpl w:val="9CF28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1F3D32"/>
    <w:multiLevelType w:val="hybridMultilevel"/>
    <w:tmpl w:val="0E460B2A"/>
    <w:lvl w:ilvl="0" w:tplc="C6D2F762">
      <w:numFmt w:val="bullet"/>
      <w:lvlText w:val="-"/>
      <w:lvlJc w:val="left"/>
      <w:pPr>
        <w:ind w:left="1146" w:hanging="360"/>
      </w:pPr>
      <w:rPr>
        <w:rFonts w:ascii="Arial" w:eastAsia="Times New Roman" w:hAnsi="Aria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3">
    <w:nsid w:val="60224228"/>
    <w:multiLevelType w:val="hybridMultilevel"/>
    <w:tmpl w:val="7A7EB2D4"/>
    <w:lvl w:ilvl="0" w:tplc="41664ABE">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22A3A2E"/>
    <w:multiLevelType w:val="multilevel"/>
    <w:tmpl w:val="0AE2B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0974AA"/>
    <w:multiLevelType w:val="hybridMultilevel"/>
    <w:tmpl w:val="4B0461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BE33BFA"/>
    <w:multiLevelType w:val="hybridMultilevel"/>
    <w:tmpl w:val="2B98D862"/>
    <w:lvl w:ilvl="0" w:tplc="D3641954">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E8F3AE0"/>
    <w:multiLevelType w:val="hybridMultilevel"/>
    <w:tmpl w:val="A4280F6C"/>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3F1239F"/>
    <w:multiLevelType w:val="hybridMultilevel"/>
    <w:tmpl w:val="95323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AC22C25"/>
    <w:multiLevelType w:val="multilevel"/>
    <w:tmpl w:val="6872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D17349B"/>
    <w:multiLevelType w:val="hybridMultilevel"/>
    <w:tmpl w:val="D714A360"/>
    <w:lvl w:ilvl="0" w:tplc="240A0001">
      <w:start w:val="1"/>
      <w:numFmt w:val="bullet"/>
      <w:lvlText w:val=""/>
      <w:lvlJc w:val="left"/>
      <w:pPr>
        <w:ind w:left="720" w:hanging="360"/>
      </w:pPr>
      <w:rPr>
        <w:rFonts w:ascii="Symbol" w:hAnsi="Symbol" w:hint="default"/>
      </w:rPr>
    </w:lvl>
    <w:lvl w:ilvl="1" w:tplc="D5F8484E">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2"/>
  </w:num>
  <w:num w:numId="4">
    <w:abstractNumId w:val="24"/>
  </w:num>
  <w:num w:numId="5">
    <w:abstractNumId w:val="38"/>
  </w:num>
  <w:num w:numId="6">
    <w:abstractNumId w:val="20"/>
  </w:num>
  <w:num w:numId="7">
    <w:abstractNumId w:val="10"/>
  </w:num>
  <w:num w:numId="8">
    <w:abstractNumId w:val="9"/>
  </w:num>
  <w:num w:numId="9">
    <w:abstractNumId w:val="35"/>
  </w:num>
  <w:num w:numId="10">
    <w:abstractNumId w:val="8"/>
  </w:num>
  <w:num w:numId="11">
    <w:abstractNumId w:val="5"/>
  </w:num>
  <w:num w:numId="12">
    <w:abstractNumId w:val="34"/>
  </w:num>
  <w:num w:numId="13">
    <w:abstractNumId w:val="39"/>
  </w:num>
  <w:num w:numId="14">
    <w:abstractNumId w:val="17"/>
  </w:num>
  <w:num w:numId="15">
    <w:abstractNumId w:val="7"/>
  </w:num>
  <w:num w:numId="16">
    <w:abstractNumId w:val="26"/>
  </w:num>
  <w:num w:numId="17">
    <w:abstractNumId w:val="33"/>
  </w:num>
  <w:num w:numId="18">
    <w:abstractNumId w:val="23"/>
  </w:num>
  <w:num w:numId="19">
    <w:abstractNumId w:val="25"/>
  </w:num>
  <w:num w:numId="20">
    <w:abstractNumId w:val="0"/>
  </w:num>
  <w:num w:numId="21">
    <w:abstractNumId w:val="14"/>
  </w:num>
  <w:num w:numId="22">
    <w:abstractNumId w:val="6"/>
  </w:num>
  <w:num w:numId="23">
    <w:abstractNumId w:val="31"/>
  </w:num>
  <w:num w:numId="24">
    <w:abstractNumId w:val="22"/>
  </w:num>
  <w:num w:numId="25">
    <w:abstractNumId w:val="15"/>
  </w:num>
  <w:num w:numId="26">
    <w:abstractNumId w:val="1"/>
  </w:num>
  <w:num w:numId="27">
    <w:abstractNumId w:val="40"/>
  </w:num>
  <w:num w:numId="28">
    <w:abstractNumId w:val="29"/>
  </w:num>
  <w:num w:numId="29">
    <w:abstractNumId w:val="37"/>
  </w:num>
  <w:num w:numId="30">
    <w:abstractNumId w:val="30"/>
  </w:num>
  <w:num w:numId="31">
    <w:abstractNumId w:val="12"/>
  </w:num>
  <w:num w:numId="32">
    <w:abstractNumId w:val="18"/>
  </w:num>
  <w:num w:numId="33">
    <w:abstractNumId w:val="19"/>
  </w:num>
  <w:num w:numId="34">
    <w:abstractNumId w:val="27"/>
  </w:num>
  <w:num w:numId="35">
    <w:abstractNumId w:val="28"/>
  </w:num>
  <w:num w:numId="36">
    <w:abstractNumId w:val="36"/>
  </w:num>
  <w:num w:numId="37">
    <w:abstractNumId w:val="3"/>
  </w:num>
  <w:num w:numId="38">
    <w:abstractNumId w:val="14"/>
  </w:num>
  <w:num w:numId="39">
    <w:abstractNumId w:val="16"/>
  </w:num>
  <w:num w:numId="40">
    <w:abstractNumId w:val="2"/>
  </w:num>
  <w:num w:numId="41">
    <w:abstractNumId w:val="11"/>
  </w:num>
  <w:num w:numId="42">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82C"/>
    <w:rsid w:val="00000AC5"/>
    <w:rsid w:val="0000112A"/>
    <w:rsid w:val="000016A6"/>
    <w:rsid w:val="00002A8D"/>
    <w:rsid w:val="00004452"/>
    <w:rsid w:val="00004A50"/>
    <w:rsid w:val="000059B8"/>
    <w:rsid w:val="00005B96"/>
    <w:rsid w:val="000076EC"/>
    <w:rsid w:val="00010DD3"/>
    <w:rsid w:val="00011269"/>
    <w:rsid w:val="00011430"/>
    <w:rsid w:val="00011801"/>
    <w:rsid w:val="0001190A"/>
    <w:rsid w:val="00011BCE"/>
    <w:rsid w:val="00012611"/>
    <w:rsid w:val="000132A1"/>
    <w:rsid w:val="000154B2"/>
    <w:rsid w:val="000155BB"/>
    <w:rsid w:val="000159EA"/>
    <w:rsid w:val="0002047E"/>
    <w:rsid w:val="00020A4F"/>
    <w:rsid w:val="00021C2A"/>
    <w:rsid w:val="00021CBC"/>
    <w:rsid w:val="0002495C"/>
    <w:rsid w:val="00025190"/>
    <w:rsid w:val="00025F38"/>
    <w:rsid w:val="0002796F"/>
    <w:rsid w:val="00031ABB"/>
    <w:rsid w:val="00032111"/>
    <w:rsid w:val="00033160"/>
    <w:rsid w:val="0003606D"/>
    <w:rsid w:val="00036731"/>
    <w:rsid w:val="00036A42"/>
    <w:rsid w:val="00036CCB"/>
    <w:rsid w:val="00037129"/>
    <w:rsid w:val="0003786D"/>
    <w:rsid w:val="00040A87"/>
    <w:rsid w:val="0004268D"/>
    <w:rsid w:val="00042695"/>
    <w:rsid w:val="00042776"/>
    <w:rsid w:val="000468B2"/>
    <w:rsid w:val="00047AD8"/>
    <w:rsid w:val="00047D27"/>
    <w:rsid w:val="00050074"/>
    <w:rsid w:val="00050F59"/>
    <w:rsid w:val="000512AC"/>
    <w:rsid w:val="000516B3"/>
    <w:rsid w:val="00053241"/>
    <w:rsid w:val="00054A48"/>
    <w:rsid w:val="00054C28"/>
    <w:rsid w:val="0005538D"/>
    <w:rsid w:val="000606F2"/>
    <w:rsid w:val="00060C03"/>
    <w:rsid w:val="00061A24"/>
    <w:rsid w:val="00063A38"/>
    <w:rsid w:val="00063FB1"/>
    <w:rsid w:val="000650D9"/>
    <w:rsid w:val="00065939"/>
    <w:rsid w:val="00065B18"/>
    <w:rsid w:val="00066B89"/>
    <w:rsid w:val="000671C0"/>
    <w:rsid w:val="000721C1"/>
    <w:rsid w:val="0007345E"/>
    <w:rsid w:val="00075308"/>
    <w:rsid w:val="000760FF"/>
    <w:rsid w:val="00076100"/>
    <w:rsid w:val="0007673F"/>
    <w:rsid w:val="000769A4"/>
    <w:rsid w:val="00081025"/>
    <w:rsid w:val="000815D5"/>
    <w:rsid w:val="00083B40"/>
    <w:rsid w:val="00083C02"/>
    <w:rsid w:val="0008405D"/>
    <w:rsid w:val="000844A8"/>
    <w:rsid w:val="0008684A"/>
    <w:rsid w:val="00087088"/>
    <w:rsid w:val="00091EB1"/>
    <w:rsid w:val="000925A1"/>
    <w:rsid w:val="00093F69"/>
    <w:rsid w:val="00095B51"/>
    <w:rsid w:val="000963F9"/>
    <w:rsid w:val="00096C70"/>
    <w:rsid w:val="000972D1"/>
    <w:rsid w:val="000977E7"/>
    <w:rsid w:val="00097C86"/>
    <w:rsid w:val="00097DB5"/>
    <w:rsid w:val="000A0030"/>
    <w:rsid w:val="000A14D7"/>
    <w:rsid w:val="000A6C08"/>
    <w:rsid w:val="000A7364"/>
    <w:rsid w:val="000B0229"/>
    <w:rsid w:val="000B4E23"/>
    <w:rsid w:val="000B4E77"/>
    <w:rsid w:val="000B7C3B"/>
    <w:rsid w:val="000C05B0"/>
    <w:rsid w:val="000C1D5E"/>
    <w:rsid w:val="000C3623"/>
    <w:rsid w:val="000C3F43"/>
    <w:rsid w:val="000C482C"/>
    <w:rsid w:val="000D1C54"/>
    <w:rsid w:val="000D2BCE"/>
    <w:rsid w:val="000D506D"/>
    <w:rsid w:val="000D50FE"/>
    <w:rsid w:val="000D61DE"/>
    <w:rsid w:val="000E1909"/>
    <w:rsid w:val="000E3C29"/>
    <w:rsid w:val="000E418B"/>
    <w:rsid w:val="000E4312"/>
    <w:rsid w:val="000E4369"/>
    <w:rsid w:val="000E536D"/>
    <w:rsid w:val="000E6583"/>
    <w:rsid w:val="000E6B86"/>
    <w:rsid w:val="000E7865"/>
    <w:rsid w:val="000F00B1"/>
    <w:rsid w:val="000F078A"/>
    <w:rsid w:val="000F1586"/>
    <w:rsid w:val="000F2705"/>
    <w:rsid w:val="000F4D4E"/>
    <w:rsid w:val="000F552A"/>
    <w:rsid w:val="00100E1D"/>
    <w:rsid w:val="00101EBD"/>
    <w:rsid w:val="001031C4"/>
    <w:rsid w:val="0010473C"/>
    <w:rsid w:val="00104872"/>
    <w:rsid w:val="00104EC6"/>
    <w:rsid w:val="00104FEE"/>
    <w:rsid w:val="0010508F"/>
    <w:rsid w:val="00105763"/>
    <w:rsid w:val="00105A20"/>
    <w:rsid w:val="001064EA"/>
    <w:rsid w:val="001067DF"/>
    <w:rsid w:val="00106D51"/>
    <w:rsid w:val="00110BE8"/>
    <w:rsid w:val="00111845"/>
    <w:rsid w:val="001144A9"/>
    <w:rsid w:val="00115610"/>
    <w:rsid w:val="00120391"/>
    <w:rsid w:val="0012109F"/>
    <w:rsid w:val="00121CCB"/>
    <w:rsid w:val="00121F38"/>
    <w:rsid w:val="00122282"/>
    <w:rsid w:val="00122734"/>
    <w:rsid w:val="00122A65"/>
    <w:rsid w:val="00123402"/>
    <w:rsid w:val="00125FA9"/>
    <w:rsid w:val="00127502"/>
    <w:rsid w:val="001277C9"/>
    <w:rsid w:val="001316B7"/>
    <w:rsid w:val="00132A36"/>
    <w:rsid w:val="00132BB4"/>
    <w:rsid w:val="00132EA8"/>
    <w:rsid w:val="00133168"/>
    <w:rsid w:val="00133465"/>
    <w:rsid w:val="00134E79"/>
    <w:rsid w:val="001353FF"/>
    <w:rsid w:val="00135704"/>
    <w:rsid w:val="001363EA"/>
    <w:rsid w:val="001377B6"/>
    <w:rsid w:val="00140AEF"/>
    <w:rsid w:val="001411E5"/>
    <w:rsid w:val="00144095"/>
    <w:rsid w:val="001469EB"/>
    <w:rsid w:val="00150187"/>
    <w:rsid w:val="00154CFA"/>
    <w:rsid w:val="00155F9D"/>
    <w:rsid w:val="0015630E"/>
    <w:rsid w:val="00157A18"/>
    <w:rsid w:val="00161BE3"/>
    <w:rsid w:val="00166659"/>
    <w:rsid w:val="00167D8D"/>
    <w:rsid w:val="0017605A"/>
    <w:rsid w:val="00176FFA"/>
    <w:rsid w:val="001772B9"/>
    <w:rsid w:val="00177AE3"/>
    <w:rsid w:val="00177FB8"/>
    <w:rsid w:val="00180A84"/>
    <w:rsid w:val="00181CD3"/>
    <w:rsid w:val="0018260C"/>
    <w:rsid w:val="0018278A"/>
    <w:rsid w:val="00183F8F"/>
    <w:rsid w:val="00185617"/>
    <w:rsid w:val="00186190"/>
    <w:rsid w:val="00187DF6"/>
    <w:rsid w:val="00190823"/>
    <w:rsid w:val="001916AF"/>
    <w:rsid w:val="001920BF"/>
    <w:rsid w:val="00193297"/>
    <w:rsid w:val="0019403D"/>
    <w:rsid w:val="001944EB"/>
    <w:rsid w:val="00194546"/>
    <w:rsid w:val="00197A0A"/>
    <w:rsid w:val="001A0BC5"/>
    <w:rsid w:val="001A0EA1"/>
    <w:rsid w:val="001A1949"/>
    <w:rsid w:val="001A292B"/>
    <w:rsid w:val="001A5510"/>
    <w:rsid w:val="001A5ED6"/>
    <w:rsid w:val="001A6FB6"/>
    <w:rsid w:val="001A720F"/>
    <w:rsid w:val="001A76D1"/>
    <w:rsid w:val="001B047D"/>
    <w:rsid w:val="001B0FCF"/>
    <w:rsid w:val="001B11EA"/>
    <w:rsid w:val="001B1E2A"/>
    <w:rsid w:val="001B29AE"/>
    <w:rsid w:val="001B484F"/>
    <w:rsid w:val="001B5474"/>
    <w:rsid w:val="001B70CB"/>
    <w:rsid w:val="001B761A"/>
    <w:rsid w:val="001C33C1"/>
    <w:rsid w:val="001C4279"/>
    <w:rsid w:val="001C6022"/>
    <w:rsid w:val="001C7725"/>
    <w:rsid w:val="001C798A"/>
    <w:rsid w:val="001C7B5A"/>
    <w:rsid w:val="001D0068"/>
    <w:rsid w:val="001D0440"/>
    <w:rsid w:val="001D0D50"/>
    <w:rsid w:val="001D124B"/>
    <w:rsid w:val="001D137E"/>
    <w:rsid w:val="001D1FD3"/>
    <w:rsid w:val="001D615B"/>
    <w:rsid w:val="001D78E7"/>
    <w:rsid w:val="001E0250"/>
    <w:rsid w:val="001E058F"/>
    <w:rsid w:val="001E214B"/>
    <w:rsid w:val="001E2E7B"/>
    <w:rsid w:val="001E36A5"/>
    <w:rsid w:val="001E5883"/>
    <w:rsid w:val="001E638F"/>
    <w:rsid w:val="001E6404"/>
    <w:rsid w:val="001E677D"/>
    <w:rsid w:val="001E70BC"/>
    <w:rsid w:val="001F3794"/>
    <w:rsid w:val="001F4229"/>
    <w:rsid w:val="001F6790"/>
    <w:rsid w:val="001F6FE2"/>
    <w:rsid w:val="001F72F6"/>
    <w:rsid w:val="001F76F5"/>
    <w:rsid w:val="001F7DBF"/>
    <w:rsid w:val="00200A63"/>
    <w:rsid w:val="00201CD0"/>
    <w:rsid w:val="002030B3"/>
    <w:rsid w:val="002036D1"/>
    <w:rsid w:val="00203763"/>
    <w:rsid w:val="0020381D"/>
    <w:rsid w:val="00204E38"/>
    <w:rsid w:val="002067A1"/>
    <w:rsid w:val="00210853"/>
    <w:rsid w:val="00210B09"/>
    <w:rsid w:val="00211ACD"/>
    <w:rsid w:val="0021240F"/>
    <w:rsid w:val="00213574"/>
    <w:rsid w:val="002142AC"/>
    <w:rsid w:val="00214E28"/>
    <w:rsid w:val="002168CD"/>
    <w:rsid w:val="00217EA7"/>
    <w:rsid w:val="002211D8"/>
    <w:rsid w:val="00221CC3"/>
    <w:rsid w:val="00223E4C"/>
    <w:rsid w:val="00223F6A"/>
    <w:rsid w:val="002242B4"/>
    <w:rsid w:val="002248DC"/>
    <w:rsid w:val="002271E4"/>
    <w:rsid w:val="00230528"/>
    <w:rsid w:val="002316AA"/>
    <w:rsid w:val="00232150"/>
    <w:rsid w:val="002334EF"/>
    <w:rsid w:val="00234B0B"/>
    <w:rsid w:val="0023646E"/>
    <w:rsid w:val="00240C73"/>
    <w:rsid w:val="00240EF4"/>
    <w:rsid w:val="00241E8C"/>
    <w:rsid w:val="00243332"/>
    <w:rsid w:val="00243657"/>
    <w:rsid w:val="0024488E"/>
    <w:rsid w:val="00246E13"/>
    <w:rsid w:val="00246E98"/>
    <w:rsid w:val="00247F30"/>
    <w:rsid w:val="00251043"/>
    <w:rsid w:val="00253D21"/>
    <w:rsid w:val="00254DDF"/>
    <w:rsid w:val="00256A9C"/>
    <w:rsid w:val="00261D8F"/>
    <w:rsid w:val="002623F4"/>
    <w:rsid w:val="00262A5F"/>
    <w:rsid w:val="002639B8"/>
    <w:rsid w:val="00265386"/>
    <w:rsid w:val="00265CEC"/>
    <w:rsid w:val="0026604B"/>
    <w:rsid w:val="00266720"/>
    <w:rsid w:val="002668E4"/>
    <w:rsid w:val="00274D93"/>
    <w:rsid w:val="00275E6F"/>
    <w:rsid w:val="002760AB"/>
    <w:rsid w:val="0027684C"/>
    <w:rsid w:val="0028234F"/>
    <w:rsid w:val="00282E5F"/>
    <w:rsid w:val="002846D9"/>
    <w:rsid w:val="0028549A"/>
    <w:rsid w:val="00286BA9"/>
    <w:rsid w:val="00286BB7"/>
    <w:rsid w:val="00290EF7"/>
    <w:rsid w:val="0029282C"/>
    <w:rsid w:val="00293976"/>
    <w:rsid w:val="00295F8B"/>
    <w:rsid w:val="00297F9D"/>
    <w:rsid w:val="002A18F9"/>
    <w:rsid w:val="002A2530"/>
    <w:rsid w:val="002A2942"/>
    <w:rsid w:val="002A613B"/>
    <w:rsid w:val="002A6B6E"/>
    <w:rsid w:val="002A78AE"/>
    <w:rsid w:val="002B0929"/>
    <w:rsid w:val="002B17A5"/>
    <w:rsid w:val="002B25C1"/>
    <w:rsid w:val="002B2E21"/>
    <w:rsid w:val="002B44A3"/>
    <w:rsid w:val="002B7B6E"/>
    <w:rsid w:val="002C303C"/>
    <w:rsid w:val="002C31BB"/>
    <w:rsid w:val="002C3EA4"/>
    <w:rsid w:val="002C676F"/>
    <w:rsid w:val="002C6B1B"/>
    <w:rsid w:val="002C7C02"/>
    <w:rsid w:val="002D0598"/>
    <w:rsid w:val="002D1A2D"/>
    <w:rsid w:val="002D294D"/>
    <w:rsid w:val="002D49D8"/>
    <w:rsid w:val="002D543B"/>
    <w:rsid w:val="002D6CC9"/>
    <w:rsid w:val="002D6D8F"/>
    <w:rsid w:val="002D7C2C"/>
    <w:rsid w:val="002E10E3"/>
    <w:rsid w:val="002E1BCA"/>
    <w:rsid w:val="002E51A9"/>
    <w:rsid w:val="002E55FA"/>
    <w:rsid w:val="002E57B9"/>
    <w:rsid w:val="002E5B81"/>
    <w:rsid w:val="002E6969"/>
    <w:rsid w:val="002E6A22"/>
    <w:rsid w:val="002E7634"/>
    <w:rsid w:val="002F03EC"/>
    <w:rsid w:val="002F1EBF"/>
    <w:rsid w:val="002F23F8"/>
    <w:rsid w:val="002F2C8E"/>
    <w:rsid w:val="002F4D54"/>
    <w:rsid w:val="002F518B"/>
    <w:rsid w:val="002F5C55"/>
    <w:rsid w:val="002F6689"/>
    <w:rsid w:val="002F67E3"/>
    <w:rsid w:val="002F6A4B"/>
    <w:rsid w:val="002F6D52"/>
    <w:rsid w:val="002F797D"/>
    <w:rsid w:val="00300360"/>
    <w:rsid w:val="003008A0"/>
    <w:rsid w:val="00300B5D"/>
    <w:rsid w:val="00300C97"/>
    <w:rsid w:val="00301EF1"/>
    <w:rsid w:val="003028C6"/>
    <w:rsid w:val="00304277"/>
    <w:rsid w:val="00304986"/>
    <w:rsid w:val="00305B3B"/>
    <w:rsid w:val="0031185B"/>
    <w:rsid w:val="003134A6"/>
    <w:rsid w:val="00313A78"/>
    <w:rsid w:val="00313CF1"/>
    <w:rsid w:val="0031756E"/>
    <w:rsid w:val="003204EA"/>
    <w:rsid w:val="003227A0"/>
    <w:rsid w:val="003234FF"/>
    <w:rsid w:val="00323525"/>
    <w:rsid w:val="00324247"/>
    <w:rsid w:val="00326F06"/>
    <w:rsid w:val="00331948"/>
    <w:rsid w:val="00331CD0"/>
    <w:rsid w:val="00331E8D"/>
    <w:rsid w:val="00332291"/>
    <w:rsid w:val="00333445"/>
    <w:rsid w:val="00333BE1"/>
    <w:rsid w:val="00335372"/>
    <w:rsid w:val="00336307"/>
    <w:rsid w:val="00336828"/>
    <w:rsid w:val="00336DDB"/>
    <w:rsid w:val="0033737C"/>
    <w:rsid w:val="00337B0F"/>
    <w:rsid w:val="00340135"/>
    <w:rsid w:val="00345A63"/>
    <w:rsid w:val="00345E9A"/>
    <w:rsid w:val="0034706F"/>
    <w:rsid w:val="00347BAB"/>
    <w:rsid w:val="003526CC"/>
    <w:rsid w:val="00353D98"/>
    <w:rsid w:val="003541BA"/>
    <w:rsid w:val="0035605D"/>
    <w:rsid w:val="003564D8"/>
    <w:rsid w:val="00356514"/>
    <w:rsid w:val="00357944"/>
    <w:rsid w:val="00357C8D"/>
    <w:rsid w:val="00362189"/>
    <w:rsid w:val="00362274"/>
    <w:rsid w:val="00362F45"/>
    <w:rsid w:val="00364183"/>
    <w:rsid w:val="003673C8"/>
    <w:rsid w:val="0037078D"/>
    <w:rsid w:val="0037340A"/>
    <w:rsid w:val="0037605C"/>
    <w:rsid w:val="00376A92"/>
    <w:rsid w:val="00376CA3"/>
    <w:rsid w:val="00377440"/>
    <w:rsid w:val="00380F1E"/>
    <w:rsid w:val="00381225"/>
    <w:rsid w:val="00382EA8"/>
    <w:rsid w:val="003830D4"/>
    <w:rsid w:val="0038394C"/>
    <w:rsid w:val="00384016"/>
    <w:rsid w:val="00384772"/>
    <w:rsid w:val="00386796"/>
    <w:rsid w:val="00386881"/>
    <w:rsid w:val="003874C7"/>
    <w:rsid w:val="00396B52"/>
    <w:rsid w:val="00397555"/>
    <w:rsid w:val="00397F98"/>
    <w:rsid w:val="003A2596"/>
    <w:rsid w:val="003A269F"/>
    <w:rsid w:val="003A43AD"/>
    <w:rsid w:val="003A473B"/>
    <w:rsid w:val="003B0351"/>
    <w:rsid w:val="003B0CCC"/>
    <w:rsid w:val="003B1825"/>
    <w:rsid w:val="003B2AF9"/>
    <w:rsid w:val="003B4B01"/>
    <w:rsid w:val="003B4B10"/>
    <w:rsid w:val="003B5012"/>
    <w:rsid w:val="003B527A"/>
    <w:rsid w:val="003B7BF3"/>
    <w:rsid w:val="003C0158"/>
    <w:rsid w:val="003C174C"/>
    <w:rsid w:val="003C1829"/>
    <w:rsid w:val="003C31ED"/>
    <w:rsid w:val="003C429B"/>
    <w:rsid w:val="003C50FB"/>
    <w:rsid w:val="003D0D48"/>
    <w:rsid w:val="003D14A7"/>
    <w:rsid w:val="003D27C6"/>
    <w:rsid w:val="003D2996"/>
    <w:rsid w:val="003D2C73"/>
    <w:rsid w:val="003D4C5F"/>
    <w:rsid w:val="003D66A1"/>
    <w:rsid w:val="003E0093"/>
    <w:rsid w:val="003E01C3"/>
    <w:rsid w:val="003E037A"/>
    <w:rsid w:val="003E0716"/>
    <w:rsid w:val="003E1D62"/>
    <w:rsid w:val="003E2652"/>
    <w:rsid w:val="003E4B23"/>
    <w:rsid w:val="003E5345"/>
    <w:rsid w:val="003E7536"/>
    <w:rsid w:val="003E7D32"/>
    <w:rsid w:val="003F086E"/>
    <w:rsid w:val="003F14C0"/>
    <w:rsid w:val="003F52E2"/>
    <w:rsid w:val="003F5CEE"/>
    <w:rsid w:val="003F6AB6"/>
    <w:rsid w:val="003F6F4E"/>
    <w:rsid w:val="003F701C"/>
    <w:rsid w:val="003F74FE"/>
    <w:rsid w:val="00401CF3"/>
    <w:rsid w:val="0040264B"/>
    <w:rsid w:val="00402824"/>
    <w:rsid w:val="00403191"/>
    <w:rsid w:val="004035A1"/>
    <w:rsid w:val="00404A86"/>
    <w:rsid w:val="00404CBC"/>
    <w:rsid w:val="00405D94"/>
    <w:rsid w:val="00405EB3"/>
    <w:rsid w:val="00407425"/>
    <w:rsid w:val="00411933"/>
    <w:rsid w:val="0041200F"/>
    <w:rsid w:val="0041535E"/>
    <w:rsid w:val="0041576C"/>
    <w:rsid w:val="00416797"/>
    <w:rsid w:val="0041714A"/>
    <w:rsid w:val="00417170"/>
    <w:rsid w:val="0041757C"/>
    <w:rsid w:val="00417970"/>
    <w:rsid w:val="00417EDE"/>
    <w:rsid w:val="00420498"/>
    <w:rsid w:val="004242F1"/>
    <w:rsid w:val="0042474B"/>
    <w:rsid w:val="00425596"/>
    <w:rsid w:val="004268B5"/>
    <w:rsid w:val="00426D83"/>
    <w:rsid w:val="004275DB"/>
    <w:rsid w:val="00427A4D"/>
    <w:rsid w:val="00430819"/>
    <w:rsid w:val="004340F1"/>
    <w:rsid w:val="004343F3"/>
    <w:rsid w:val="0043458A"/>
    <w:rsid w:val="00437D6B"/>
    <w:rsid w:val="004420E9"/>
    <w:rsid w:val="00442B82"/>
    <w:rsid w:val="00447BC5"/>
    <w:rsid w:val="00450808"/>
    <w:rsid w:val="00450B72"/>
    <w:rsid w:val="00450CAE"/>
    <w:rsid w:val="0045117F"/>
    <w:rsid w:val="004514C5"/>
    <w:rsid w:val="00453793"/>
    <w:rsid w:val="004544DF"/>
    <w:rsid w:val="00455548"/>
    <w:rsid w:val="00460358"/>
    <w:rsid w:val="00460A8B"/>
    <w:rsid w:val="00461C38"/>
    <w:rsid w:val="0046327D"/>
    <w:rsid w:val="00464682"/>
    <w:rsid w:val="004702E9"/>
    <w:rsid w:val="004710E6"/>
    <w:rsid w:val="00472886"/>
    <w:rsid w:val="0047310A"/>
    <w:rsid w:val="004732D6"/>
    <w:rsid w:val="0047391F"/>
    <w:rsid w:val="0047459C"/>
    <w:rsid w:val="00475B71"/>
    <w:rsid w:val="00476B89"/>
    <w:rsid w:val="00476BC2"/>
    <w:rsid w:val="00476DAB"/>
    <w:rsid w:val="00476E2A"/>
    <w:rsid w:val="004802BA"/>
    <w:rsid w:val="00481488"/>
    <w:rsid w:val="00482928"/>
    <w:rsid w:val="00483063"/>
    <w:rsid w:val="004863AF"/>
    <w:rsid w:val="00486996"/>
    <w:rsid w:val="0048745C"/>
    <w:rsid w:val="0048771E"/>
    <w:rsid w:val="00487C4D"/>
    <w:rsid w:val="004918F0"/>
    <w:rsid w:val="004929DF"/>
    <w:rsid w:val="004929F2"/>
    <w:rsid w:val="00493933"/>
    <w:rsid w:val="004950D4"/>
    <w:rsid w:val="00495562"/>
    <w:rsid w:val="0049598F"/>
    <w:rsid w:val="00495F89"/>
    <w:rsid w:val="004A01F1"/>
    <w:rsid w:val="004A0369"/>
    <w:rsid w:val="004A0FD0"/>
    <w:rsid w:val="004A1073"/>
    <w:rsid w:val="004A14AD"/>
    <w:rsid w:val="004A1730"/>
    <w:rsid w:val="004A1FF3"/>
    <w:rsid w:val="004A264C"/>
    <w:rsid w:val="004A345E"/>
    <w:rsid w:val="004A3E15"/>
    <w:rsid w:val="004B1587"/>
    <w:rsid w:val="004B1D07"/>
    <w:rsid w:val="004B2322"/>
    <w:rsid w:val="004B2715"/>
    <w:rsid w:val="004B461E"/>
    <w:rsid w:val="004C02D7"/>
    <w:rsid w:val="004C053F"/>
    <w:rsid w:val="004C1893"/>
    <w:rsid w:val="004C19F0"/>
    <w:rsid w:val="004C1D79"/>
    <w:rsid w:val="004C5818"/>
    <w:rsid w:val="004D1F0C"/>
    <w:rsid w:val="004D45A5"/>
    <w:rsid w:val="004D4AE7"/>
    <w:rsid w:val="004D71BC"/>
    <w:rsid w:val="004E1FDE"/>
    <w:rsid w:val="004E43F6"/>
    <w:rsid w:val="004E4ADF"/>
    <w:rsid w:val="004E627A"/>
    <w:rsid w:val="004E6616"/>
    <w:rsid w:val="004F26E7"/>
    <w:rsid w:val="004F3EB3"/>
    <w:rsid w:val="004F53A2"/>
    <w:rsid w:val="004F55D2"/>
    <w:rsid w:val="00500332"/>
    <w:rsid w:val="00501C06"/>
    <w:rsid w:val="00501C7C"/>
    <w:rsid w:val="00503A21"/>
    <w:rsid w:val="00503EDA"/>
    <w:rsid w:val="00504C41"/>
    <w:rsid w:val="0050607B"/>
    <w:rsid w:val="00506FBD"/>
    <w:rsid w:val="0051018D"/>
    <w:rsid w:val="005142FE"/>
    <w:rsid w:val="005144B4"/>
    <w:rsid w:val="005179E2"/>
    <w:rsid w:val="005209AA"/>
    <w:rsid w:val="00520D4B"/>
    <w:rsid w:val="00522684"/>
    <w:rsid w:val="00523946"/>
    <w:rsid w:val="0052574B"/>
    <w:rsid w:val="00525E05"/>
    <w:rsid w:val="00525EB0"/>
    <w:rsid w:val="00530517"/>
    <w:rsid w:val="00532554"/>
    <w:rsid w:val="00532CE4"/>
    <w:rsid w:val="00532F01"/>
    <w:rsid w:val="005339B4"/>
    <w:rsid w:val="00540370"/>
    <w:rsid w:val="005411EE"/>
    <w:rsid w:val="005416BC"/>
    <w:rsid w:val="00541F5A"/>
    <w:rsid w:val="00542623"/>
    <w:rsid w:val="00542B72"/>
    <w:rsid w:val="00543BF4"/>
    <w:rsid w:val="00546935"/>
    <w:rsid w:val="00546DF6"/>
    <w:rsid w:val="00547EDC"/>
    <w:rsid w:val="00551561"/>
    <w:rsid w:val="00552857"/>
    <w:rsid w:val="00552CAA"/>
    <w:rsid w:val="00553CD5"/>
    <w:rsid w:val="00553FF1"/>
    <w:rsid w:val="005540ED"/>
    <w:rsid w:val="00555B1F"/>
    <w:rsid w:val="005562F4"/>
    <w:rsid w:val="005566F9"/>
    <w:rsid w:val="00557140"/>
    <w:rsid w:val="005575C7"/>
    <w:rsid w:val="005611E8"/>
    <w:rsid w:val="00564C1C"/>
    <w:rsid w:val="00566B2F"/>
    <w:rsid w:val="00567511"/>
    <w:rsid w:val="00567A6C"/>
    <w:rsid w:val="00567E76"/>
    <w:rsid w:val="00570525"/>
    <w:rsid w:val="00571A5A"/>
    <w:rsid w:val="00572278"/>
    <w:rsid w:val="00572B3B"/>
    <w:rsid w:val="00572FE0"/>
    <w:rsid w:val="00573708"/>
    <w:rsid w:val="00575821"/>
    <w:rsid w:val="00582038"/>
    <w:rsid w:val="00583340"/>
    <w:rsid w:val="00584BE8"/>
    <w:rsid w:val="00584BF9"/>
    <w:rsid w:val="00587BAF"/>
    <w:rsid w:val="00591D84"/>
    <w:rsid w:val="00592589"/>
    <w:rsid w:val="00592BFA"/>
    <w:rsid w:val="005933EC"/>
    <w:rsid w:val="00594DD9"/>
    <w:rsid w:val="0059518E"/>
    <w:rsid w:val="005965E8"/>
    <w:rsid w:val="005A0570"/>
    <w:rsid w:val="005A0680"/>
    <w:rsid w:val="005A0937"/>
    <w:rsid w:val="005A1B6A"/>
    <w:rsid w:val="005A22FB"/>
    <w:rsid w:val="005A3024"/>
    <w:rsid w:val="005A361A"/>
    <w:rsid w:val="005A37F7"/>
    <w:rsid w:val="005A437B"/>
    <w:rsid w:val="005A578B"/>
    <w:rsid w:val="005A7B39"/>
    <w:rsid w:val="005B00F2"/>
    <w:rsid w:val="005B0A08"/>
    <w:rsid w:val="005B143F"/>
    <w:rsid w:val="005B273F"/>
    <w:rsid w:val="005B4A6B"/>
    <w:rsid w:val="005B6E32"/>
    <w:rsid w:val="005B7734"/>
    <w:rsid w:val="005C212A"/>
    <w:rsid w:val="005C3311"/>
    <w:rsid w:val="005C473C"/>
    <w:rsid w:val="005C4A4F"/>
    <w:rsid w:val="005C6337"/>
    <w:rsid w:val="005C6F44"/>
    <w:rsid w:val="005D0E0F"/>
    <w:rsid w:val="005D1C57"/>
    <w:rsid w:val="005D2CD3"/>
    <w:rsid w:val="005D4248"/>
    <w:rsid w:val="005D7BD5"/>
    <w:rsid w:val="005E0653"/>
    <w:rsid w:val="005E0D7D"/>
    <w:rsid w:val="005E0FD4"/>
    <w:rsid w:val="005E17E0"/>
    <w:rsid w:val="005E1ECF"/>
    <w:rsid w:val="005E32D4"/>
    <w:rsid w:val="005E3F28"/>
    <w:rsid w:val="005E437E"/>
    <w:rsid w:val="005E4F30"/>
    <w:rsid w:val="005E5AC3"/>
    <w:rsid w:val="005E64EE"/>
    <w:rsid w:val="005E73F1"/>
    <w:rsid w:val="005E7CD2"/>
    <w:rsid w:val="005F1FF0"/>
    <w:rsid w:val="005F2502"/>
    <w:rsid w:val="005F2984"/>
    <w:rsid w:val="005F487D"/>
    <w:rsid w:val="00602D7C"/>
    <w:rsid w:val="00602E1E"/>
    <w:rsid w:val="006034DD"/>
    <w:rsid w:val="0060483C"/>
    <w:rsid w:val="00604F54"/>
    <w:rsid w:val="00605B15"/>
    <w:rsid w:val="00610CCE"/>
    <w:rsid w:val="006133BB"/>
    <w:rsid w:val="006143E2"/>
    <w:rsid w:val="006144AF"/>
    <w:rsid w:val="00615048"/>
    <w:rsid w:val="00615F57"/>
    <w:rsid w:val="006174A0"/>
    <w:rsid w:val="00620339"/>
    <w:rsid w:val="0062138C"/>
    <w:rsid w:val="00621D8E"/>
    <w:rsid w:val="006220B6"/>
    <w:rsid w:val="0062393F"/>
    <w:rsid w:val="00625F9C"/>
    <w:rsid w:val="00626FF0"/>
    <w:rsid w:val="00627632"/>
    <w:rsid w:val="00627BF5"/>
    <w:rsid w:val="00631165"/>
    <w:rsid w:val="0063135C"/>
    <w:rsid w:val="00631A8C"/>
    <w:rsid w:val="00633540"/>
    <w:rsid w:val="00635E45"/>
    <w:rsid w:val="00636068"/>
    <w:rsid w:val="00636603"/>
    <w:rsid w:val="00637F1B"/>
    <w:rsid w:val="00640728"/>
    <w:rsid w:val="006432AD"/>
    <w:rsid w:val="00644457"/>
    <w:rsid w:val="006455D4"/>
    <w:rsid w:val="00645868"/>
    <w:rsid w:val="00646B36"/>
    <w:rsid w:val="00647689"/>
    <w:rsid w:val="00650775"/>
    <w:rsid w:val="006562BD"/>
    <w:rsid w:val="006566FD"/>
    <w:rsid w:val="0066006E"/>
    <w:rsid w:val="00660786"/>
    <w:rsid w:val="00660ACF"/>
    <w:rsid w:val="00661248"/>
    <w:rsid w:val="00661A41"/>
    <w:rsid w:val="006635AC"/>
    <w:rsid w:val="0066403E"/>
    <w:rsid w:val="00665B19"/>
    <w:rsid w:val="006675EE"/>
    <w:rsid w:val="006706D2"/>
    <w:rsid w:val="0067110A"/>
    <w:rsid w:val="006713B4"/>
    <w:rsid w:val="00671E33"/>
    <w:rsid w:val="00671FD9"/>
    <w:rsid w:val="00673A95"/>
    <w:rsid w:val="00673BBA"/>
    <w:rsid w:val="00675666"/>
    <w:rsid w:val="0067716D"/>
    <w:rsid w:val="00677771"/>
    <w:rsid w:val="00685B2F"/>
    <w:rsid w:val="0069132E"/>
    <w:rsid w:val="00691851"/>
    <w:rsid w:val="00691B51"/>
    <w:rsid w:val="006935B8"/>
    <w:rsid w:val="006972A3"/>
    <w:rsid w:val="006A13CC"/>
    <w:rsid w:val="006A5156"/>
    <w:rsid w:val="006A5A6D"/>
    <w:rsid w:val="006A740C"/>
    <w:rsid w:val="006B0FE9"/>
    <w:rsid w:val="006B358E"/>
    <w:rsid w:val="006B3AEA"/>
    <w:rsid w:val="006B3C72"/>
    <w:rsid w:val="006B45F9"/>
    <w:rsid w:val="006B50B7"/>
    <w:rsid w:val="006B7A48"/>
    <w:rsid w:val="006C0C69"/>
    <w:rsid w:val="006C0E60"/>
    <w:rsid w:val="006C1517"/>
    <w:rsid w:val="006C1A4E"/>
    <w:rsid w:val="006C1BD1"/>
    <w:rsid w:val="006C3169"/>
    <w:rsid w:val="006C3CFD"/>
    <w:rsid w:val="006C44D8"/>
    <w:rsid w:val="006C5386"/>
    <w:rsid w:val="006C582E"/>
    <w:rsid w:val="006C68FB"/>
    <w:rsid w:val="006C69F5"/>
    <w:rsid w:val="006C7192"/>
    <w:rsid w:val="006D02A5"/>
    <w:rsid w:val="006D0A47"/>
    <w:rsid w:val="006D18BF"/>
    <w:rsid w:val="006D1D18"/>
    <w:rsid w:val="006D1FA7"/>
    <w:rsid w:val="006D201C"/>
    <w:rsid w:val="006D21A7"/>
    <w:rsid w:val="006D2C87"/>
    <w:rsid w:val="006D34F0"/>
    <w:rsid w:val="006D5269"/>
    <w:rsid w:val="006D5CB4"/>
    <w:rsid w:val="006E0CF7"/>
    <w:rsid w:val="006E165C"/>
    <w:rsid w:val="006E29C6"/>
    <w:rsid w:val="006E46FE"/>
    <w:rsid w:val="006E49F5"/>
    <w:rsid w:val="006E5C18"/>
    <w:rsid w:val="006E5FC0"/>
    <w:rsid w:val="006F04EF"/>
    <w:rsid w:val="006F0602"/>
    <w:rsid w:val="006F069D"/>
    <w:rsid w:val="006F2531"/>
    <w:rsid w:val="006F4B02"/>
    <w:rsid w:val="006F4BA8"/>
    <w:rsid w:val="006F4DB3"/>
    <w:rsid w:val="006F5F6C"/>
    <w:rsid w:val="006F63E5"/>
    <w:rsid w:val="006F7250"/>
    <w:rsid w:val="00702119"/>
    <w:rsid w:val="0070286D"/>
    <w:rsid w:val="00702B04"/>
    <w:rsid w:val="00704C24"/>
    <w:rsid w:val="00704D7A"/>
    <w:rsid w:val="007076C3"/>
    <w:rsid w:val="007077F5"/>
    <w:rsid w:val="00710811"/>
    <w:rsid w:val="00710910"/>
    <w:rsid w:val="00710D0A"/>
    <w:rsid w:val="0071290C"/>
    <w:rsid w:val="007152D2"/>
    <w:rsid w:val="00717ACF"/>
    <w:rsid w:val="00721876"/>
    <w:rsid w:val="0072244D"/>
    <w:rsid w:val="00722715"/>
    <w:rsid w:val="00724B4A"/>
    <w:rsid w:val="0072580A"/>
    <w:rsid w:val="0072610A"/>
    <w:rsid w:val="00727155"/>
    <w:rsid w:val="00730601"/>
    <w:rsid w:val="007341F6"/>
    <w:rsid w:val="00735685"/>
    <w:rsid w:val="00735F7A"/>
    <w:rsid w:val="007362A4"/>
    <w:rsid w:val="00737736"/>
    <w:rsid w:val="00740A70"/>
    <w:rsid w:val="00740E80"/>
    <w:rsid w:val="007507E1"/>
    <w:rsid w:val="00750ACB"/>
    <w:rsid w:val="00750DC8"/>
    <w:rsid w:val="00754E81"/>
    <w:rsid w:val="007556C6"/>
    <w:rsid w:val="00756E35"/>
    <w:rsid w:val="00756EBE"/>
    <w:rsid w:val="00757928"/>
    <w:rsid w:val="007603D3"/>
    <w:rsid w:val="00760FBA"/>
    <w:rsid w:val="007616BA"/>
    <w:rsid w:val="007625B2"/>
    <w:rsid w:val="007628CA"/>
    <w:rsid w:val="00764612"/>
    <w:rsid w:val="00767DDD"/>
    <w:rsid w:val="0077016F"/>
    <w:rsid w:val="007703E2"/>
    <w:rsid w:val="00770589"/>
    <w:rsid w:val="00770973"/>
    <w:rsid w:val="007718C9"/>
    <w:rsid w:val="00771921"/>
    <w:rsid w:val="00773007"/>
    <w:rsid w:val="00773CF3"/>
    <w:rsid w:val="00774599"/>
    <w:rsid w:val="007764C5"/>
    <w:rsid w:val="00776D41"/>
    <w:rsid w:val="0078000B"/>
    <w:rsid w:val="00780B2F"/>
    <w:rsid w:val="00780E8B"/>
    <w:rsid w:val="007826EE"/>
    <w:rsid w:val="00782CEF"/>
    <w:rsid w:val="0078358A"/>
    <w:rsid w:val="00783B11"/>
    <w:rsid w:val="0078495C"/>
    <w:rsid w:val="00784F77"/>
    <w:rsid w:val="00785774"/>
    <w:rsid w:val="00786592"/>
    <w:rsid w:val="00786A4E"/>
    <w:rsid w:val="007900AB"/>
    <w:rsid w:val="00791F01"/>
    <w:rsid w:val="00792C4F"/>
    <w:rsid w:val="007950B0"/>
    <w:rsid w:val="00796DAA"/>
    <w:rsid w:val="00797752"/>
    <w:rsid w:val="00797D23"/>
    <w:rsid w:val="007A011B"/>
    <w:rsid w:val="007A12BB"/>
    <w:rsid w:val="007A296B"/>
    <w:rsid w:val="007A327A"/>
    <w:rsid w:val="007A3B14"/>
    <w:rsid w:val="007A4375"/>
    <w:rsid w:val="007A5254"/>
    <w:rsid w:val="007A54E8"/>
    <w:rsid w:val="007A5D71"/>
    <w:rsid w:val="007A5DDE"/>
    <w:rsid w:val="007A5EEE"/>
    <w:rsid w:val="007B133B"/>
    <w:rsid w:val="007B1E5E"/>
    <w:rsid w:val="007B2B02"/>
    <w:rsid w:val="007B3254"/>
    <w:rsid w:val="007B38A0"/>
    <w:rsid w:val="007B3CB7"/>
    <w:rsid w:val="007B4CC9"/>
    <w:rsid w:val="007B52C5"/>
    <w:rsid w:val="007B5D70"/>
    <w:rsid w:val="007B6500"/>
    <w:rsid w:val="007C0018"/>
    <w:rsid w:val="007C17F3"/>
    <w:rsid w:val="007C187D"/>
    <w:rsid w:val="007C2483"/>
    <w:rsid w:val="007C3050"/>
    <w:rsid w:val="007C50D4"/>
    <w:rsid w:val="007C5B82"/>
    <w:rsid w:val="007C7DA3"/>
    <w:rsid w:val="007D1615"/>
    <w:rsid w:val="007D1714"/>
    <w:rsid w:val="007D26A7"/>
    <w:rsid w:val="007D37C5"/>
    <w:rsid w:val="007D3DC7"/>
    <w:rsid w:val="007D4C84"/>
    <w:rsid w:val="007D7645"/>
    <w:rsid w:val="007E0057"/>
    <w:rsid w:val="007E1836"/>
    <w:rsid w:val="007E1ED5"/>
    <w:rsid w:val="007E2AD0"/>
    <w:rsid w:val="007E471A"/>
    <w:rsid w:val="007E4AC3"/>
    <w:rsid w:val="007E5B0E"/>
    <w:rsid w:val="007E7306"/>
    <w:rsid w:val="007E7ED3"/>
    <w:rsid w:val="007F1FB0"/>
    <w:rsid w:val="007F5462"/>
    <w:rsid w:val="008021B9"/>
    <w:rsid w:val="00803D0D"/>
    <w:rsid w:val="008044AC"/>
    <w:rsid w:val="00806A3D"/>
    <w:rsid w:val="008076B3"/>
    <w:rsid w:val="00811186"/>
    <w:rsid w:val="00811F11"/>
    <w:rsid w:val="00811FE2"/>
    <w:rsid w:val="008121DE"/>
    <w:rsid w:val="0081232F"/>
    <w:rsid w:val="00812F9F"/>
    <w:rsid w:val="008146AA"/>
    <w:rsid w:val="00817F9B"/>
    <w:rsid w:val="008229A8"/>
    <w:rsid w:val="00822E39"/>
    <w:rsid w:val="008236D8"/>
    <w:rsid w:val="008250C2"/>
    <w:rsid w:val="00825259"/>
    <w:rsid w:val="00825662"/>
    <w:rsid w:val="0082590B"/>
    <w:rsid w:val="0082739B"/>
    <w:rsid w:val="00827CED"/>
    <w:rsid w:val="008316F1"/>
    <w:rsid w:val="008327BE"/>
    <w:rsid w:val="00832BF6"/>
    <w:rsid w:val="00835DF7"/>
    <w:rsid w:val="00836C60"/>
    <w:rsid w:val="008375E3"/>
    <w:rsid w:val="00840C8F"/>
    <w:rsid w:val="008413ED"/>
    <w:rsid w:val="0084177E"/>
    <w:rsid w:val="008448FC"/>
    <w:rsid w:val="0084548E"/>
    <w:rsid w:val="008501F6"/>
    <w:rsid w:val="00850D45"/>
    <w:rsid w:val="00851E51"/>
    <w:rsid w:val="00853D70"/>
    <w:rsid w:val="00854273"/>
    <w:rsid w:val="008552D2"/>
    <w:rsid w:val="0085737E"/>
    <w:rsid w:val="0086221F"/>
    <w:rsid w:val="008647A9"/>
    <w:rsid w:val="00864A2A"/>
    <w:rsid w:val="00866D1F"/>
    <w:rsid w:val="00870CF0"/>
    <w:rsid w:val="008714CD"/>
    <w:rsid w:val="00872362"/>
    <w:rsid w:val="0087344A"/>
    <w:rsid w:val="00874654"/>
    <w:rsid w:val="00874FC9"/>
    <w:rsid w:val="00875135"/>
    <w:rsid w:val="0087777E"/>
    <w:rsid w:val="00880069"/>
    <w:rsid w:val="008805A7"/>
    <w:rsid w:val="00881038"/>
    <w:rsid w:val="008814AD"/>
    <w:rsid w:val="008826AA"/>
    <w:rsid w:val="00884D24"/>
    <w:rsid w:val="008855E1"/>
    <w:rsid w:val="00885E87"/>
    <w:rsid w:val="00892F18"/>
    <w:rsid w:val="008944B3"/>
    <w:rsid w:val="008944E9"/>
    <w:rsid w:val="008947EA"/>
    <w:rsid w:val="008968A5"/>
    <w:rsid w:val="008A1378"/>
    <w:rsid w:val="008A43F7"/>
    <w:rsid w:val="008A450F"/>
    <w:rsid w:val="008A53F6"/>
    <w:rsid w:val="008A561F"/>
    <w:rsid w:val="008A7045"/>
    <w:rsid w:val="008B14D8"/>
    <w:rsid w:val="008B2A87"/>
    <w:rsid w:val="008B2FEF"/>
    <w:rsid w:val="008B49BD"/>
    <w:rsid w:val="008B5112"/>
    <w:rsid w:val="008B57EE"/>
    <w:rsid w:val="008B7B25"/>
    <w:rsid w:val="008C17AB"/>
    <w:rsid w:val="008C1D5C"/>
    <w:rsid w:val="008C4E14"/>
    <w:rsid w:val="008C5309"/>
    <w:rsid w:val="008C550D"/>
    <w:rsid w:val="008C57AB"/>
    <w:rsid w:val="008C6DA7"/>
    <w:rsid w:val="008C7D7A"/>
    <w:rsid w:val="008D0911"/>
    <w:rsid w:val="008D1AC9"/>
    <w:rsid w:val="008D1FEF"/>
    <w:rsid w:val="008D2980"/>
    <w:rsid w:val="008D3162"/>
    <w:rsid w:val="008D31A1"/>
    <w:rsid w:val="008D3D4A"/>
    <w:rsid w:val="008D6B13"/>
    <w:rsid w:val="008E0689"/>
    <w:rsid w:val="008E16F6"/>
    <w:rsid w:val="008E276C"/>
    <w:rsid w:val="008E4208"/>
    <w:rsid w:val="008E61D7"/>
    <w:rsid w:val="008E633F"/>
    <w:rsid w:val="008E7169"/>
    <w:rsid w:val="008F07A8"/>
    <w:rsid w:val="008F2592"/>
    <w:rsid w:val="00902124"/>
    <w:rsid w:val="00902F08"/>
    <w:rsid w:val="00903362"/>
    <w:rsid w:val="00905BEA"/>
    <w:rsid w:val="009065B1"/>
    <w:rsid w:val="00906CB2"/>
    <w:rsid w:val="0090718E"/>
    <w:rsid w:val="0090787F"/>
    <w:rsid w:val="00907EB5"/>
    <w:rsid w:val="0091012E"/>
    <w:rsid w:val="009102F2"/>
    <w:rsid w:val="00910AD5"/>
    <w:rsid w:val="00911342"/>
    <w:rsid w:val="00913B26"/>
    <w:rsid w:val="00915972"/>
    <w:rsid w:val="00916002"/>
    <w:rsid w:val="009161A8"/>
    <w:rsid w:val="009210C7"/>
    <w:rsid w:val="009212A7"/>
    <w:rsid w:val="009228BA"/>
    <w:rsid w:val="0092615B"/>
    <w:rsid w:val="009266DB"/>
    <w:rsid w:val="00926BEE"/>
    <w:rsid w:val="00927098"/>
    <w:rsid w:val="00927912"/>
    <w:rsid w:val="009331E9"/>
    <w:rsid w:val="0093336E"/>
    <w:rsid w:val="00935633"/>
    <w:rsid w:val="009401E1"/>
    <w:rsid w:val="009402DC"/>
    <w:rsid w:val="00941B06"/>
    <w:rsid w:val="0094232A"/>
    <w:rsid w:val="0094267A"/>
    <w:rsid w:val="00942710"/>
    <w:rsid w:val="00943FC3"/>
    <w:rsid w:val="00944698"/>
    <w:rsid w:val="00944A25"/>
    <w:rsid w:val="0094533E"/>
    <w:rsid w:val="009454BB"/>
    <w:rsid w:val="00952D2F"/>
    <w:rsid w:val="00952FF5"/>
    <w:rsid w:val="0096063C"/>
    <w:rsid w:val="009606FB"/>
    <w:rsid w:val="00962B56"/>
    <w:rsid w:val="009643D3"/>
    <w:rsid w:val="00965A69"/>
    <w:rsid w:val="00965C3E"/>
    <w:rsid w:val="00967E45"/>
    <w:rsid w:val="00970EA2"/>
    <w:rsid w:val="00971244"/>
    <w:rsid w:val="009713A7"/>
    <w:rsid w:val="00972016"/>
    <w:rsid w:val="00972952"/>
    <w:rsid w:val="00973055"/>
    <w:rsid w:val="009730CD"/>
    <w:rsid w:val="00974598"/>
    <w:rsid w:val="00975CE5"/>
    <w:rsid w:val="00976204"/>
    <w:rsid w:val="009779E9"/>
    <w:rsid w:val="00980BD0"/>
    <w:rsid w:val="00980EEC"/>
    <w:rsid w:val="00981B1A"/>
    <w:rsid w:val="00983C85"/>
    <w:rsid w:val="009850F3"/>
    <w:rsid w:val="009854CF"/>
    <w:rsid w:val="0098572D"/>
    <w:rsid w:val="0098756C"/>
    <w:rsid w:val="0099032A"/>
    <w:rsid w:val="0099051E"/>
    <w:rsid w:val="00990E63"/>
    <w:rsid w:val="0099196C"/>
    <w:rsid w:val="009925A2"/>
    <w:rsid w:val="0099274D"/>
    <w:rsid w:val="009966E9"/>
    <w:rsid w:val="009974FE"/>
    <w:rsid w:val="00997C09"/>
    <w:rsid w:val="00997EE9"/>
    <w:rsid w:val="009A01B2"/>
    <w:rsid w:val="009A0D5A"/>
    <w:rsid w:val="009A1DDD"/>
    <w:rsid w:val="009A27DC"/>
    <w:rsid w:val="009A32E1"/>
    <w:rsid w:val="009A441F"/>
    <w:rsid w:val="009A4D9B"/>
    <w:rsid w:val="009A5815"/>
    <w:rsid w:val="009A71F7"/>
    <w:rsid w:val="009B002D"/>
    <w:rsid w:val="009B2260"/>
    <w:rsid w:val="009B29CA"/>
    <w:rsid w:val="009B34DF"/>
    <w:rsid w:val="009B3AD8"/>
    <w:rsid w:val="009B3BE2"/>
    <w:rsid w:val="009B42D0"/>
    <w:rsid w:val="009B51F1"/>
    <w:rsid w:val="009B7978"/>
    <w:rsid w:val="009C20C9"/>
    <w:rsid w:val="009C35C0"/>
    <w:rsid w:val="009C5DA6"/>
    <w:rsid w:val="009C6673"/>
    <w:rsid w:val="009C6843"/>
    <w:rsid w:val="009C7B4F"/>
    <w:rsid w:val="009D0707"/>
    <w:rsid w:val="009D27C7"/>
    <w:rsid w:val="009D3CC2"/>
    <w:rsid w:val="009D3D77"/>
    <w:rsid w:val="009D68C4"/>
    <w:rsid w:val="009D6D5D"/>
    <w:rsid w:val="009E01C9"/>
    <w:rsid w:val="009E14E1"/>
    <w:rsid w:val="009E19ED"/>
    <w:rsid w:val="009E1A57"/>
    <w:rsid w:val="009E1DDB"/>
    <w:rsid w:val="009E3C0B"/>
    <w:rsid w:val="009E60A4"/>
    <w:rsid w:val="009E61F3"/>
    <w:rsid w:val="009E6B4E"/>
    <w:rsid w:val="009E7122"/>
    <w:rsid w:val="009E7803"/>
    <w:rsid w:val="009F08CA"/>
    <w:rsid w:val="009F47E3"/>
    <w:rsid w:val="009F5641"/>
    <w:rsid w:val="009F6E61"/>
    <w:rsid w:val="009F7198"/>
    <w:rsid w:val="00A02547"/>
    <w:rsid w:val="00A03C12"/>
    <w:rsid w:val="00A04821"/>
    <w:rsid w:val="00A04C9C"/>
    <w:rsid w:val="00A050C3"/>
    <w:rsid w:val="00A07C62"/>
    <w:rsid w:val="00A10310"/>
    <w:rsid w:val="00A1069A"/>
    <w:rsid w:val="00A14752"/>
    <w:rsid w:val="00A15BE8"/>
    <w:rsid w:val="00A15CA6"/>
    <w:rsid w:val="00A174AE"/>
    <w:rsid w:val="00A17A17"/>
    <w:rsid w:val="00A17F89"/>
    <w:rsid w:val="00A2485B"/>
    <w:rsid w:val="00A25247"/>
    <w:rsid w:val="00A25529"/>
    <w:rsid w:val="00A25EE7"/>
    <w:rsid w:val="00A25FB4"/>
    <w:rsid w:val="00A26871"/>
    <w:rsid w:val="00A278F1"/>
    <w:rsid w:val="00A30BE7"/>
    <w:rsid w:val="00A31A0D"/>
    <w:rsid w:val="00A32284"/>
    <w:rsid w:val="00A34CE6"/>
    <w:rsid w:val="00A35EF1"/>
    <w:rsid w:val="00A368A0"/>
    <w:rsid w:val="00A36EFB"/>
    <w:rsid w:val="00A37361"/>
    <w:rsid w:val="00A3762F"/>
    <w:rsid w:val="00A376F0"/>
    <w:rsid w:val="00A41FEB"/>
    <w:rsid w:val="00A43A12"/>
    <w:rsid w:val="00A465AF"/>
    <w:rsid w:val="00A46AE8"/>
    <w:rsid w:val="00A51775"/>
    <w:rsid w:val="00A51F84"/>
    <w:rsid w:val="00A52618"/>
    <w:rsid w:val="00A528CF"/>
    <w:rsid w:val="00A53A6B"/>
    <w:rsid w:val="00A54BF2"/>
    <w:rsid w:val="00A56161"/>
    <w:rsid w:val="00A61222"/>
    <w:rsid w:val="00A617E5"/>
    <w:rsid w:val="00A65431"/>
    <w:rsid w:val="00A658D4"/>
    <w:rsid w:val="00A679CC"/>
    <w:rsid w:val="00A67F4A"/>
    <w:rsid w:val="00A721DC"/>
    <w:rsid w:val="00A72624"/>
    <w:rsid w:val="00A72637"/>
    <w:rsid w:val="00A72D5D"/>
    <w:rsid w:val="00A72E52"/>
    <w:rsid w:val="00A73737"/>
    <w:rsid w:val="00A74B21"/>
    <w:rsid w:val="00A7648C"/>
    <w:rsid w:val="00A76513"/>
    <w:rsid w:val="00A77AD3"/>
    <w:rsid w:val="00A77AF9"/>
    <w:rsid w:val="00A802C4"/>
    <w:rsid w:val="00A804F5"/>
    <w:rsid w:val="00A8158C"/>
    <w:rsid w:val="00A8352F"/>
    <w:rsid w:val="00A83E97"/>
    <w:rsid w:val="00A84651"/>
    <w:rsid w:val="00A84B81"/>
    <w:rsid w:val="00A8587B"/>
    <w:rsid w:val="00A91A69"/>
    <w:rsid w:val="00A93FA7"/>
    <w:rsid w:val="00A9516E"/>
    <w:rsid w:val="00A97454"/>
    <w:rsid w:val="00AA27BF"/>
    <w:rsid w:val="00AA3C25"/>
    <w:rsid w:val="00AA77AD"/>
    <w:rsid w:val="00AB1A7E"/>
    <w:rsid w:val="00AB2155"/>
    <w:rsid w:val="00AB34D5"/>
    <w:rsid w:val="00AB3814"/>
    <w:rsid w:val="00AB3E49"/>
    <w:rsid w:val="00AB750F"/>
    <w:rsid w:val="00AB7579"/>
    <w:rsid w:val="00AC2175"/>
    <w:rsid w:val="00AC3F0F"/>
    <w:rsid w:val="00AC53F8"/>
    <w:rsid w:val="00AC706F"/>
    <w:rsid w:val="00AC7775"/>
    <w:rsid w:val="00AD05C9"/>
    <w:rsid w:val="00AD0FAC"/>
    <w:rsid w:val="00AD2544"/>
    <w:rsid w:val="00AD342E"/>
    <w:rsid w:val="00AD35B0"/>
    <w:rsid w:val="00AD36FD"/>
    <w:rsid w:val="00AD4793"/>
    <w:rsid w:val="00AD5A95"/>
    <w:rsid w:val="00AD7252"/>
    <w:rsid w:val="00AE1FA5"/>
    <w:rsid w:val="00AE20C3"/>
    <w:rsid w:val="00AE2566"/>
    <w:rsid w:val="00AE3803"/>
    <w:rsid w:val="00AE4023"/>
    <w:rsid w:val="00AE5242"/>
    <w:rsid w:val="00AE5259"/>
    <w:rsid w:val="00AE56F1"/>
    <w:rsid w:val="00AE7E3B"/>
    <w:rsid w:val="00AF011B"/>
    <w:rsid w:val="00AF0221"/>
    <w:rsid w:val="00AF04D7"/>
    <w:rsid w:val="00AF2361"/>
    <w:rsid w:val="00AF268D"/>
    <w:rsid w:val="00AF344B"/>
    <w:rsid w:val="00AF38CF"/>
    <w:rsid w:val="00AF3B81"/>
    <w:rsid w:val="00AF4C56"/>
    <w:rsid w:val="00AF57FD"/>
    <w:rsid w:val="00AF6708"/>
    <w:rsid w:val="00B00111"/>
    <w:rsid w:val="00B02CD3"/>
    <w:rsid w:val="00B02DA7"/>
    <w:rsid w:val="00B0388A"/>
    <w:rsid w:val="00B0497F"/>
    <w:rsid w:val="00B06CBF"/>
    <w:rsid w:val="00B10363"/>
    <w:rsid w:val="00B115AF"/>
    <w:rsid w:val="00B11E25"/>
    <w:rsid w:val="00B11E7B"/>
    <w:rsid w:val="00B14FC1"/>
    <w:rsid w:val="00B15285"/>
    <w:rsid w:val="00B1659C"/>
    <w:rsid w:val="00B17152"/>
    <w:rsid w:val="00B1766D"/>
    <w:rsid w:val="00B177F4"/>
    <w:rsid w:val="00B20083"/>
    <w:rsid w:val="00B20E6A"/>
    <w:rsid w:val="00B23367"/>
    <w:rsid w:val="00B23A5C"/>
    <w:rsid w:val="00B242BC"/>
    <w:rsid w:val="00B24490"/>
    <w:rsid w:val="00B24775"/>
    <w:rsid w:val="00B249FF"/>
    <w:rsid w:val="00B24C5C"/>
    <w:rsid w:val="00B24EFD"/>
    <w:rsid w:val="00B252B3"/>
    <w:rsid w:val="00B254E3"/>
    <w:rsid w:val="00B25738"/>
    <w:rsid w:val="00B26031"/>
    <w:rsid w:val="00B27AC5"/>
    <w:rsid w:val="00B31B8F"/>
    <w:rsid w:val="00B31D35"/>
    <w:rsid w:val="00B322BD"/>
    <w:rsid w:val="00B32A84"/>
    <w:rsid w:val="00B342E8"/>
    <w:rsid w:val="00B359BF"/>
    <w:rsid w:val="00B370D3"/>
    <w:rsid w:val="00B37380"/>
    <w:rsid w:val="00B37E1F"/>
    <w:rsid w:val="00B4004E"/>
    <w:rsid w:val="00B40456"/>
    <w:rsid w:val="00B4055E"/>
    <w:rsid w:val="00B413D5"/>
    <w:rsid w:val="00B419AA"/>
    <w:rsid w:val="00B41A67"/>
    <w:rsid w:val="00B423E9"/>
    <w:rsid w:val="00B42DBC"/>
    <w:rsid w:val="00B44D77"/>
    <w:rsid w:val="00B460C2"/>
    <w:rsid w:val="00B46DAE"/>
    <w:rsid w:val="00B5015A"/>
    <w:rsid w:val="00B51820"/>
    <w:rsid w:val="00B51998"/>
    <w:rsid w:val="00B51BB7"/>
    <w:rsid w:val="00B51F5A"/>
    <w:rsid w:val="00B560C7"/>
    <w:rsid w:val="00B579DB"/>
    <w:rsid w:val="00B616BC"/>
    <w:rsid w:val="00B61AC9"/>
    <w:rsid w:val="00B635A4"/>
    <w:rsid w:val="00B649E0"/>
    <w:rsid w:val="00B64A56"/>
    <w:rsid w:val="00B66120"/>
    <w:rsid w:val="00B677FF"/>
    <w:rsid w:val="00B67A63"/>
    <w:rsid w:val="00B76824"/>
    <w:rsid w:val="00B76AA1"/>
    <w:rsid w:val="00B76AC1"/>
    <w:rsid w:val="00B77614"/>
    <w:rsid w:val="00B905FD"/>
    <w:rsid w:val="00B90E2E"/>
    <w:rsid w:val="00B921C6"/>
    <w:rsid w:val="00B92A62"/>
    <w:rsid w:val="00B93856"/>
    <w:rsid w:val="00B93E2D"/>
    <w:rsid w:val="00B940A3"/>
    <w:rsid w:val="00B951A7"/>
    <w:rsid w:val="00B9736A"/>
    <w:rsid w:val="00B97A7A"/>
    <w:rsid w:val="00BA0CC1"/>
    <w:rsid w:val="00BA3F71"/>
    <w:rsid w:val="00BA71BB"/>
    <w:rsid w:val="00BA79E5"/>
    <w:rsid w:val="00BB29EA"/>
    <w:rsid w:val="00BB2DC4"/>
    <w:rsid w:val="00BB3B86"/>
    <w:rsid w:val="00BB3FD3"/>
    <w:rsid w:val="00BB48E7"/>
    <w:rsid w:val="00BB59C2"/>
    <w:rsid w:val="00BB5BCF"/>
    <w:rsid w:val="00BB6F03"/>
    <w:rsid w:val="00BB7CCD"/>
    <w:rsid w:val="00BC0687"/>
    <w:rsid w:val="00BC0AA1"/>
    <w:rsid w:val="00BC0B0E"/>
    <w:rsid w:val="00BC2BC8"/>
    <w:rsid w:val="00BC3BCB"/>
    <w:rsid w:val="00BC44F8"/>
    <w:rsid w:val="00BD0BF0"/>
    <w:rsid w:val="00BD14EF"/>
    <w:rsid w:val="00BD1FE2"/>
    <w:rsid w:val="00BD2B8A"/>
    <w:rsid w:val="00BD4055"/>
    <w:rsid w:val="00BD4F10"/>
    <w:rsid w:val="00BD5181"/>
    <w:rsid w:val="00BD698F"/>
    <w:rsid w:val="00BD7F51"/>
    <w:rsid w:val="00BE0063"/>
    <w:rsid w:val="00BE0C57"/>
    <w:rsid w:val="00BE16F7"/>
    <w:rsid w:val="00BE4645"/>
    <w:rsid w:val="00BE6915"/>
    <w:rsid w:val="00BE6BB6"/>
    <w:rsid w:val="00BF1BF6"/>
    <w:rsid w:val="00BF4E3A"/>
    <w:rsid w:val="00BF59F9"/>
    <w:rsid w:val="00BF6154"/>
    <w:rsid w:val="00C003CD"/>
    <w:rsid w:val="00C003E3"/>
    <w:rsid w:val="00C027C1"/>
    <w:rsid w:val="00C02A42"/>
    <w:rsid w:val="00C038C2"/>
    <w:rsid w:val="00C038DB"/>
    <w:rsid w:val="00C041DE"/>
    <w:rsid w:val="00C05695"/>
    <w:rsid w:val="00C063B0"/>
    <w:rsid w:val="00C06E6E"/>
    <w:rsid w:val="00C105D7"/>
    <w:rsid w:val="00C1183C"/>
    <w:rsid w:val="00C16F86"/>
    <w:rsid w:val="00C2144D"/>
    <w:rsid w:val="00C21F99"/>
    <w:rsid w:val="00C22F5E"/>
    <w:rsid w:val="00C2455C"/>
    <w:rsid w:val="00C254AD"/>
    <w:rsid w:val="00C30C3E"/>
    <w:rsid w:val="00C31B07"/>
    <w:rsid w:val="00C323CB"/>
    <w:rsid w:val="00C32D87"/>
    <w:rsid w:val="00C3387F"/>
    <w:rsid w:val="00C33D96"/>
    <w:rsid w:val="00C421EE"/>
    <w:rsid w:val="00C435FA"/>
    <w:rsid w:val="00C450E6"/>
    <w:rsid w:val="00C45435"/>
    <w:rsid w:val="00C45FC6"/>
    <w:rsid w:val="00C52517"/>
    <w:rsid w:val="00C52D36"/>
    <w:rsid w:val="00C53511"/>
    <w:rsid w:val="00C5442F"/>
    <w:rsid w:val="00C54907"/>
    <w:rsid w:val="00C54AA5"/>
    <w:rsid w:val="00C60914"/>
    <w:rsid w:val="00C61127"/>
    <w:rsid w:val="00C61302"/>
    <w:rsid w:val="00C62B76"/>
    <w:rsid w:val="00C63270"/>
    <w:rsid w:val="00C63B00"/>
    <w:rsid w:val="00C64FAD"/>
    <w:rsid w:val="00C676E6"/>
    <w:rsid w:val="00C67C6E"/>
    <w:rsid w:val="00C7301F"/>
    <w:rsid w:val="00C73297"/>
    <w:rsid w:val="00C74723"/>
    <w:rsid w:val="00C75106"/>
    <w:rsid w:val="00C75869"/>
    <w:rsid w:val="00C7655E"/>
    <w:rsid w:val="00C768D7"/>
    <w:rsid w:val="00C76B8E"/>
    <w:rsid w:val="00C77B60"/>
    <w:rsid w:val="00C77C2B"/>
    <w:rsid w:val="00C809ED"/>
    <w:rsid w:val="00C80DB6"/>
    <w:rsid w:val="00C81054"/>
    <w:rsid w:val="00C811F6"/>
    <w:rsid w:val="00C82D95"/>
    <w:rsid w:val="00C8312E"/>
    <w:rsid w:val="00C83994"/>
    <w:rsid w:val="00C8565D"/>
    <w:rsid w:val="00C865AE"/>
    <w:rsid w:val="00C869F5"/>
    <w:rsid w:val="00C929A8"/>
    <w:rsid w:val="00C92A64"/>
    <w:rsid w:val="00C93061"/>
    <w:rsid w:val="00C93A32"/>
    <w:rsid w:val="00C93CBD"/>
    <w:rsid w:val="00C95659"/>
    <w:rsid w:val="00C96B31"/>
    <w:rsid w:val="00C97702"/>
    <w:rsid w:val="00CA3D20"/>
    <w:rsid w:val="00CA4080"/>
    <w:rsid w:val="00CA46BA"/>
    <w:rsid w:val="00CA4C11"/>
    <w:rsid w:val="00CA50EA"/>
    <w:rsid w:val="00CB0E79"/>
    <w:rsid w:val="00CB1582"/>
    <w:rsid w:val="00CB16AB"/>
    <w:rsid w:val="00CB3330"/>
    <w:rsid w:val="00CB3EF2"/>
    <w:rsid w:val="00CB40DD"/>
    <w:rsid w:val="00CB67C2"/>
    <w:rsid w:val="00CC10B4"/>
    <w:rsid w:val="00CC3A30"/>
    <w:rsid w:val="00CC3DEF"/>
    <w:rsid w:val="00CC4580"/>
    <w:rsid w:val="00CC64DC"/>
    <w:rsid w:val="00CC73A9"/>
    <w:rsid w:val="00CC754C"/>
    <w:rsid w:val="00CD20BE"/>
    <w:rsid w:val="00CD278B"/>
    <w:rsid w:val="00CD3289"/>
    <w:rsid w:val="00CD3493"/>
    <w:rsid w:val="00CD4CB9"/>
    <w:rsid w:val="00CD512E"/>
    <w:rsid w:val="00CD5418"/>
    <w:rsid w:val="00CD56C5"/>
    <w:rsid w:val="00CD7064"/>
    <w:rsid w:val="00CD7A63"/>
    <w:rsid w:val="00CD7CD8"/>
    <w:rsid w:val="00CE1A2D"/>
    <w:rsid w:val="00CE2C08"/>
    <w:rsid w:val="00CE3013"/>
    <w:rsid w:val="00CE4634"/>
    <w:rsid w:val="00CE497C"/>
    <w:rsid w:val="00CE5425"/>
    <w:rsid w:val="00CE6178"/>
    <w:rsid w:val="00CE724A"/>
    <w:rsid w:val="00CF02D2"/>
    <w:rsid w:val="00CF18DE"/>
    <w:rsid w:val="00CF1F04"/>
    <w:rsid w:val="00CF42BD"/>
    <w:rsid w:val="00CF520A"/>
    <w:rsid w:val="00CF6675"/>
    <w:rsid w:val="00CF69A9"/>
    <w:rsid w:val="00D01167"/>
    <w:rsid w:val="00D0408F"/>
    <w:rsid w:val="00D047A1"/>
    <w:rsid w:val="00D06F29"/>
    <w:rsid w:val="00D1032D"/>
    <w:rsid w:val="00D11E55"/>
    <w:rsid w:val="00D1238E"/>
    <w:rsid w:val="00D14D15"/>
    <w:rsid w:val="00D15065"/>
    <w:rsid w:val="00D169C0"/>
    <w:rsid w:val="00D174B3"/>
    <w:rsid w:val="00D21723"/>
    <w:rsid w:val="00D21B84"/>
    <w:rsid w:val="00D2202F"/>
    <w:rsid w:val="00D2284C"/>
    <w:rsid w:val="00D23F8B"/>
    <w:rsid w:val="00D24420"/>
    <w:rsid w:val="00D24FF1"/>
    <w:rsid w:val="00D25B76"/>
    <w:rsid w:val="00D2659A"/>
    <w:rsid w:val="00D26A44"/>
    <w:rsid w:val="00D3038D"/>
    <w:rsid w:val="00D30582"/>
    <w:rsid w:val="00D3154F"/>
    <w:rsid w:val="00D31D61"/>
    <w:rsid w:val="00D325DC"/>
    <w:rsid w:val="00D33049"/>
    <w:rsid w:val="00D339CA"/>
    <w:rsid w:val="00D34468"/>
    <w:rsid w:val="00D34E83"/>
    <w:rsid w:val="00D369AA"/>
    <w:rsid w:val="00D413F5"/>
    <w:rsid w:val="00D43BF2"/>
    <w:rsid w:val="00D44485"/>
    <w:rsid w:val="00D44C87"/>
    <w:rsid w:val="00D44F98"/>
    <w:rsid w:val="00D45B3B"/>
    <w:rsid w:val="00D46C60"/>
    <w:rsid w:val="00D47BD3"/>
    <w:rsid w:val="00D47BD7"/>
    <w:rsid w:val="00D518A5"/>
    <w:rsid w:val="00D52CE4"/>
    <w:rsid w:val="00D53FFF"/>
    <w:rsid w:val="00D540FC"/>
    <w:rsid w:val="00D542B4"/>
    <w:rsid w:val="00D54F32"/>
    <w:rsid w:val="00D55299"/>
    <w:rsid w:val="00D55F9C"/>
    <w:rsid w:val="00D56843"/>
    <w:rsid w:val="00D60A89"/>
    <w:rsid w:val="00D6393F"/>
    <w:rsid w:val="00D64EF0"/>
    <w:rsid w:val="00D653D7"/>
    <w:rsid w:val="00D65CE8"/>
    <w:rsid w:val="00D65E4B"/>
    <w:rsid w:val="00D667F3"/>
    <w:rsid w:val="00D70711"/>
    <w:rsid w:val="00D74F2A"/>
    <w:rsid w:val="00D75820"/>
    <w:rsid w:val="00D76BF9"/>
    <w:rsid w:val="00D8552B"/>
    <w:rsid w:val="00D86310"/>
    <w:rsid w:val="00D87A13"/>
    <w:rsid w:val="00D9045A"/>
    <w:rsid w:val="00D906AD"/>
    <w:rsid w:val="00D90D4F"/>
    <w:rsid w:val="00D9504F"/>
    <w:rsid w:val="00D955A5"/>
    <w:rsid w:val="00D96D91"/>
    <w:rsid w:val="00D9773F"/>
    <w:rsid w:val="00DA0716"/>
    <w:rsid w:val="00DA09B3"/>
    <w:rsid w:val="00DA1B32"/>
    <w:rsid w:val="00DA28A1"/>
    <w:rsid w:val="00DA67B5"/>
    <w:rsid w:val="00DB26EE"/>
    <w:rsid w:val="00DB30F0"/>
    <w:rsid w:val="00DB3F99"/>
    <w:rsid w:val="00DB504B"/>
    <w:rsid w:val="00DB58E0"/>
    <w:rsid w:val="00DB5DE1"/>
    <w:rsid w:val="00DB5F50"/>
    <w:rsid w:val="00DC03B9"/>
    <w:rsid w:val="00DC070F"/>
    <w:rsid w:val="00DC18E6"/>
    <w:rsid w:val="00DC1BD1"/>
    <w:rsid w:val="00DC2585"/>
    <w:rsid w:val="00DC2751"/>
    <w:rsid w:val="00DC27E6"/>
    <w:rsid w:val="00DC31AD"/>
    <w:rsid w:val="00DC39A6"/>
    <w:rsid w:val="00DC6782"/>
    <w:rsid w:val="00DC6869"/>
    <w:rsid w:val="00DC6DAB"/>
    <w:rsid w:val="00DC7016"/>
    <w:rsid w:val="00DD3031"/>
    <w:rsid w:val="00DD7435"/>
    <w:rsid w:val="00DE070F"/>
    <w:rsid w:val="00DE0859"/>
    <w:rsid w:val="00DE0F59"/>
    <w:rsid w:val="00DE116F"/>
    <w:rsid w:val="00DE1ACA"/>
    <w:rsid w:val="00DE3965"/>
    <w:rsid w:val="00DE3BEA"/>
    <w:rsid w:val="00DE4E76"/>
    <w:rsid w:val="00DE54A7"/>
    <w:rsid w:val="00DE5E0C"/>
    <w:rsid w:val="00DE6A5C"/>
    <w:rsid w:val="00DE71EE"/>
    <w:rsid w:val="00DF1870"/>
    <w:rsid w:val="00DF31C0"/>
    <w:rsid w:val="00DF329E"/>
    <w:rsid w:val="00DF5871"/>
    <w:rsid w:val="00E0440E"/>
    <w:rsid w:val="00E04DBA"/>
    <w:rsid w:val="00E059F8"/>
    <w:rsid w:val="00E100D2"/>
    <w:rsid w:val="00E12C42"/>
    <w:rsid w:val="00E12E10"/>
    <w:rsid w:val="00E13FBD"/>
    <w:rsid w:val="00E147B4"/>
    <w:rsid w:val="00E14BCC"/>
    <w:rsid w:val="00E15555"/>
    <w:rsid w:val="00E17159"/>
    <w:rsid w:val="00E17689"/>
    <w:rsid w:val="00E215D3"/>
    <w:rsid w:val="00E21D8F"/>
    <w:rsid w:val="00E2214F"/>
    <w:rsid w:val="00E22A86"/>
    <w:rsid w:val="00E23BB8"/>
    <w:rsid w:val="00E26B34"/>
    <w:rsid w:val="00E26BC6"/>
    <w:rsid w:val="00E26C79"/>
    <w:rsid w:val="00E27267"/>
    <w:rsid w:val="00E30135"/>
    <w:rsid w:val="00E353FC"/>
    <w:rsid w:val="00E36A4C"/>
    <w:rsid w:val="00E36B24"/>
    <w:rsid w:val="00E378F0"/>
    <w:rsid w:val="00E42187"/>
    <w:rsid w:val="00E43974"/>
    <w:rsid w:val="00E459C8"/>
    <w:rsid w:val="00E4614A"/>
    <w:rsid w:val="00E46B2B"/>
    <w:rsid w:val="00E50F03"/>
    <w:rsid w:val="00E51D07"/>
    <w:rsid w:val="00E51F96"/>
    <w:rsid w:val="00E52459"/>
    <w:rsid w:val="00E5344F"/>
    <w:rsid w:val="00E53847"/>
    <w:rsid w:val="00E55F4A"/>
    <w:rsid w:val="00E5659A"/>
    <w:rsid w:val="00E56838"/>
    <w:rsid w:val="00E57B75"/>
    <w:rsid w:val="00E613DA"/>
    <w:rsid w:val="00E63051"/>
    <w:rsid w:val="00E64B50"/>
    <w:rsid w:val="00E6597E"/>
    <w:rsid w:val="00E673E8"/>
    <w:rsid w:val="00E70194"/>
    <w:rsid w:val="00E70942"/>
    <w:rsid w:val="00E72365"/>
    <w:rsid w:val="00E72606"/>
    <w:rsid w:val="00E73BD6"/>
    <w:rsid w:val="00E757EE"/>
    <w:rsid w:val="00E765F2"/>
    <w:rsid w:val="00E7671A"/>
    <w:rsid w:val="00E768ED"/>
    <w:rsid w:val="00E76E59"/>
    <w:rsid w:val="00E8040C"/>
    <w:rsid w:val="00E810BB"/>
    <w:rsid w:val="00E817CF"/>
    <w:rsid w:val="00E8185D"/>
    <w:rsid w:val="00E8319C"/>
    <w:rsid w:val="00E842CB"/>
    <w:rsid w:val="00E84949"/>
    <w:rsid w:val="00E8662F"/>
    <w:rsid w:val="00E86D29"/>
    <w:rsid w:val="00E9040C"/>
    <w:rsid w:val="00E922F2"/>
    <w:rsid w:val="00E92499"/>
    <w:rsid w:val="00E929FA"/>
    <w:rsid w:val="00E9363B"/>
    <w:rsid w:val="00E94087"/>
    <w:rsid w:val="00E95679"/>
    <w:rsid w:val="00E97E30"/>
    <w:rsid w:val="00EA0E27"/>
    <w:rsid w:val="00EA20CE"/>
    <w:rsid w:val="00EA23A3"/>
    <w:rsid w:val="00EA3483"/>
    <w:rsid w:val="00EA460D"/>
    <w:rsid w:val="00EA4F63"/>
    <w:rsid w:val="00EA5B39"/>
    <w:rsid w:val="00EB126D"/>
    <w:rsid w:val="00EB172B"/>
    <w:rsid w:val="00EB1968"/>
    <w:rsid w:val="00EB413F"/>
    <w:rsid w:val="00EB47E3"/>
    <w:rsid w:val="00EB5582"/>
    <w:rsid w:val="00EB7FC0"/>
    <w:rsid w:val="00EC0455"/>
    <w:rsid w:val="00EC4294"/>
    <w:rsid w:val="00EC464B"/>
    <w:rsid w:val="00EC5822"/>
    <w:rsid w:val="00EC60A5"/>
    <w:rsid w:val="00EC796D"/>
    <w:rsid w:val="00ED0E4E"/>
    <w:rsid w:val="00ED2285"/>
    <w:rsid w:val="00ED3BDE"/>
    <w:rsid w:val="00ED4723"/>
    <w:rsid w:val="00ED4912"/>
    <w:rsid w:val="00ED6434"/>
    <w:rsid w:val="00ED6D9A"/>
    <w:rsid w:val="00EE3D0C"/>
    <w:rsid w:val="00EE44E4"/>
    <w:rsid w:val="00EE5FA0"/>
    <w:rsid w:val="00EF1F53"/>
    <w:rsid w:val="00EF20CD"/>
    <w:rsid w:val="00EF2B1E"/>
    <w:rsid w:val="00EF51EE"/>
    <w:rsid w:val="00EF5211"/>
    <w:rsid w:val="00EF626E"/>
    <w:rsid w:val="00EF6C6C"/>
    <w:rsid w:val="00EF73CF"/>
    <w:rsid w:val="00EF7863"/>
    <w:rsid w:val="00EF7EE2"/>
    <w:rsid w:val="00F01206"/>
    <w:rsid w:val="00F0175F"/>
    <w:rsid w:val="00F02C9C"/>
    <w:rsid w:val="00F03AFA"/>
    <w:rsid w:val="00F04E5F"/>
    <w:rsid w:val="00F05E8F"/>
    <w:rsid w:val="00F067EC"/>
    <w:rsid w:val="00F0704E"/>
    <w:rsid w:val="00F07D88"/>
    <w:rsid w:val="00F112C3"/>
    <w:rsid w:val="00F115DF"/>
    <w:rsid w:val="00F136D1"/>
    <w:rsid w:val="00F14DF6"/>
    <w:rsid w:val="00F15190"/>
    <w:rsid w:val="00F165F8"/>
    <w:rsid w:val="00F1670B"/>
    <w:rsid w:val="00F17766"/>
    <w:rsid w:val="00F178CD"/>
    <w:rsid w:val="00F17E74"/>
    <w:rsid w:val="00F20C35"/>
    <w:rsid w:val="00F21251"/>
    <w:rsid w:val="00F2179E"/>
    <w:rsid w:val="00F2272B"/>
    <w:rsid w:val="00F2358E"/>
    <w:rsid w:val="00F24C01"/>
    <w:rsid w:val="00F26703"/>
    <w:rsid w:val="00F26C3B"/>
    <w:rsid w:val="00F31906"/>
    <w:rsid w:val="00F319F8"/>
    <w:rsid w:val="00F3283E"/>
    <w:rsid w:val="00F32D7B"/>
    <w:rsid w:val="00F32EC5"/>
    <w:rsid w:val="00F32F81"/>
    <w:rsid w:val="00F34159"/>
    <w:rsid w:val="00F3587F"/>
    <w:rsid w:val="00F365FE"/>
    <w:rsid w:val="00F3733C"/>
    <w:rsid w:val="00F43E76"/>
    <w:rsid w:val="00F442B0"/>
    <w:rsid w:val="00F443DC"/>
    <w:rsid w:val="00F451A1"/>
    <w:rsid w:val="00F454E2"/>
    <w:rsid w:val="00F511F4"/>
    <w:rsid w:val="00F520DB"/>
    <w:rsid w:val="00F542D8"/>
    <w:rsid w:val="00F545F8"/>
    <w:rsid w:val="00F558C4"/>
    <w:rsid w:val="00F56373"/>
    <w:rsid w:val="00F57519"/>
    <w:rsid w:val="00F57DFB"/>
    <w:rsid w:val="00F615BA"/>
    <w:rsid w:val="00F61C54"/>
    <w:rsid w:val="00F62878"/>
    <w:rsid w:val="00F62F99"/>
    <w:rsid w:val="00F645B1"/>
    <w:rsid w:val="00F7189F"/>
    <w:rsid w:val="00F7212E"/>
    <w:rsid w:val="00F733F4"/>
    <w:rsid w:val="00F74D9A"/>
    <w:rsid w:val="00F74EB6"/>
    <w:rsid w:val="00F7588F"/>
    <w:rsid w:val="00F763D9"/>
    <w:rsid w:val="00F814C1"/>
    <w:rsid w:val="00F82F09"/>
    <w:rsid w:val="00F8693E"/>
    <w:rsid w:val="00F87788"/>
    <w:rsid w:val="00F877BF"/>
    <w:rsid w:val="00F87AB2"/>
    <w:rsid w:val="00F90BB9"/>
    <w:rsid w:val="00F94536"/>
    <w:rsid w:val="00F945A3"/>
    <w:rsid w:val="00F96E3E"/>
    <w:rsid w:val="00FA005F"/>
    <w:rsid w:val="00FA0793"/>
    <w:rsid w:val="00FA08C7"/>
    <w:rsid w:val="00FA0D0E"/>
    <w:rsid w:val="00FA11DA"/>
    <w:rsid w:val="00FA3230"/>
    <w:rsid w:val="00FA3B98"/>
    <w:rsid w:val="00FA5812"/>
    <w:rsid w:val="00FA5D7B"/>
    <w:rsid w:val="00FB03A1"/>
    <w:rsid w:val="00FB07AD"/>
    <w:rsid w:val="00FB0A03"/>
    <w:rsid w:val="00FB1349"/>
    <w:rsid w:val="00FB34C4"/>
    <w:rsid w:val="00FB4839"/>
    <w:rsid w:val="00FB4E66"/>
    <w:rsid w:val="00FB6289"/>
    <w:rsid w:val="00FB6ACE"/>
    <w:rsid w:val="00FB76E5"/>
    <w:rsid w:val="00FB7A01"/>
    <w:rsid w:val="00FB7B9D"/>
    <w:rsid w:val="00FC3796"/>
    <w:rsid w:val="00FC560C"/>
    <w:rsid w:val="00FD000D"/>
    <w:rsid w:val="00FD05D8"/>
    <w:rsid w:val="00FD0AE1"/>
    <w:rsid w:val="00FD0C4A"/>
    <w:rsid w:val="00FD0D33"/>
    <w:rsid w:val="00FD20F6"/>
    <w:rsid w:val="00FD2C0A"/>
    <w:rsid w:val="00FD2DD3"/>
    <w:rsid w:val="00FD327C"/>
    <w:rsid w:val="00FD38D9"/>
    <w:rsid w:val="00FD3F57"/>
    <w:rsid w:val="00FD4C08"/>
    <w:rsid w:val="00FD5AC1"/>
    <w:rsid w:val="00FD60F3"/>
    <w:rsid w:val="00FD66EA"/>
    <w:rsid w:val="00FD7000"/>
    <w:rsid w:val="00FD7BC1"/>
    <w:rsid w:val="00FD7FA8"/>
    <w:rsid w:val="00FE0354"/>
    <w:rsid w:val="00FE047B"/>
    <w:rsid w:val="00FE2CE8"/>
    <w:rsid w:val="00FE5815"/>
    <w:rsid w:val="00FE5EFC"/>
    <w:rsid w:val="00FE6381"/>
    <w:rsid w:val="00FE7CE3"/>
    <w:rsid w:val="00FF0FBC"/>
    <w:rsid w:val="00FF1218"/>
    <w:rsid w:val="00FF4A1A"/>
    <w:rsid w:val="00FF4B11"/>
    <w:rsid w:val="00FF5778"/>
    <w:rsid w:val="00FF6D90"/>
    <w:rsid w:val="00FF7C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AC5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35" w:qFormat="1"/>
    <w:lsdException w:name="footnote reference"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9C0"/>
    <w:pPr>
      <w:suppressAutoHyphens/>
      <w:spacing w:after="120"/>
      <w:jc w:val="both"/>
    </w:pPr>
    <w:rPr>
      <w:rFonts w:ascii="Arial" w:hAnsi="Arial"/>
      <w:color w:val="000000"/>
      <w:sz w:val="24"/>
    </w:rPr>
  </w:style>
  <w:style w:type="paragraph" w:styleId="Ttulo1">
    <w:name w:val="heading 1"/>
    <w:basedOn w:val="Normal"/>
    <w:next w:val="Normal"/>
    <w:link w:val="Ttulo1Car"/>
    <w:uiPriority w:val="99"/>
    <w:qFormat/>
    <w:rsid w:val="002B0929"/>
    <w:pPr>
      <w:keepNext/>
      <w:numPr>
        <w:numId w:val="21"/>
      </w:numPr>
      <w:spacing w:before="360" w:after="240"/>
      <w:ind w:left="431" w:hanging="431"/>
      <w:outlineLvl w:val="0"/>
    </w:pPr>
    <w:rPr>
      <w:b/>
      <w:color w:val="auto"/>
      <w:lang w:val="es-MX"/>
    </w:rPr>
  </w:style>
  <w:style w:type="paragraph" w:styleId="Ttulo2">
    <w:name w:val="heading 2"/>
    <w:basedOn w:val="Normal"/>
    <w:next w:val="Normal"/>
    <w:link w:val="Ttulo2Car"/>
    <w:uiPriority w:val="99"/>
    <w:qFormat/>
    <w:rsid w:val="002B0929"/>
    <w:pPr>
      <w:keepNext/>
      <w:numPr>
        <w:ilvl w:val="1"/>
        <w:numId w:val="21"/>
      </w:numPr>
      <w:spacing w:before="240"/>
      <w:outlineLvl w:val="1"/>
    </w:pPr>
    <w:rPr>
      <w:b/>
      <w:color w:val="auto"/>
      <w:lang w:val="es-MX"/>
    </w:rPr>
  </w:style>
  <w:style w:type="paragraph" w:styleId="Ttulo3">
    <w:name w:val="heading 3"/>
    <w:basedOn w:val="Normal"/>
    <w:next w:val="Normal"/>
    <w:link w:val="Ttulo3Car"/>
    <w:uiPriority w:val="9"/>
    <w:unhideWhenUsed/>
    <w:qFormat/>
    <w:locked/>
    <w:rsid w:val="009A0D5A"/>
    <w:pPr>
      <w:keepNext/>
      <w:keepLines/>
      <w:numPr>
        <w:ilvl w:val="2"/>
        <w:numId w:val="21"/>
      </w:numPr>
      <w:spacing w:before="200" w:after="240"/>
      <w:outlineLvl w:val="2"/>
    </w:pPr>
    <w:rPr>
      <w:rFonts w:eastAsiaTheme="majorEastAsia" w:cstheme="majorBidi"/>
      <w:b/>
      <w:bCs/>
      <w:i/>
      <w:color w:val="auto"/>
    </w:rPr>
  </w:style>
  <w:style w:type="paragraph" w:styleId="Ttulo4">
    <w:name w:val="heading 4"/>
    <w:basedOn w:val="Normal"/>
    <w:next w:val="Normal"/>
    <w:link w:val="Ttulo4Car"/>
    <w:uiPriority w:val="99"/>
    <w:qFormat/>
    <w:rsid w:val="00BD4F10"/>
    <w:pPr>
      <w:keepNext/>
      <w:numPr>
        <w:ilvl w:val="3"/>
        <w:numId w:val="21"/>
      </w:numPr>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numPr>
        <w:ilvl w:val="4"/>
        <w:numId w:val="21"/>
      </w:numPr>
      <w:spacing w:before="200"/>
      <w:outlineLvl w:val="4"/>
    </w:pPr>
    <w:rPr>
      <w:rFonts w:ascii="Cambria" w:hAnsi="Cambria"/>
      <w:color w:val="243F60"/>
    </w:rPr>
  </w:style>
  <w:style w:type="paragraph" w:styleId="Ttulo6">
    <w:name w:val="heading 6"/>
    <w:basedOn w:val="Normal"/>
    <w:next w:val="Normal"/>
    <w:link w:val="Ttulo6Car"/>
    <w:semiHidden/>
    <w:unhideWhenUsed/>
    <w:qFormat/>
    <w:locked/>
    <w:rsid w:val="007076C3"/>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locked/>
    <w:rsid w:val="007076C3"/>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locked/>
    <w:rsid w:val="007076C3"/>
    <w:pPr>
      <w:keepNext/>
      <w:keepLines/>
      <w:numPr>
        <w:ilvl w:val="7"/>
        <w:numId w:val="21"/>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semiHidden/>
    <w:unhideWhenUsed/>
    <w:qFormat/>
    <w:locked/>
    <w:rsid w:val="007076C3"/>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B0929"/>
    <w:rPr>
      <w:rFonts w:ascii="Arial" w:hAnsi="Arial"/>
      <w:b/>
      <w:sz w:val="24"/>
      <w:lang w:val="es-MX"/>
    </w:rPr>
  </w:style>
  <w:style w:type="character" w:customStyle="1" w:styleId="Ttulo2Car">
    <w:name w:val="Título 2 Car"/>
    <w:basedOn w:val="Fuentedeprrafopredeter"/>
    <w:link w:val="Ttulo2"/>
    <w:uiPriority w:val="99"/>
    <w:locked/>
    <w:rsid w:val="002B0929"/>
    <w:rPr>
      <w:rFonts w:ascii="Arial" w:hAnsi="Arial"/>
      <w:b/>
      <w:sz w:val="24"/>
      <w:lang w:val="es-MX"/>
    </w:rPr>
  </w:style>
  <w:style w:type="character" w:customStyle="1" w:styleId="Ttulo4Car">
    <w:name w:val="Título 4 Car"/>
    <w:basedOn w:val="Fuentedeprrafopredeter"/>
    <w:link w:val="Ttulo4"/>
    <w:uiPriority w:val="99"/>
    <w:locked/>
    <w:rsid w:val="00BD4F10"/>
    <w:rPr>
      <w:b/>
      <w:bCs/>
      <w:sz w:val="28"/>
      <w:szCs w:val="28"/>
    </w:rPr>
  </w:style>
  <w:style w:type="character" w:customStyle="1" w:styleId="Ttulo5Car">
    <w:name w:val="Título 5 Car"/>
    <w:basedOn w:val="Fuentedeprrafopredeter"/>
    <w:link w:val="Ttulo5"/>
    <w:uiPriority w:val="99"/>
    <w:locked/>
    <w:rsid w:val="00776D41"/>
    <w:rPr>
      <w:rFonts w:ascii="Cambria" w:hAnsi="Cambria"/>
      <w:color w:val="243F60"/>
      <w:sz w:val="24"/>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59"/>
    <w:rsid w:val="00C52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link w:val="PrrafodelistaCar"/>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NormalWeb">
    <w:name w:val="Normal (Web)"/>
    <w:basedOn w:val="Normal"/>
    <w:uiPriority w:val="99"/>
    <w:unhideWhenUsed/>
    <w:rsid w:val="00FB34C4"/>
    <w:pPr>
      <w:spacing w:after="270"/>
    </w:pPr>
    <w:rPr>
      <w:rFonts w:ascii="Times New Roman" w:hAnsi="Times New Roman"/>
      <w:color w:val="303030"/>
      <w:sz w:val="20"/>
      <w:lang w:val="es-CO" w:eastAsia="es-CO"/>
    </w:rPr>
  </w:style>
  <w:style w:type="paragraph" w:styleId="Textonotapie">
    <w:name w:val="footnote text"/>
    <w:aliases w:val="Footnote Text Char Char Char Char Char,Footnote Text Char Char Char Char,Footnote reference,FA Fu,texto de nota al pie,Footnote Text Char Char Char,FA Fuﬂnotentext,Footnote Text Cha,FA Fußnotentext,Footnote Text Char Ch,ft,ft Car, Char"/>
    <w:basedOn w:val="Normal"/>
    <w:link w:val="TextonotapieCar"/>
    <w:uiPriority w:val="99"/>
    <w:unhideWhenUsed/>
    <w:rsid w:val="00FB34C4"/>
    <w:rPr>
      <w:sz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A Fuﬂnotentext Car,Footnote Text Cha Car,FA Fußnotentext Car"/>
    <w:basedOn w:val="Fuentedeprrafopredeter"/>
    <w:link w:val="Textonotapie"/>
    <w:uiPriority w:val="99"/>
    <w:rsid w:val="00FB34C4"/>
    <w:rPr>
      <w:rFonts w:ascii="Arial" w:hAnsi="Arial"/>
      <w:color w:val="000000"/>
    </w:rPr>
  </w:style>
  <w:style w:type="character" w:styleId="Refdenotaalpie">
    <w:name w:val="footnote reference"/>
    <w:aliases w:val="Ref,de nota al pie,Ref. de nota al pie2,de nota al pi"/>
    <w:basedOn w:val="Fuentedeprrafopredeter"/>
    <w:uiPriority w:val="99"/>
    <w:unhideWhenUsed/>
    <w:qFormat/>
    <w:rsid w:val="00FB34C4"/>
    <w:rPr>
      <w:vertAlign w:val="superscript"/>
    </w:rPr>
  </w:style>
  <w:style w:type="paragraph" w:customStyle="1" w:styleId="MediumGrid21">
    <w:name w:val="Medium Grid 21"/>
    <w:uiPriority w:val="99"/>
    <w:qFormat/>
    <w:rsid w:val="00FB34C4"/>
    <w:rPr>
      <w:sz w:val="24"/>
      <w:szCs w:val="24"/>
    </w:rPr>
  </w:style>
  <w:style w:type="character" w:customStyle="1" w:styleId="PrrafodelistaCar">
    <w:name w:val="Párrafo de lista Car"/>
    <w:link w:val="Prrafodelista"/>
    <w:uiPriority w:val="34"/>
    <w:locked/>
    <w:rsid w:val="00FB34C4"/>
    <w:rPr>
      <w:rFonts w:ascii="Arial" w:hAnsi="Arial"/>
      <w:color w:val="000000"/>
      <w:sz w:val="24"/>
    </w:rPr>
  </w:style>
  <w:style w:type="paragraph" w:styleId="Asuntodelcomentario">
    <w:name w:val="annotation subject"/>
    <w:basedOn w:val="Textocomentario"/>
    <w:next w:val="Textocomentario"/>
    <w:link w:val="AsuntodelcomentarioCar"/>
    <w:uiPriority w:val="99"/>
    <w:semiHidden/>
    <w:unhideWhenUsed/>
    <w:rsid w:val="00BB6F03"/>
    <w:rPr>
      <w:b/>
      <w:bCs/>
    </w:rPr>
  </w:style>
  <w:style w:type="character" w:customStyle="1" w:styleId="AsuntodelcomentarioCar">
    <w:name w:val="Asunto del comentario Car"/>
    <w:basedOn w:val="TextocomentarioCar"/>
    <w:link w:val="Asuntodelcomentario"/>
    <w:uiPriority w:val="99"/>
    <w:semiHidden/>
    <w:rsid w:val="00BB6F03"/>
    <w:rPr>
      <w:rFonts w:ascii="Arial" w:hAnsi="Arial" w:cs="Times New Roman"/>
      <w:b/>
      <w:bCs/>
      <w:color w:val="000000"/>
      <w:sz w:val="20"/>
      <w:szCs w:val="20"/>
    </w:rPr>
  </w:style>
  <w:style w:type="character" w:customStyle="1" w:styleId="apple-converted-space">
    <w:name w:val="apple-converted-space"/>
    <w:basedOn w:val="Fuentedeprrafopredeter"/>
    <w:rsid w:val="009331E9"/>
  </w:style>
  <w:style w:type="character" w:styleId="Textoennegrita">
    <w:name w:val="Strong"/>
    <w:basedOn w:val="Fuentedeprrafopredeter"/>
    <w:qFormat/>
    <w:locked/>
    <w:rsid w:val="00CE4634"/>
    <w:rPr>
      <w:b/>
      <w:bCs/>
    </w:rPr>
  </w:style>
  <w:style w:type="character" w:customStyle="1" w:styleId="Ttulo3Car">
    <w:name w:val="Título 3 Car"/>
    <w:basedOn w:val="Fuentedeprrafopredeter"/>
    <w:link w:val="Ttulo3"/>
    <w:uiPriority w:val="9"/>
    <w:rsid w:val="009A0D5A"/>
    <w:rPr>
      <w:rFonts w:ascii="Arial" w:eastAsiaTheme="majorEastAsia" w:hAnsi="Arial" w:cstheme="majorBidi"/>
      <w:b/>
      <w:bCs/>
      <w:i/>
      <w:sz w:val="24"/>
    </w:rPr>
  </w:style>
  <w:style w:type="character" w:customStyle="1" w:styleId="Ttulo6Car">
    <w:name w:val="Título 6 Car"/>
    <w:basedOn w:val="Fuentedeprrafopredeter"/>
    <w:link w:val="Ttulo6"/>
    <w:semiHidden/>
    <w:rsid w:val="007076C3"/>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semiHidden/>
    <w:rsid w:val="007076C3"/>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semiHidden/>
    <w:rsid w:val="007076C3"/>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semiHidden/>
    <w:rsid w:val="007076C3"/>
    <w:rPr>
      <w:rFonts w:asciiTheme="majorHAnsi" w:eastAsiaTheme="majorEastAsia" w:hAnsiTheme="majorHAnsi" w:cstheme="majorBidi"/>
      <w:i/>
      <w:iCs/>
      <w:color w:val="404040" w:themeColor="text1" w:themeTint="BF"/>
    </w:rPr>
  </w:style>
  <w:style w:type="paragraph" w:styleId="Epgrafe">
    <w:name w:val="caption"/>
    <w:basedOn w:val="Normal"/>
    <w:next w:val="Normal"/>
    <w:uiPriority w:val="35"/>
    <w:unhideWhenUsed/>
    <w:qFormat/>
    <w:locked/>
    <w:rsid w:val="007D1714"/>
    <w:pPr>
      <w:keepNext/>
      <w:pBdr>
        <w:bottom w:val="single" w:sz="4" w:space="1" w:color="808080" w:themeColor="background1" w:themeShade="80"/>
      </w:pBdr>
      <w:spacing w:after="200"/>
      <w:jc w:val="center"/>
    </w:pPr>
    <w:rPr>
      <w:b/>
      <w:bCs/>
      <w:i/>
      <w:color w:val="auto"/>
      <w:sz w:val="18"/>
      <w:szCs w:val="18"/>
    </w:rPr>
  </w:style>
  <w:style w:type="paragraph" w:styleId="Citadestacada">
    <w:name w:val="Intense Quote"/>
    <w:aliases w:val="Fuente"/>
    <w:basedOn w:val="Normal"/>
    <w:next w:val="Normal"/>
    <w:link w:val="CitadestacadaCar"/>
    <w:uiPriority w:val="30"/>
    <w:qFormat/>
    <w:rsid w:val="00AD35B0"/>
    <w:pPr>
      <w:spacing w:before="200" w:after="280"/>
      <w:ind w:left="936" w:right="936"/>
    </w:pPr>
    <w:rPr>
      <w:bCs/>
      <w:iCs/>
      <w:color w:val="auto"/>
      <w:sz w:val="16"/>
    </w:rPr>
  </w:style>
  <w:style w:type="character" w:customStyle="1" w:styleId="CitadestacadaCar">
    <w:name w:val="Cita destacada Car"/>
    <w:aliases w:val="Fuente Car"/>
    <w:basedOn w:val="Fuentedeprrafopredeter"/>
    <w:link w:val="Citadestacada"/>
    <w:uiPriority w:val="30"/>
    <w:rsid w:val="00AD35B0"/>
    <w:rPr>
      <w:rFonts w:ascii="Arial" w:hAnsi="Arial"/>
      <w:bCs/>
      <w:iCs/>
      <w:sz w:val="16"/>
    </w:rPr>
  </w:style>
  <w:style w:type="paragraph" w:styleId="Cita">
    <w:name w:val="Quote"/>
    <w:basedOn w:val="Normal"/>
    <w:next w:val="Normal"/>
    <w:link w:val="CitaCar"/>
    <w:uiPriority w:val="29"/>
    <w:qFormat/>
    <w:rsid w:val="00D65E4B"/>
    <w:pPr>
      <w:spacing w:before="120"/>
      <w:contextualSpacing/>
    </w:pPr>
    <w:rPr>
      <w:rFonts w:ascii="Calibri Light" w:eastAsiaTheme="minorHAnsi" w:hAnsi="Calibri Light" w:cstheme="minorBidi"/>
      <w:i/>
      <w:iCs/>
      <w:color w:val="000000" w:themeColor="text1"/>
      <w:sz w:val="22"/>
      <w:szCs w:val="22"/>
      <w:lang w:val="es-CO" w:eastAsia="en-US"/>
    </w:rPr>
  </w:style>
  <w:style w:type="character" w:customStyle="1" w:styleId="CitaCar">
    <w:name w:val="Cita Car"/>
    <w:basedOn w:val="Fuentedeprrafopredeter"/>
    <w:link w:val="Cita"/>
    <w:uiPriority w:val="29"/>
    <w:rsid w:val="00D65E4B"/>
    <w:rPr>
      <w:rFonts w:ascii="Calibri Light" w:eastAsiaTheme="minorHAnsi" w:hAnsi="Calibri Light" w:cstheme="minorBidi"/>
      <w:i/>
      <w:iCs/>
      <w:color w:val="000000" w:themeColor="text1"/>
      <w:sz w:val="22"/>
      <w:szCs w:val="22"/>
      <w:lang w:val="es-CO" w:eastAsia="en-US"/>
    </w:rPr>
  </w:style>
  <w:style w:type="paragraph" w:styleId="Subttulo">
    <w:name w:val="Subtitle"/>
    <w:basedOn w:val="Normal"/>
    <w:next w:val="Normal"/>
    <w:link w:val="SubttuloCar"/>
    <w:qFormat/>
    <w:locked/>
    <w:rsid w:val="009A0D5A"/>
    <w:pPr>
      <w:numPr>
        <w:ilvl w:val="1"/>
      </w:numPr>
    </w:pPr>
    <w:rPr>
      <w:rFonts w:eastAsiaTheme="majorEastAsia" w:cstheme="majorBidi"/>
      <w:i/>
      <w:iCs/>
      <w:color w:val="auto"/>
      <w:spacing w:val="15"/>
      <w:szCs w:val="24"/>
    </w:rPr>
  </w:style>
  <w:style w:type="character" w:customStyle="1" w:styleId="SubttuloCar">
    <w:name w:val="Subtítulo Car"/>
    <w:basedOn w:val="Fuentedeprrafopredeter"/>
    <w:link w:val="Subttulo"/>
    <w:rsid w:val="009A0D5A"/>
    <w:rPr>
      <w:rFonts w:ascii="Arial" w:eastAsiaTheme="majorEastAsia" w:hAnsi="Arial" w:cstheme="majorBidi"/>
      <w:i/>
      <w:iCs/>
      <w:spacing w:val="15"/>
      <w:sz w:val="24"/>
      <w:szCs w:val="24"/>
    </w:rPr>
  </w:style>
  <w:style w:type="table" w:customStyle="1" w:styleId="Tablanormal41">
    <w:name w:val="Tabla normal 41"/>
    <w:basedOn w:val="Tablanormal"/>
    <w:uiPriority w:val="44"/>
    <w:rsid w:val="0000112A"/>
    <w:rPr>
      <w:rFonts w:ascii="Arial" w:eastAsiaTheme="minorHAnsi" w:hAnsi="Arial" w:cstheme="minorBidi"/>
      <w:sz w:val="22"/>
      <w:szCs w:val="22"/>
      <w:lang w:val="es-CO"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2C31BB"/>
    <w:rPr>
      <w:smallCaps/>
      <w:color w:val="C0504D" w:themeColor="accent2"/>
      <w:u w:val="single"/>
    </w:rPr>
  </w:style>
  <w:style w:type="paragraph" w:customStyle="1" w:styleId="Subttulo1">
    <w:name w:val="Subtítulo1"/>
    <w:basedOn w:val="Normal"/>
    <w:next w:val="Normal"/>
    <w:qFormat/>
    <w:rsid w:val="007A5DDE"/>
    <w:pPr>
      <w:keepNext/>
      <w:numPr>
        <w:ilvl w:val="1"/>
      </w:numPr>
      <w:suppressAutoHyphens w:val="0"/>
      <w:spacing w:before="240" w:after="0"/>
    </w:pPr>
    <w:rPr>
      <w:rFonts w:ascii="Calibri Light" w:hAnsi="Calibri Light"/>
      <w:i/>
      <w:iCs/>
      <w:color w:val="5B9BD5"/>
      <w:szCs w:val="24"/>
      <w:lang w:val="es-ES_tradnl"/>
    </w:rPr>
  </w:style>
  <w:style w:type="paragraph" w:styleId="Revisin">
    <w:name w:val="Revision"/>
    <w:hidden/>
    <w:uiPriority w:val="99"/>
    <w:semiHidden/>
    <w:rsid w:val="002316AA"/>
    <w:rPr>
      <w:rFonts w:ascii="Arial" w:hAnsi="Arial"/>
      <w:color w:val="000000"/>
      <w:sz w:val="24"/>
    </w:rPr>
  </w:style>
  <w:style w:type="character" w:styleId="Hipervnculovisitado">
    <w:name w:val="FollowedHyperlink"/>
    <w:basedOn w:val="Fuentedeprrafopredeter"/>
    <w:uiPriority w:val="99"/>
    <w:semiHidden/>
    <w:unhideWhenUsed/>
    <w:rsid w:val="002823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35" w:qFormat="1"/>
    <w:lsdException w:name="footnote reference"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9C0"/>
    <w:pPr>
      <w:suppressAutoHyphens/>
      <w:spacing w:after="120"/>
      <w:jc w:val="both"/>
    </w:pPr>
    <w:rPr>
      <w:rFonts w:ascii="Arial" w:hAnsi="Arial"/>
      <w:color w:val="000000"/>
      <w:sz w:val="24"/>
    </w:rPr>
  </w:style>
  <w:style w:type="paragraph" w:styleId="Ttulo1">
    <w:name w:val="heading 1"/>
    <w:basedOn w:val="Normal"/>
    <w:next w:val="Normal"/>
    <w:link w:val="Ttulo1Car"/>
    <w:uiPriority w:val="99"/>
    <w:qFormat/>
    <w:rsid w:val="002B0929"/>
    <w:pPr>
      <w:keepNext/>
      <w:numPr>
        <w:numId w:val="21"/>
      </w:numPr>
      <w:spacing w:before="360" w:after="240"/>
      <w:ind w:left="431" w:hanging="431"/>
      <w:outlineLvl w:val="0"/>
    </w:pPr>
    <w:rPr>
      <w:b/>
      <w:color w:val="auto"/>
      <w:lang w:val="es-MX"/>
    </w:rPr>
  </w:style>
  <w:style w:type="paragraph" w:styleId="Ttulo2">
    <w:name w:val="heading 2"/>
    <w:basedOn w:val="Normal"/>
    <w:next w:val="Normal"/>
    <w:link w:val="Ttulo2Car"/>
    <w:uiPriority w:val="99"/>
    <w:qFormat/>
    <w:rsid w:val="002B0929"/>
    <w:pPr>
      <w:keepNext/>
      <w:numPr>
        <w:ilvl w:val="1"/>
        <w:numId w:val="21"/>
      </w:numPr>
      <w:spacing w:before="240"/>
      <w:outlineLvl w:val="1"/>
    </w:pPr>
    <w:rPr>
      <w:b/>
      <w:color w:val="auto"/>
      <w:lang w:val="es-MX"/>
    </w:rPr>
  </w:style>
  <w:style w:type="paragraph" w:styleId="Ttulo3">
    <w:name w:val="heading 3"/>
    <w:basedOn w:val="Normal"/>
    <w:next w:val="Normal"/>
    <w:link w:val="Ttulo3Car"/>
    <w:uiPriority w:val="9"/>
    <w:unhideWhenUsed/>
    <w:qFormat/>
    <w:locked/>
    <w:rsid w:val="009A0D5A"/>
    <w:pPr>
      <w:keepNext/>
      <w:keepLines/>
      <w:numPr>
        <w:ilvl w:val="2"/>
        <w:numId w:val="21"/>
      </w:numPr>
      <w:spacing w:before="200" w:after="240"/>
      <w:outlineLvl w:val="2"/>
    </w:pPr>
    <w:rPr>
      <w:rFonts w:eastAsiaTheme="majorEastAsia" w:cstheme="majorBidi"/>
      <w:b/>
      <w:bCs/>
      <w:i/>
      <w:color w:val="auto"/>
    </w:rPr>
  </w:style>
  <w:style w:type="paragraph" w:styleId="Ttulo4">
    <w:name w:val="heading 4"/>
    <w:basedOn w:val="Normal"/>
    <w:next w:val="Normal"/>
    <w:link w:val="Ttulo4Car"/>
    <w:uiPriority w:val="99"/>
    <w:qFormat/>
    <w:rsid w:val="00BD4F10"/>
    <w:pPr>
      <w:keepNext/>
      <w:numPr>
        <w:ilvl w:val="3"/>
        <w:numId w:val="21"/>
      </w:numPr>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numPr>
        <w:ilvl w:val="4"/>
        <w:numId w:val="21"/>
      </w:numPr>
      <w:spacing w:before="200"/>
      <w:outlineLvl w:val="4"/>
    </w:pPr>
    <w:rPr>
      <w:rFonts w:ascii="Cambria" w:hAnsi="Cambria"/>
      <w:color w:val="243F60"/>
    </w:rPr>
  </w:style>
  <w:style w:type="paragraph" w:styleId="Ttulo6">
    <w:name w:val="heading 6"/>
    <w:basedOn w:val="Normal"/>
    <w:next w:val="Normal"/>
    <w:link w:val="Ttulo6Car"/>
    <w:semiHidden/>
    <w:unhideWhenUsed/>
    <w:qFormat/>
    <w:locked/>
    <w:rsid w:val="007076C3"/>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locked/>
    <w:rsid w:val="007076C3"/>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locked/>
    <w:rsid w:val="007076C3"/>
    <w:pPr>
      <w:keepNext/>
      <w:keepLines/>
      <w:numPr>
        <w:ilvl w:val="7"/>
        <w:numId w:val="21"/>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semiHidden/>
    <w:unhideWhenUsed/>
    <w:qFormat/>
    <w:locked/>
    <w:rsid w:val="007076C3"/>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B0929"/>
    <w:rPr>
      <w:rFonts w:ascii="Arial" w:hAnsi="Arial"/>
      <w:b/>
      <w:sz w:val="24"/>
      <w:lang w:val="es-MX"/>
    </w:rPr>
  </w:style>
  <w:style w:type="character" w:customStyle="1" w:styleId="Ttulo2Car">
    <w:name w:val="Título 2 Car"/>
    <w:basedOn w:val="Fuentedeprrafopredeter"/>
    <w:link w:val="Ttulo2"/>
    <w:uiPriority w:val="99"/>
    <w:locked/>
    <w:rsid w:val="002B0929"/>
    <w:rPr>
      <w:rFonts w:ascii="Arial" w:hAnsi="Arial"/>
      <w:b/>
      <w:sz w:val="24"/>
      <w:lang w:val="es-MX"/>
    </w:rPr>
  </w:style>
  <w:style w:type="character" w:customStyle="1" w:styleId="Ttulo4Car">
    <w:name w:val="Título 4 Car"/>
    <w:basedOn w:val="Fuentedeprrafopredeter"/>
    <w:link w:val="Ttulo4"/>
    <w:uiPriority w:val="99"/>
    <w:locked/>
    <w:rsid w:val="00BD4F10"/>
    <w:rPr>
      <w:b/>
      <w:bCs/>
      <w:sz w:val="28"/>
      <w:szCs w:val="28"/>
    </w:rPr>
  </w:style>
  <w:style w:type="character" w:customStyle="1" w:styleId="Ttulo5Car">
    <w:name w:val="Título 5 Car"/>
    <w:basedOn w:val="Fuentedeprrafopredeter"/>
    <w:link w:val="Ttulo5"/>
    <w:uiPriority w:val="99"/>
    <w:locked/>
    <w:rsid w:val="00776D41"/>
    <w:rPr>
      <w:rFonts w:ascii="Cambria" w:hAnsi="Cambria"/>
      <w:color w:val="243F60"/>
      <w:sz w:val="24"/>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59"/>
    <w:rsid w:val="00C52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link w:val="PrrafodelistaCar"/>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NormalWeb">
    <w:name w:val="Normal (Web)"/>
    <w:basedOn w:val="Normal"/>
    <w:uiPriority w:val="99"/>
    <w:unhideWhenUsed/>
    <w:rsid w:val="00FB34C4"/>
    <w:pPr>
      <w:spacing w:after="270"/>
    </w:pPr>
    <w:rPr>
      <w:rFonts w:ascii="Times New Roman" w:hAnsi="Times New Roman"/>
      <w:color w:val="303030"/>
      <w:sz w:val="20"/>
      <w:lang w:val="es-CO" w:eastAsia="es-CO"/>
    </w:rPr>
  </w:style>
  <w:style w:type="paragraph" w:styleId="Textonotapie">
    <w:name w:val="footnote text"/>
    <w:aliases w:val="Footnote Text Char Char Char Char Char,Footnote Text Char Char Char Char,Footnote reference,FA Fu,texto de nota al pie,Footnote Text Char Char Char,FA Fuﬂnotentext,Footnote Text Cha,FA Fußnotentext,Footnote Text Char Ch,ft,ft Car, Char"/>
    <w:basedOn w:val="Normal"/>
    <w:link w:val="TextonotapieCar"/>
    <w:uiPriority w:val="99"/>
    <w:unhideWhenUsed/>
    <w:rsid w:val="00FB34C4"/>
    <w:rPr>
      <w:sz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A Fuﬂnotentext Car,Footnote Text Cha Car,FA Fußnotentext Car"/>
    <w:basedOn w:val="Fuentedeprrafopredeter"/>
    <w:link w:val="Textonotapie"/>
    <w:uiPriority w:val="99"/>
    <w:rsid w:val="00FB34C4"/>
    <w:rPr>
      <w:rFonts w:ascii="Arial" w:hAnsi="Arial"/>
      <w:color w:val="000000"/>
    </w:rPr>
  </w:style>
  <w:style w:type="character" w:styleId="Refdenotaalpie">
    <w:name w:val="footnote reference"/>
    <w:aliases w:val="Ref,de nota al pie,Ref. de nota al pie2,de nota al pi"/>
    <w:basedOn w:val="Fuentedeprrafopredeter"/>
    <w:uiPriority w:val="99"/>
    <w:unhideWhenUsed/>
    <w:qFormat/>
    <w:rsid w:val="00FB34C4"/>
    <w:rPr>
      <w:vertAlign w:val="superscript"/>
    </w:rPr>
  </w:style>
  <w:style w:type="paragraph" w:customStyle="1" w:styleId="MediumGrid21">
    <w:name w:val="Medium Grid 21"/>
    <w:uiPriority w:val="99"/>
    <w:qFormat/>
    <w:rsid w:val="00FB34C4"/>
    <w:rPr>
      <w:sz w:val="24"/>
      <w:szCs w:val="24"/>
    </w:rPr>
  </w:style>
  <w:style w:type="character" w:customStyle="1" w:styleId="PrrafodelistaCar">
    <w:name w:val="Párrafo de lista Car"/>
    <w:link w:val="Prrafodelista"/>
    <w:uiPriority w:val="34"/>
    <w:locked/>
    <w:rsid w:val="00FB34C4"/>
    <w:rPr>
      <w:rFonts w:ascii="Arial" w:hAnsi="Arial"/>
      <w:color w:val="000000"/>
      <w:sz w:val="24"/>
    </w:rPr>
  </w:style>
  <w:style w:type="paragraph" w:styleId="Asuntodelcomentario">
    <w:name w:val="annotation subject"/>
    <w:basedOn w:val="Textocomentario"/>
    <w:next w:val="Textocomentario"/>
    <w:link w:val="AsuntodelcomentarioCar"/>
    <w:uiPriority w:val="99"/>
    <w:semiHidden/>
    <w:unhideWhenUsed/>
    <w:rsid w:val="00BB6F03"/>
    <w:rPr>
      <w:b/>
      <w:bCs/>
    </w:rPr>
  </w:style>
  <w:style w:type="character" w:customStyle="1" w:styleId="AsuntodelcomentarioCar">
    <w:name w:val="Asunto del comentario Car"/>
    <w:basedOn w:val="TextocomentarioCar"/>
    <w:link w:val="Asuntodelcomentario"/>
    <w:uiPriority w:val="99"/>
    <w:semiHidden/>
    <w:rsid w:val="00BB6F03"/>
    <w:rPr>
      <w:rFonts w:ascii="Arial" w:hAnsi="Arial" w:cs="Times New Roman"/>
      <w:b/>
      <w:bCs/>
      <w:color w:val="000000"/>
      <w:sz w:val="20"/>
      <w:szCs w:val="20"/>
    </w:rPr>
  </w:style>
  <w:style w:type="character" w:customStyle="1" w:styleId="apple-converted-space">
    <w:name w:val="apple-converted-space"/>
    <w:basedOn w:val="Fuentedeprrafopredeter"/>
    <w:rsid w:val="009331E9"/>
  </w:style>
  <w:style w:type="character" w:styleId="Textoennegrita">
    <w:name w:val="Strong"/>
    <w:basedOn w:val="Fuentedeprrafopredeter"/>
    <w:qFormat/>
    <w:locked/>
    <w:rsid w:val="00CE4634"/>
    <w:rPr>
      <w:b/>
      <w:bCs/>
    </w:rPr>
  </w:style>
  <w:style w:type="character" w:customStyle="1" w:styleId="Ttulo3Car">
    <w:name w:val="Título 3 Car"/>
    <w:basedOn w:val="Fuentedeprrafopredeter"/>
    <w:link w:val="Ttulo3"/>
    <w:uiPriority w:val="9"/>
    <w:rsid w:val="009A0D5A"/>
    <w:rPr>
      <w:rFonts w:ascii="Arial" w:eastAsiaTheme="majorEastAsia" w:hAnsi="Arial" w:cstheme="majorBidi"/>
      <w:b/>
      <w:bCs/>
      <w:i/>
      <w:sz w:val="24"/>
    </w:rPr>
  </w:style>
  <w:style w:type="character" w:customStyle="1" w:styleId="Ttulo6Car">
    <w:name w:val="Título 6 Car"/>
    <w:basedOn w:val="Fuentedeprrafopredeter"/>
    <w:link w:val="Ttulo6"/>
    <w:semiHidden/>
    <w:rsid w:val="007076C3"/>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semiHidden/>
    <w:rsid w:val="007076C3"/>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semiHidden/>
    <w:rsid w:val="007076C3"/>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semiHidden/>
    <w:rsid w:val="007076C3"/>
    <w:rPr>
      <w:rFonts w:asciiTheme="majorHAnsi" w:eastAsiaTheme="majorEastAsia" w:hAnsiTheme="majorHAnsi" w:cstheme="majorBidi"/>
      <w:i/>
      <w:iCs/>
      <w:color w:val="404040" w:themeColor="text1" w:themeTint="BF"/>
    </w:rPr>
  </w:style>
  <w:style w:type="paragraph" w:styleId="Epgrafe">
    <w:name w:val="caption"/>
    <w:basedOn w:val="Normal"/>
    <w:next w:val="Normal"/>
    <w:uiPriority w:val="35"/>
    <w:unhideWhenUsed/>
    <w:qFormat/>
    <w:locked/>
    <w:rsid w:val="007D1714"/>
    <w:pPr>
      <w:keepNext/>
      <w:pBdr>
        <w:bottom w:val="single" w:sz="4" w:space="1" w:color="808080" w:themeColor="background1" w:themeShade="80"/>
      </w:pBdr>
      <w:spacing w:after="200"/>
      <w:jc w:val="center"/>
    </w:pPr>
    <w:rPr>
      <w:b/>
      <w:bCs/>
      <w:i/>
      <w:color w:val="auto"/>
      <w:sz w:val="18"/>
      <w:szCs w:val="18"/>
    </w:rPr>
  </w:style>
  <w:style w:type="paragraph" w:styleId="Citadestacada">
    <w:name w:val="Intense Quote"/>
    <w:aliases w:val="Fuente"/>
    <w:basedOn w:val="Normal"/>
    <w:next w:val="Normal"/>
    <w:link w:val="CitadestacadaCar"/>
    <w:uiPriority w:val="30"/>
    <w:qFormat/>
    <w:rsid w:val="00AD35B0"/>
    <w:pPr>
      <w:spacing w:before="200" w:after="280"/>
      <w:ind w:left="936" w:right="936"/>
    </w:pPr>
    <w:rPr>
      <w:bCs/>
      <w:iCs/>
      <w:color w:val="auto"/>
      <w:sz w:val="16"/>
    </w:rPr>
  </w:style>
  <w:style w:type="character" w:customStyle="1" w:styleId="CitadestacadaCar">
    <w:name w:val="Cita destacada Car"/>
    <w:aliases w:val="Fuente Car"/>
    <w:basedOn w:val="Fuentedeprrafopredeter"/>
    <w:link w:val="Citadestacada"/>
    <w:uiPriority w:val="30"/>
    <w:rsid w:val="00AD35B0"/>
    <w:rPr>
      <w:rFonts w:ascii="Arial" w:hAnsi="Arial"/>
      <w:bCs/>
      <w:iCs/>
      <w:sz w:val="16"/>
    </w:rPr>
  </w:style>
  <w:style w:type="paragraph" w:styleId="Cita">
    <w:name w:val="Quote"/>
    <w:basedOn w:val="Normal"/>
    <w:next w:val="Normal"/>
    <w:link w:val="CitaCar"/>
    <w:uiPriority w:val="29"/>
    <w:qFormat/>
    <w:rsid w:val="00D65E4B"/>
    <w:pPr>
      <w:spacing w:before="120"/>
      <w:contextualSpacing/>
    </w:pPr>
    <w:rPr>
      <w:rFonts w:ascii="Calibri Light" w:eastAsiaTheme="minorHAnsi" w:hAnsi="Calibri Light" w:cstheme="minorBidi"/>
      <w:i/>
      <w:iCs/>
      <w:color w:val="000000" w:themeColor="text1"/>
      <w:sz w:val="22"/>
      <w:szCs w:val="22"/>
      <w:lang w:val="es-CO" w:eastAsia="en-US"/>
    </w:rPr>
  </w:style>
  <w:style w:type="character" w:customStyle="1" w:styleId="CitaCar">
    <w:name w:val="Cita Car"/>
    <w:basedOn w:val="Fuentedeprrafopredeter"/>
    <w:link w:val="Cita"/>
    <w:uiPriority w:val="29"/>
    <w:rsid w:val="00D65E4B"/>
    <w:rPr>
      <w:rFonts w:ascii="Calibri Light" w:eastAsiaTheme="minorHAnsi" w:hAnsi="Calibri Light" w:cstheme="minorBidi"/>
      <w:i/>
      <w:iCs/>
      <w:color w:val="000000" w:themeColor="text1"/>
      <w:sz w:val="22"/>
      <w:szCs w:val="22"/>
      <w:lang w:val="es-CO" w:eastAsia="en-US"/>
    </w:rPr>
  </w:style>
  <w:style w:type="paragraph" w:styleId="Subttulo">
    <w:name w:val="Subtitle"/>
    <w:basedOn w:val="Normal"/>
    <w:next w:val="Normal"/>
    <w:link w:val="SubttuloCar"/>
    <w:qFormat/>
    <w:locked/>
    <w:rsid w:val="009A0D5A"/>
    <w:pPr>
      <w:numPr>
        <w:ilvl w:val="1"/>
      </w:numPr>
    </w:pPr>
    <w:rPr>
      <w:rFonts w:eastAsiaTheme="majorEastAsia" w:cstheme="majorBidi"/>
      <w:i/>
      <w:iCs/>
      <w:color w:val="auto"/>
      <w:spacing w:val="15"/>
      <w:szCs w:val="24"/>
    </w:rPr>
  </w:style>
  <w:style w:type="character" w:customStyle="1" w:styleId="SubttuloCar">
    <w:name w:val="Subtítulo Car"/>
    <w:basedOn w:val="Fuentedeprrafopredeter"/>
    <w:link w:val="Subttulo"/>
    <w:rsid w:val="009A0D5A"/>
    <w:rPr>
      <w:rFonts w:ascii="Arial" w:eastAsiaTheme="majorEastAsia" w:hAnsi="Arial" w:cstheme="majorBidi"/>
      <w:i/>
      <w:iCs/>
      <w:spacing w:val="15"/>
      <w:sz w:val="24"/>
      <w:szCs w:val="24"/>
    </w:rPr>
  </w:style>
  <w:style w:type="table" w:customStyle="1" w:styleId="Tablanormal41">
    <w:name w:val="Tabla normal 41"/>
    <w:basedOn w:val="Tablanormal"/>
    <w:uiPriority w:val="44"/>
    <w:rsid w:val="0000112A"/>
    <w:rPr>
      <w:rFonts w:ascii="Arial" w:eastAsiaTheme="minorHAnsi" w:hAnsi="Arial" w:cstheme="minorBidi"/>
      <w:sz w:val="22"/>
      <w:szCs w:val="22"/>
      <w:lang w:val="es-CO"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2C31BB"/>
    <w:rPr>
      <w:smallCaps/>
      <w:color w:val="C0504D" w:themeColor="accent2"/>
      <w:u w:val="single"/>
    </w:rPr>
  </w:style>
  <w:style w:type="paragraph" w:customStyle="1" w:styleId="Subttulo1">
    <w:name w:val="Subtítulo1"/>
    <w:basedOn w:val="Normal"/>
    <w:next w:val="Normal"/>
    <w:qFormat/>
    <w:rsid w:val="007A5DDE"/>
    <w:pPr>
      <w:keepNext/>
      <w:numPr>
        <w:ilvl w:val="1"/>
      </w:numPr>
      <w:suppressAutoHyphens w:val="0"/>
      <w:spacing w:before="240" w:after="0"/>
    </w:pPr>
    <w:rPr>
      <w:rFonts w:ascii="Calibri Light" w:hAnsi="Calibri Light"/>
      <w:i/>
      <w:iCs/>
      <w:color w:val="5B9BD5"/>
      <w:szCs w:val="24"/>
      <w:lang w:val="es-ES_tradnl"/>
    </w:rPr>
  </w:style>
  <w:style w:type="paragraph" w:styleId="Revisin">
    <w:name w:val="Revision"/>
    <w:hidden/>
    <w:uiPriority w:val="99"/>
    <w:semiHidden/>
    <w:rsid w:val="002316AA"/>
    <w:rPr>
      <w:rFonts w:ascii="Arial" w:hAnsi="Arial"/>
      <w:color w:val="000000"/>
      <w:sz w:val="24"/>
    </w:rPr>
  </w:style>
  <w:style w:type="character" w:styleId="Hipervnculovisitado">
    <w:name w:val="FollowedHyperlink"/>
    <w:basedOn w:val="Fuentedeprrafopredeter"/>
    <w:uiPriority w:val="99"/>
    <w:semiHidden/>
    <w:unhideWhenUsed/>
    <w:rsid w:val="002823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27">
      <w:bodyDiv w:val="1"/>
      <w:marLeft w:val="0"/>
      <w:marRight w:val="0"/>
      <w:marTop w:val="0"/>
      <w:marBottom w:val="0"/>
      <w:divBdr>
        <w:top w:val="none" w:sz="0" w:space="0" w:color="auto"/>
        <w:left w:val="none" w:sz="0" w:space="0" w:color="auto"/>
        <w:bottom w:val="none" w:sz="0" w:space="0" w:color="auto"/>
        <w:right w:val="none" w:sz="0" w:space="0" w:color="auto"/>
      </w:divBdr>
    </w:div>
    <w:div w:id="102069561">
      <w:bodyDiv w:val="1"/>
      <w:marLeft w:val="0"/>
      <w:marRight w:val="0"/>
      <w:marTop w:val="0"/>
      <w:marBottom w:val="0"/>
      <w:divBdr>
        <w:top w:val="none" w:sz="0" w:space="0" w:color="auto"/>
        <w:left w:val="none" w:sz="0" w:space="0" w:color="auto"/>
        <w:bottom w:val="none" w:sz="0" w:space="0" w:color="auto"/>
        <w:right w:val="none" w:sz="0" w:space="0" w:color="auto"/>
      </w:divBdr>
    </w:div>
    <w:div w:id="208761897">
      <w:bodyDiv w:val="1"/>
      <w:marLeft w:val="0"/>
      <w:marRight w:val="0"/>
      <w:marTop w:val="0"/>
      <w:marBottom w:val="0"/>
      <w:divBdr>
        <w:top w:val="none" w:sz="0" w:space="0" w:color="auto"/>
        <w:left w:val="none" w:sz="0" w:space="0" w:color="auto"/>
        <w:bottom w:val="none" w:sz="0" w:space="0" w:color="auto"/>
        <w:right w:val="none" w:sz="0" w:space="0" w:color="auto"/>
      </w:divBdr>
      <w:divsChild>
        <w:div w:id="837306065">
          <w:marLeft w:val="720"/>
          <w:marRight w:val="0"/>
          <w:marTop w:val="0"/>
          <w:marBottom w:val="0"/>
          <w:divBdr>
            <w:top w:val="none" w:sz="0" w:space="0" w:color="auto"/>
            <w:left w:val="none" w:sz="0" w:space="0" w:color="auto"/>
            <w:bottom w:val="none" w:sz="0" w:space="0" w:color="auto"/>
            <w:right w:val="none" w:sz="0" w:space="0" w:color="auto"/>
          </w:divBdr>
        </w:div>
        <w:div w:id="2012872884">
          <w:marLeft w:val="720"/>
          <w:marRight w:val="0"/>
          <w:marTop w:val="0"/>
          <w:marBottom w:val="0"/>
          <w:divBdr>
            <w:top w:val="none" w:sz="0" w:space="0" w:color="auto"/>
            <w:left w:val="none" w:sz="0" w:space="0" w:color="auto"/>
            <w:bottom w:val="none" w:sz="0" w:space="0" w:color="auto"/>
            <w:right w:val="none" w:sz="0" w:space="0" w:color="auto"/>
          </w:divBdr>
        </w:div>
      </w:divsChild>
    </w:div>
    <w:div w:id="726488722">
      <w:bodyDiv w:val="1"/>
      <w:marLeft w:val="0"/>
      <w:marRight w:val="0"/>
      <w:marTop w:val="0"/>
      <w:marBottom w:val="0"/>
      <w:divBdr>
        <w:top w:val="none" w:sz="0" w:space="0" w:color="auto"/>
        <w:left w:val="none" w:sz="0" w:space="0" w:color="auto"/>
        <w:bottom w:val="none" w:sz="0" w:space="0" w:color="auto"/>
        <w:right w:val="none" w:sz="0" w:space="0" w:color="auto"/>
      </w:divBdr>
    </w:div>
    <w:div w:id="748113461">
      <w:bodyDiv w:val="1"/>
      <w:marLeft w:val="0"/>
      <w:marRight w:val="0"/>
      <w:marTop w:val="0"/>
      <w:marBottom w:val="0"/>
      <w:divBdr>
        <w:top w:val="none" w:sz="0" w:space="0" w:color="auto"/>
        <w:left w:val="none" w:sz="0" w:space="0" w:color="auto"/>
        <w:bottom w:val="none" w:sz="0" w:space="0" w:color="auto"/>
        <w:right w:val="none" w:sz="0" w:space="0" w:color="auto"/>
      </w:divBdr>
      <w:divsChild>
        <w:div w:id="689532227">
          <w:marLeft w:val="547"/>
          <w:marRight w:val="0"/>
          <w:marTop w:val="154"/>
          <w:marBottom w:val="0"/>
          <w:divBdr>
            <w:top w:val="none" w:sz="0" w:space="0" w:color="auto"/>
            <w:left w:val="none" w:sz="0" w:space="0" w:color="auto"/>
            <w:bottom w:val="none" w:sz="0" w:space="0" w:color="auto"/>
            <w:right w:val="none" w:sz="0" w:space="0" w:color="auto"/>
          </w:divBdr>
        </w:div>
        <w:div w:id="1912232240">
          <w:marLeft w:val="547"/>
          <w:marRight w:val="0"/>
          <w:marTop w:val="154"/>
          <w:marBottom w:val="0"/>
          <w:divBdr>
            <w:top w:val="none" w:sz="0" w:space="0" w:color="auto"/>
            <w:left w:val="none" w:sz="0" w:space="0" w:color="auto"/>
            <w:bottom w:val="none" w:sz="0" w:space="0" w:color="auto"/>
            <w:right w:val="none" w:sz="0" w:space="0" w:color="auto"/>
          </w:divBdr>
        </w:div>
        <w:div w:id="1785298063">
          <w:marLeft w:val="547"/>
          <w:marRight w:val="0"/>
          <w:marTop w:val="154"/>
          <w:marBottom w:val="0"/>
          <w:divBdr>
            <w:top w:val="none" w:sz="0" w:space="0" w:color="auto"/>
            <w:left w:val="none" w:sz="0" w:space="0" w:color="auto"/>
            <w:bottom w:val="none" w:sz="0" w:space="0" w:color="auto"/>
            <w:right w:val="none" w:sz="0" w:space="0" w:color="auto"/>
          </w:divBdr>
        </w:div>
        <w:div w:id="1229613481">
          <w:marLeft w:val="547"/>
          <w:marRight w:val="0"/>
          <w:marTop w:val="154"/>
          <w:marBottom w:val="0"/>
          <w:divBdr>
            <w:top w:val="none" w:sz="0" w:space="0" w:color="auto"/>
            <w:left w:val="none" w:sz="0" w:space="0" w:color="auto"/>
            <w:bottom w:val="none" w:sz="0" w:space="0" w:color="auto"/>
            <w:right w:val="none" w:sz="0" w:space="0" w:color="auto"/>
          </w:divBdr>
        </w:div>
      </w:divsChild>
    </w:div>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 w:id="872184234">
      <w:bodyDiv w:val="1"/>
      <w:marLeft w:val="0"/>
      <w:marRight w:val="0"/>
      <w:marTop w:val="0"/>
      <w:marBottom w:val="0"/>
      <w:divBdr>
        <w:top w:val="none" w:sz="0" w:space="0" w:color="auto"/>
        <w:left w:val="none" w:sz="0" w:space="0" w:color="auto"/>
        <w:bottom w:val="none" w:sz="0" w:space="0" w:color="auto"/>
        <w:right w:val="none" w:sz="0" w:space="0" w:color="auto"/>
      </w:divBdr>
    </w:div>
    <w:div w:id="932277133">
      <w:bodyDiv w:val="1"/>
      <w:marLeft w:val="0"/>
      <w:marRight w:val="0"/>
      <w:marTop w:val="0"/>
      <w:marBottom w:val="0"/>
      <w:divBdr>
        <w:top w:val="none" w:sz="0" w:space="0" w:color="auto"/>
        <w:left w:val="none" w:sz="0" w:space="0" w:color="auto"/>
        <w:bottom w:val="none" w:sz="0" w:space="0" w:color="auto"/>
        <w:right w:val="none" w:sz="0" w:space="0" w:color="auto"/>
      </w:divBdr>
      <w:divsChild>
        <w:div w:id="104618949">
          <w:marLeft w:val="0"/>
          <w:marRight w:val="0"/>
          <w:marTop w:val="0"/>
          <w:marBottom w:val="0"/>
          <w:divBdr>
            <w:top w:val="none" w:sz="0" w:space="0" w:color="auto"/>
            <w:left w:val="none" w:sz="0" w:space="0" w:color="auto"/>
            <w:bottom w:val="none" w:sz="0" w:space="0" w:color="auto"/>
            <w:right w:val="none" w:sz="0" w:space="0" w:color="auto"/>
          </w:divBdr>
        </w:div>
      </w:divsChild>
    </w:div>
    <w:div w:id="945042870">
      <w:bodyDiv w:val="1"/>
      <w:marLeft w:val="0"/>
      <w:marRight w:val="0"/>
      <w:marTop w:val="0"/>
      <w:marBottom w:val="0"/>
      <w:divBdr>
        <w:top w:val="none" w:sz="0" w:space="0" w:color="auto"/>
        <w:left w:val="none" w:sz="0" w:space="0" w:color="auto"/>
        <w:bottom w:val="none" w:sz="0" w:space="0" w:color="auto"/>
        <w:right w:val="none" w:sz="0" w:space="0" w:color="auto"/>
      </w:divBdr>
      <w:divsChild>
        <w:div w:id="1428381988">
          <w:marLeft w:val="0"/>
          <w:marRight w:val="0"/>
          <w:marTop w:val="0"/>
          <w:marBottom w:val="0"/>
          <w:divBdr>
            <w:top w:val="none" w:sz="0" w:space="0" w:color="auto"/>
            <w:left w:val="none" w:sz="0" w:space="0" w:color="auto"/>
            <w:bottom w:val="none" w:sz="0" w:space="0" w:color="auto"/>
            <w:right w:val="none" w:sz="0" w:space="0" w:color="auto"/>
          </w:divBdr>
        </w:div>
      </w:divsChild>
    </w:div>
    <w:div w:id="1223101503">
      <w:bodyDiv w:val="1"/>
      <w:marLeft w:val="0"/>
      <w:marRight w:val="0"/>
      <w:marTop w:val="0"/>
      <w:marBottom w:val="0"/>
      <w:divBdr>
        <w:top w:val="none" w:sz="0" w:space="0" w:color="auto"/>
        <w:left w:val="none" w:sz="0" w:space="0" w:color="auto"/>
        <w:bottom w:val="none" w:sz="0" w:space="0" w:color="auto"/>
        <w:right w:val="none" w:sz="0" w:space="0" w:color="auto"/>
      </w:divBdr>
    </w:div>
    <w:div w:id="1519739291">
      <w:bodyDiv w:val="1"/>
      <w:marLeft w:val="0"/>
      <w:marRight w:val="0"/>
      <w:marTop w:val="0"/>
      <w:marBottom w:val="0"/>
      <w:divBdr>
        <w:top w:val="none" w:sz="0" w:space="0" w:color="auto"/>
        <w:left w:val="none" w:sz="0" w:space="0" w:color="auto"/>
        <w:bottom w:val="none" w:sz="0" w:space="0" w:color="auto"/>
        <w:right w:val="none" w:sz="0" w:space="0" w:color="auto"/>
      </w:divBdr>
    </w:div>
    <w:div w:id="1523938715">
      <w:bodyDiv w:val="1"/>
      <w:marLeft w:val="0"/>
      <w:marRight w:val="0"/>
      <w:marTop w:val="0"/>
      <w:marBottom w:val="0"/>
      <w:divBdr>
        <w:top w:val="none" w:sz="0" w:space="0" w:color="auto"/>
        <w:left w:val="none" w:sz="0" w:space="0" w:color="auto"/>
        <w:bottom w:val="none" w:sz="0" w:space="0" w:color="auto"/>
        <w:right w:val="none" w:sz="0" w:space="0" w:color="auto"/>
      </w:divBdr>
    </w:div>
    <w:div w:id="1578400173">
      <w:bodyDiv w:val="1"/>
      <w:marLeft w:val="0"/>
      <w:marRight w:val="0"/>
      <w:marTop w:val="0"/>
      <w:marBottom w:val="0"/>
      <w:divBdr>
        <w:top w:val="none" w:sz="0" w:space="0" w:color="auto"/>
        <w:left w:val="none" w:sz="0" w:space="0" w:color="auto"/>
        <w:bottom w:val="none" w:sz="0" w:space="0" w:color="auto"/>
        <w:right w:val="none" w:sz="0" w:space="0" w:color="auto"/>
      </w:divBdr>
    </w:div>
    <w:div w:id="1695423041">
      <w:bodyDiv w:val="1"/>
      <w:marLeft w:val="0"/>
      <w:marRight w:val="0"/>
      <w:marTop w:val="0"/>
      <w:marBottom w:val="0"/>
      <w:divBdr>
        <w:top w:val="none" w:sz="0" w:space="0" w:color="auto"/>
        <w:left w:val="none" w:sz="0" w:space="0" w:color="auto"/>
        <w:bottom w:val="none" w:sz="0" w:space="0" w:color="auto"/>
        <w:right w:val="none" w:sz="0" w:space="0" w:color="auto"/>
      </w:divBdr>
    </w:div>
    <w:div w:id="1709525545">
      <w:bodyDiv w:val="1"/>
      <w:marLeft w:val="0"/>
      <w:marRight w:val="0"/>
      <w:marTop w:val="0"/>
      <w:marBottom w:val="0"/>
      <w:divBdr>
        <w:top w:val="none" w:sz="0" w:space="0" w:color="auto"/>
        <w:left w:val="none" w:sz="0" w:space="0" w:color="auto"/>
        <w:bottom w:val="none" w:sz="0" w:space="0" w:color="auto"/>
        <w:right w:val="none" w:sz="0" w:space="0" w:color="auto"/>
      </w:divBdr>
    </w:div>
    <w:div w:id="1711027989">
      <w:bodyDiv w:val="1"/>
      <w:marLeft w:val="0"/>
      <w:marRight w:val="0"/>
      <w:marTop w:val="0"/>
      <w:marBottom w:val="0"/>
      <w:divBdr>
        <w:top w:val="none" w:sz="0" w:space="0" w:color="auto"/>
        <w:left w:val="none" w:sz="0" w:space="0" w:color="auto"/>
        <w:bottom w:val="none" w:sz="0" w:space="0" w:color="auto"/>
        <w:right w:val="none" w:sz="0" w:space="0" w:color="auto"/>
      </w:divBdr>
    </w:div>
    <w:div w:id="1777478091">
      <w:bodyDiv w:val="1"/>
      <w:marLeft w:val="0"/>
      <w:marRight w:val="0"/>
      <w:marTop w:val="0"/>
      <w:marBottom w:val="0"/>
      <w:divBdr>
        <w:top w:val="none" w:sz="0" w:space="0" w:color="auto"/>
        <w:left w:val="none" w:sz="0" w:space="0" w:color="auto"/>
        <w:bottom w:val="none" w:sz="0" w:space="0" w:color="auto"/>
        <w:right w:val="none" w:sz="0" w:space="0" w:color="auto"/>
      </w:divBdr>
    </w:div>
    <w:div w:id="1829125720">
      <w:bodyDiv w:val="1"/>
      <w:marLeft w:val="0"/>
      <w:marRight w:val="0"/>
      <w:marTop w:val="0"/>
      <w:marBottom w:val="0"/>
      <w:divBdr>
        <w:top w:val="none" w:sz="0" w:space="0" w:color="auto"/>
        <w:left w:val="none" w:sz="0" w:space="0" w:color="auto"/>
        <w:bottom w:val="none" w:sz="0" w:space="0" w:color="auto"/>
        <w:right w:val="none" w:sz="0" w:space="0" w:color="auto"/>
      </w:divBdr>
      <w:divsChild>
        <w:div w:id="1775706998">
          <w:marLeft w:val="547"/>
          <w:marRight w:val="0"/>
          <w:marTop w:val="130"/>
          <w:marBottom w:val="0"/>
          <w:divBdr>
            <w:top w:val="none" w:sz="0" w:space="0" w:color="auto"/>
            <w:left w:val="none" w:sz="0" w:space="0" w:color="auto"/>
            <w:bottom w:val="none" w:sz="0" w:space="0" w:color="auto"/>
            <w:right w:val="none" w:sz="0" w:space="0" w:color="auto"/>
          </w:divBdr>
        </w:div>
        <w:div w:id="281810592">
          <w:marLeft w:val="547"/>
          <w:marRight w:val="0"/>
          <w:marTop w:val="130"/>
          <w:marBottom w:val="0"/>
          <w:divBdr>
            <w:top w:val="none" w:sz="0" w:space="0" w:color="auto"/>
            <w:left w:val="none" w:sz="0" w:space="0" w:color="auto"/>
            <w:bottom w:val="none" w:sz="0" w:space="0" w:color="auto"/>
            <w:right w:val="none" w:sz="0" w:space="0" w:color="auto"/>
          </w:divBdr>
        </w:div>
        <w:div w:id="1017657764">
          <w:marLeft w:val="547"/>
          <w:marRight w:val="0"/>
          <w:marTop w:val="130"/>
          <w:marBottom w:val="0"/>
          <w:divBdr>
            <w:top w:val="none" w:sz="0" w:space="0" w:color="auto"/>
            <w:left w:val="none" w:sz="0" w:space="0" w:color="auto"/>
            <w:bottom w:val="none" w:sz="0" w:space="0" w:color="auto"/>
            <w:right w:val="none" w:sz="0" w:space="0" w:color="auto"/>
          </w:divBdr>
        </w:div>
        <w:div w:id="786198144">
          <w:marLeft w:val="547"/>
          <w:marRight w:val="0"/>
          <w:marTop w:val="130"/>
          <w:marBottom w:val="0"/>
          <w:divBdr>
            <w:top w:val="none" w:sz="0" w:space="0" w:color="auto"/>
            <w:left w:val="none" w:sz="0" w:space="0" w:color="auto"/>
            <w:bottom w:val="none" w:sz="0" w:space="0" w:color="auto"/>
            <w:right w:val="none" w:sz="0" w:space="0" w:color="auto"/>
          </w:divBdr>
        </w:div>
        <w:div w:id="1178696777">
          <w:marLeft w:val="1166"/>
          <w:marRight w:val="0"/>
          <w:marTop w:val="115"/>
          <w:marBottom w:val="0"/>
          <w:divBdr>
            <w:top w:val="none" w:sz="0" w:space="0" w:color="auto"/>
            <w:left w:val="none" w:sz="0" w:space="0" w:color="auto"/>
            <w:bottom w:val="none" w:sz="0" w:space="0" w:color="auto"/>
            <w:right w:val="none" w:sz="0" w:space="0" w:color="auto"/>
          </w:divBdr>
        </w:div>
        <w:div w:id="1379626200">
          <w:marLeft w:val="1166"/>
          <w:marRight w:val="0"/>
          <w:marTop w:val="115"/>
          <w:marBottom w:val="0"/>
          <w:divBdr>
            <w:top w:val="none" w:sz="0" w:space="0" w:color="auto"/>
            <w:left w:val="none" w:sz="0" w:space="0" w:color="auto"/>
            <w:bottom w:val="none" w:sz="0" w:space="0" w:color="auto"/>
            <w:right w:val="none" w:sz="0" w:space="0" w:color="auto"/>
          </w:divBdr>
        </w:div>
        <w:div w:id="577835209">
          <w:marLeft w:val="547"/>
          <w:marRight w:val="0"/>
          <w:marTop w:val="130"/>
          <w:marBottom w:val="0"/>
          <w:divBdr>
            <w:top w:val="none" w:sz="0" w:space="0" w:color="auto"/>
            <w:left w:val="none" w:sz="0" w:space="0" w:color="auto"/>
            <w:bottom w:val="none" w:sz="0" w:space="0" w:color="auto"/>
            <w:right w:val="none" w:sz="0" w:space="0" w:color="auto"/>
          </w:divBdr>
        </w:div>
        <w:div w:id="2130466079">
          <w:marLeft w:val="1166"/>
          <w:marRight w:val="0"/>
          <w:marTop w:val="115"/>
          <w:marBottom w:val="0"/>
          <w:divBdr>
            <w:top w:val="none" w:sz="0" w:space="0" w:color="auto"/>
            <w:left w:val="none" w:sz="0" w:space="0" w:color="auto"/>
            <w:bottom w:val="none" w:sz="0" w:space="0" w:color="auto"/>
            <w:right w:val="none" w:sz="0" w:space="0" w:color="auto"/>
          </w:divBdr>
        </w:div>
        <w:div w:id="2136092885">
          <w:marLeft w:val="1166"/>
          <w:marRight w:val="0"/>
          <w:marTop w:val="115"/>
          <w:marBottom w:val="0"/>
          <w:divBdr>
            <w:top w:val="none" w:sz="0" w:space="0" w:color="auto"/>
            <w:left w:val="none" w:sz="0" w:space="0" w:color="auto"/>
            <w:bottom w:val="none" w:sz="0" w:space="0" w:color="auto"/>
            <w:right w:val="none" w:sz="0" w:space="0" w:color="auto"/>
          </w:divBdr>
        </w:div>
      </w:divsChild>
    </w:div>
    <w:div w:id="1899172511">
      <w:bodyDiv w:val="1"/>
      <w:marLeft w:val="0"/>
      <w:marRight w:val="0"/>
      <w:marTop w:val="0"/>
      <w:marBottom w:val="0"/>
      <w:divBdr>
        <w:top w:val="none" w:sz="0" w:space="0" w:color="auto"/>
        <w:left w:val="none" w:sz="0" w:space="0" w:color="auto"/>
        <w:bottom w:val="none" w:sz="0" w:space="0" w:color="auto"/>
        <w:right w:val="none" w:sz="0" w:space="0" w:color="auto"/>
      </w:divBdr>
    </w:div>
    <w:div w:id="207998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grupoenergiadebogota.com/grupos-estrategicos/nuestras-empresas/casa-matriz/eeb" TargetMode="External"/><Relationship Id="rId34" Type="http://schemas.openxmlformats.org/officeDocument/2006/relationships/hyperlink" Target="http://www.isa.co/es/isa-y-sus-negocios/Paginas/gestion-de-sistemas-de-tiempo-real.aspx"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emf"/><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yperlink" Target="http://www.isa.co/es/isa-y-sus-negocios/Paginas/concesiones-viales.aspx" TargetMode="External"/><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8.emf"/><Relationship Id="rId14" Type="http://schemas.openxmlformats.org/officeDocument/2006/relationships/hyperlink" Target="http://www.grupoenergiadebogota.com/nuestras-empresas/empresas-participadas/codensa" TargetMode="External"/><Relationship Id="rId22" Type="http://schemas.openxmlformats.org/officeDocument/2006/relationships/hyperlink" Target="http://www.grupoenergiadebogota.com/nuestras-empresas/empresas-participadas/gebbras" TargetMode="Externa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17.emf"/><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isa.co/es/isa-y-sus-negocios/Paginas/transporte-de-telecomunicaciones.aspx" TargetMode="External"/><Relationship Id="rId38" Type="http://schemas.openxmlformats.org/officeDocument/2006/relationships/hyperlink" Target="https://www.bvc.com.co/pps/tibco/portalbvc/Home/Mercados/enlinea/acciones" TargetMode="External"/><Relationship Id="rId46" Type="http://schemas.openxmlformats.org/officeDocument/2006/relationships/image" Target="media/image27.emf"/><Relationship Id="rId59"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upoenergiadebogota.com/nuestras-empresas/empresas-participadas/gas-natural" TargetMode="External"/><Relationship Id="rId23" Type="http://schemas.openxmlformats.org/officeDocument/2006/relationships/hyperlink" Target="http://www.grupoenergiadebogota.com/nuestras-empresas/empresas-controladas/tgi" TargetMode="External"/><Relationship Id="rId28" Type="http://schemas.openxmlformats.org/officeDocument/2006/relationships/image" Target="media/image14.png"/><Relationship Id="rId36" Type="http://schemas.openxmlformats.org/officeDocument/2006/relationships/image" Target="media/image18.emf"/><Relationship Id="rId49" Type="http://schemas.openxmlformats.org/officeDocument/2006/relationships/hyperlink" Target="http://www.promigas.com/Es/Inversores/Documents/Acciones/Composicion_Accionaria/Composicion_accionaria_31_de_marzo_de_2016.pdf" TargetMode="External"/><Relationship Id="rId57" Type="http://schemas.openxmlformats.org/officeDocument/2006/relationships/chart" Target="charts/chart1.xml"/><Relationship Id="rId10" Type="http://schemas.openxmlformats.org/officeDocument/2006/relationships/image" Target="media/image2.png"/><Relationship Id="rId31" Type="http://schemas.openxmlformats.org/officeDocument/2006/relationships/hyperlink" Target="http://www.isa.co/es/isa-y-sus-negocios/Paginas/transporte-de-energia-electrica.aspx" TargetMode="External"/><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emf"/></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QRYpHA884H4" TargetMode="External"/><Relationship Id="rId2" Type="http://schemas.openxmlformats.org/officeDocument/2006/relationships/hyperlink" Target="https://www.youtube.com/watch?v=QRYpHA884H4" TargetMode="External"/><Relationship Id="rId1" Type="http://schemas.openxmlformats.org/officeDocument/2006/relationships/hyperlink" Target="https://www.youtube.com/watch?v=QRYpHA884H4" TargetMode="External"/><Relationship Id="rId4" Type="http://schemas.openxmlformats.org/officeDocument/2006/relationships/hyperlink" Target="https://www.youtube.com/watch?v=QRYpHA884H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Ebitda</a:t>
            </a:r>
            <a:r>
              <a:rPr lang="es-CO" baseline="0"/>
              <a:t> EEB millones COP</a:t>
            </a:r>
            <a:endParaRPr lang="es-CO"/>
          </a:p>
        </c:rich>
      </c:tx>
      <c:layout/>
      <c:overlay val="0"/>
      <c:spPr>
        <a:noFill/>
        <a:ln>
          <a:noFill/>
        </a:ln>
        <a:effectLst/>
      </c:spPr>
    </c:title>
    <c:autoTitleDeleted val="0"/>
    <c:plotArea>
      <c:layout>
        <c:manualLayout>
          <c:layoutTarget val="inner"/>
          <c:xMode val="edge"/>
          <c:yMode val="edge"/>
          <c:x val="0.158261811023622"/>
          <c:y val="0.14856481481481501"/>
          <c:w val="0.79729374453193302"/>
          <c:h val="0.61498432487605703"/>
        </c:manualLayout>
      </c:layout>
      <c:lineChart>
        <c:grouping val="standard"/>
        <c:varyColors val="0"/>
        <c:ser>
          <c:idx val="0"/>
          <c:order val="0"/>
          <c:tx>
            <c:strRef>
              <c:f>EBITDA!$B$11</c:f>
              <c:strCache>
                <c:ptCount val="1"/>
                <c:pt idx="0">
                  <c:v>Sin Transacciones</c:v>
                </c:pt>
              </c:strCache>
            </c:strRef>
          </c:tx>
          <c:spPr>
            <a:ln w="28575" cap="rnd">
              <a:solidFill>
                <a:schemeClr val="accent1"/>
              </a:solidFill>
              <a:round/>
            </a:ln>
            <a:effectLst/>
          </c:spPr>
          <c:marker>
            <c:symbol val="none"/>
          </c:marker>
          <c:cat>
            <c:numRef>
              <c:f>EBITDA!$C$10:$I$10</c:f>
              <c:numCache>
                <c:formatCode>General</c:formatCode>
                <c:ptCount val="7"/>
                <c:pt idx="0">
                  <c:v>2016</c:v>
                </c:pt>
                <c:pt idx="1">
                  <c:v>2017</c:v>
                </c:pt>
                <c:pt idx="2">
                  <c:v>2018</c:v>
                </c:pt>
                <c:pt idx="3">
                  <c:v>2019</c:v>
                </c:pt>
                <c:pt idx="4">
                  <c:v>2020</c:v>
                </c:pt>
                <c:pt idx="5">
                  <c:v>2021</c:v>
                </c:pt>
                <c:pt idx="6">
                  <c:v>2022</c:v>
                </c:pt>
              </c:numCache>
            </c:numRef>
          </c:cat>
          <c:val>
            <c:numRef>
              <c:f>EBITDA!$C$11:$I$11</c:f>
              <c:numCache>
                <c:formatCode>_("$"\ * #,##0_);_("$"\ * \(#,##0\);_("$"\ * "-"??_);_(@_)</c:formatCode>
                <c:ptCount val="7"/>
                <c:pt idx="0">
                  <c:v>2645167.5882409499</c:v>
                </c:pt>
                <c:pt idx="1">
                  <c:v>2934013.2207893999</c:v>
                </c:pt>
                <c:pt idx="2">
                  <c:v>3253391.2121248199</c:v>
                </c:pt>
                <c:pt idx="3">
                  <c:v>3372715.7337268102</c:v>
                </c:pt>
                <c:pt idx="4">
                  <c:v>3412732.3777301898</c:v>
                </c:pt>
                <c:pt idx="5">
                  <c:v>3521939.8138175602</c:v>
                </c:pt>
                <c:pt idx="6">
                  <c:v>3634641.8878597198</c:v>
                </c:pt>
              </c:numCache>
            </c:numRef>
          </c:val>
          <c:smooth val="0"/>
          <c:extLst xmlns:c16r2="http://schemas.microsoft.com/office/drawing/2015/06/chart">
            <c:ext xmlns:c16="http://schemas.microsoft.com/office/drawing/2014/chart" uri="{C3380CC4-5D6E-409C-BE32-E72D297353CC}">
              <c16:uniqueId val="{00000000-0256-4EA2-80CE-9EBA97E84FCE}"/>
            </c:ext>
          </c:extLst>
        </c:ser>
        <c:ser>
          <c:idx val="1"/>
          <c:order val="1"/>
          <c:tx>
            <c:strRef>
              <c:f>EBITDA!$B$12</c:f>
              <c:strCache>
                <c:ptCount val="1"/>
                <c:pt idx="0">
                  <c:v>Con transacciones</c:v>
                </c:pt>
              </c:strCache>
            </c:strRef>
          </c:tx>
          <c:spPr>
            <a:ln w="28575" cap="rnd">
              <a:solidFill>
                <a:schemeClr val="accent2"/>
              </a:solidFill>
              <a:prstDash val="dash"/>
              <a:round/>
            </a:ln>
            <a:effectLst/>
          </c:spPr>
          <c:marker>
            <c:symbol val="none"/>
          </c:marker>
          <c:cat>
            <c:numRef>
              <c:f>EBITDA!$C$10:$I$10</c:f>
              <c:numCache>
                <c:formatCode>General</c:formatCode>
                <c:ptCount val="7"/>
                <c:pt idx="0">
                  <c:v>2016</c:v>
                </c:pt>
                <c:pt idx="1">
                  <c:v>2017</c:v>
                </c:pt>
                <c:pt idx="2">
                  <c:v>2018</c:v>
                </c:pt>
                <c:pt idx="3">
                  <c:v>2019</c:v>
                </c:pt>
                <c:pt idx="4">
                  <c:v>2020</c:v>
                </c:pt>
                <c:pt idx="5">
                  <c:v>2021</c:v>
                </c:pt>
                <c:pt idx="6">
                  <c:v>2022</c:v>
                </c:pt>
              </c:numCache>
            </c:numRef>
          </c:cat>
          <c:val>
            <c:numRef>
              <c:f>EBITDA!$C$12:$I$12</c:f>
              <c:numCache>
                <c:formatCode>_("$"\ * #,##0_);_("$"\ * \(#,##0\);_("$"\ * "-"??_);_(@_)</c:formatCode>
                <c:ptCount val="7"/>
                <c:pt idx="0">
                  <c:v>2645167.5882409499</c:v>
                </c:pt>
                <c:pt idx="1">
                  <c:v>2934013.2207893999</c:v>
                </c:pt>
                <c:pt idx="2">
                  <c:v>3183324.8081974401</c:v>
                </c:pt>
                <c:pt idx="3">
                  <c:v>3294530.02819535</c:v>
                </c:pt>
                <c:pt idx="4">
                  <c:v>3332044.7296217298</c:v>
                </c:pt>
                <c:pt idx="5">
                  <c:v>3438670.1609696299</c:v>
                </c:pt>
                <c:pt idx="6">
                  <c:v>3548707.6061206502</c:v>
                </c:pt>
              </c:numCache>
            </c:numRef>
          </c:val>
          <c:smooth val="0"/>
          <c:extLst xmlns:c16r2="http://schemas.microsoft.com/office/drawing/2015/06/chart">
            <c:ext xmlns:c16="http://schemas.microsoft.com/office/drawing/2014/chart" uri="{C3380CC4-5D6E-409C-BE32-E72D297353CC}">
              <c16:uniqueId val="{00000001-0256-4EA2-80CE-9EBA97E84FCE}"/>
            </c:ext>
          </c:extLst>
        </c:ser>
        <c:dLbls>
          <c:showLegendKey val="0"/>
          <c:showVal val="0"/>
          <c:showCatName val="0"/>
          <c:showSerName val="0"/>
          <c:showPercent val="0"/>
          <c:showBubbleSize val="0"/>
        </c:dLbls>
        <c:marker val="1"/>
        <c:smooth val="0"/>
        <c:axId val="155010048"/>
        <c:axId val="154475264"/>
      </c:lineChart>
      <c:scatterChart>
        <c:scatterStyle val="lineMarker"/>
        <c:varyColors val="0"/>
        <c:ser>
          <c:idx val="2"/>
          <c:order val="2"/>
          <c:tx>
            <c:strRef>
              <c:f>EBITDA!$B$13</c:f>
              <c:strCache>
                <c:ptCount val="1"/>
                <c:pt idx="0">
                  <c:v>Delta </c:v>
                </c:pt>
              </c:strCache>
            </c:strRef>
          </c:tx>
          <c:spPr>
            <a:ln w="25400" cap="rnd">
              <a:noFill/>
              <a:round/>
            </a:ln>
            <a:effectLst/>
          </c:spPr>
          <c:marker>
            <c:symbol val="circle"/>
            <c:size val="5"/>
            <c:spPr>
              <a:solidFill>
                <a:schemeClr val="accent3"/>
              </a:solidFill>
              <a:ln w="9525">
                <a:solidFill>
                  <a:schemeClr val="accent3"/>
                </a:solidFill>
              </a:ln>
              <a:effectLst/>
            </c:spPr>
          </c:marker>
          <c:yVal>
            <c:numRef>
              <c:f>EBITDA!$C$15:$I$15</c:f>
              <c:numCache>
                <c:formatCode>General</c:formatCode>
                <c:ptCount val="7"/>
                <c:pt idx="2" formatCode="0.00%">
                  <c:v>2.1536421339756199E-2</c:v>
                </c:pt>
                <c:pt idx="3" formatCode="0.00%">
                  <c:v>2.3181824886576601E-2</c:v>
                </c:pt>
                <c:pt idx="4" formatCode="0.00%">
                  <c:v>2.3643122043495401E-2</c:v>
                </c:pt>
                <c:pt idx="5" formatCode="0.00%">
                  <c:v>2.3643122043495401E-2</c:v>
                </c:pt>
                <c:pt idx="6" formatCode="0.00%">
                  <c:v>2.3643122043495401E-2</c:v>
                </c:pt>
              </c:numCache>
            </c:numRef>
          </c:yVal>
          <c:smooth val="0"/>
          <c:extLst xmlns:c16r2="http://schemas.microsoft.com/office/drawing/2015/06/chart">
            <c:ext xmlns:c16="http://schemas.microsoft.com/office/drawing/2014/chart" uri="{C3380CC4-5D6E-409C-BE32-E72D297353CC}">
              <c16:uniqueId val="{00000002-0256-4EA2-80CE-9EBA97E84FCE}"/>
            </c:ext>
          </c:extLst>
        </c:ser>
        <c:dLbls>
          <c:showLegendKey val="0"/>
          <c:showVal val="0"/>
          <c:showCatName val="0"/>
          <c:showSerName val="0"/>
          <c:showPercent val="0"/>
          <c:showBubbleSize val="0"/>
        </c:dLbls>
        <c:axId val="154509312"/>
        <c:axId val="154475840"/>
      </c:scatterChart>
      <c:catAx>
        <c:axId val="15501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75264"/>
        <c:crosses val="autoZero"/>
        <c:auto val="1"/>
        <c:lblAlgn val="ctr"/>
        <c:lblOffset val="100"/>
        <c:noMultiLvlLbl val="0"/>
      </c:catAx>
      <c:valAx>
        <c:axId val="154475264"/>
        <c:scaling>
          <c:orientation val="minMax"/>
          <c:min val="1000000"/>
        </c:scaling>
        <c:delete val="0"/>
        <c:axPos val="l"/>
        <c:numFmt formatCode="_(&quot;$&quot;\ * #,##0_);_(&quot;$&quot;\ * \(#,##0\);_(&quot;$&quot;\ * &quot;-&quot;??_);_(@_)" sourceLinked="1"/>
        <c:majorTickMark val="out"/>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010048"/>
        <c:crosses val="autoZero"/>
        <c:crossBetween val="between"/>
      </c:valAx>
      <c:valAx>
        <c:axId val="154475840"/>
        <c:scaling>
          <c:orientation val="minMax"/>
          <c:max val="0.03"/>
          <c:min val="0.01"/>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509312"/>
        <c:crosses val="max"/>
        <c:crossBetween val="midCat"/>
      </c:valAx>
      <c:valAx>
        <c:axId val="154509312"/>
        <c:scaling>
          <c:orientation val="minMax"/>
        </c:scaling>
        <c:delete val="1"/>
        <c:axPos val="b"/>
        <c:majorTickMark val="out"/>
        <c:minorTickMark val="none"/>
        <c:tickLblPos val="nextTo"/>
        <c:crossAx val="154475840"/>
        <c:crossesAt val="2.1000000000000001E-2"/>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0.88333</cdr:x>
      <cdr:y>0.90972</cdr:y>
    </cdr:from>
    <cdr:to>
      <cdr:x>0.96042</cdr:x>
      <cdr:y>0.95833</cdr:y>
    </cdr:to>
    <cdr:sp macro="" textlink="">
      <cdr:nvSpPr>
        <cdr:cNvPr id="2" name="1 Cuadro de texto"/>
        <cdr:cNvSpPr txBox="1"/>
      </cdr:nvSpPr>
      <cdr:spPr>
        <a:xfrm xmlns:a="http://schemas.openxmlformats.org/drawingml/2006/main">
          <a:off x="4038600" y="2495549"/>
          <a:ext cx="352425" cy="13335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s-CO" sz="800">
              <a:solidFill>
                <a:schemeClr val="bg2">
                  <a:lumMod val="50000"/>
                </a:schemeClr>
              </a:solidFill>
            </a:rPr>
            <a:t>(Der.)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81E2C-E7C9-4D4D-A631-4DDB8F80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13180</Words>
  <Characters>73240</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2016-10-24T19:31:00Z</dcterms:created>
  <dcterms:modified xsi:type="dcterms:W3CDTF">2016-10-24T19:31:00Z</dcterms:modified>
</cp:coreProperties>
</file>