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918" w:rsidRPr="004A2671" w:rsidRDefault="00A47918" w:rsidP="004A2671">
      <w:pPr>
        <w:spacing w:after="0" w:line="360" w:lineRule="auto"/>
        <w:jc w:val="both"/>
        <w:rPr>
          <w:rFonts w:ascii="Arial" w:hAnsi="Arial" w:cs="Arial"/>
          <w:sz w:val="20"/>
          <w:szCs w:val="20"/>
        </w:rPr>
      </w:pPr>
      <w:bookmarkStart w:id="0" w:name="_GoBack"/>
      <w:bookmarkEnd w:id="0"/>
      <w:r>
        <w:rPr>
          <w:rFonts w:ascii="Arial" w:hAnsi="Arial" w:cs="Arial"/>
          <w:sz w:val="20"/>
          <w:szCs w:val="20"/>
        </w:rPr>
        <w:t>Abril 4 de 2013</w:t>
      </w:r>
    </w:p>
    <w:p w:rsidR="00A47918" w:rsidRDefault="00A47918" w:rsidP="004A2671">
      <w:pPr>
        <w:tabs>
          <w:tab w:val="left" w:pos="0"/>
        </w:tabs>
        <w:spacing w:after="0" w:line="240" w:lineRule="auto"/>
        <w:jc w:val="center"/>
        <w:rPr>
          <w:b/>
          <w:bCs/>
          <w:sz w:val="36"/>
          <w:szCs w:val="36"/>
        </w:rPr>
      </w:pPr>
    </w:p>
    <w:p w:rsidR="00A47918" w:rsidRPr="00A104C0" w:rsidRDefault="00A47918" w:rsidP="00A104C0">
      <w:pPr>
        <w:pStyle w:val="NormalWeb"/>
        <w:spacing w:after="0"/>
        <w:jc w:val="center"/>
        <w:rPr>
          <w:rFonts w:ascii="Calibri" w:hAnsi="Calibri" w:cs="Calibri"/>
          <w:b/>
          <w:bCs/>
          <w:sz w:val="28"/>
          <w:szCs w:val="28"/>
          <w:lang w:eastAsia="en-US"/>
        </w:rPr>
      </w:pPr>
      <w:r w:rsidRPr="00A104C0">
        <w:rPr>
          <w:rFonts w:ascii="Calibri" w:hAnsi="Calibri" w:cs="Calibri"/>
          <w:b/>
          <w:bCs/>
          <w:sz w:val="28"/>
          <w:szCs w:val="28"/>
          <w:lang w:eastAsia="en-US"/>
        </w:rPr>
        <w:t>Concejal Yezid García coadyuva acción popular contra Lime, Atesa, Ciudad Limpia y Aseo Capital</w:t>
      </w:r>
    </w:p>
    <w:p w:rsidR="00A47918" w:rsidRPr="00A104C0" w:rsidRDefault="00A47918" w:rsidP="00A104C0">
      <w:pPr>
        <w:pStyle w:val="NormalWeb"/>
        <w:spacing w:after="0"/>
        <w:jc w:val="both"/>
        <w:rPr>
          <w:rFonts w:ascii="Calibri" w:hAnsi="Calibri" w:cs="Calibri"/>
          <w:i/>
          <w:iCs/>
          <w:lang w:eastAsia="en-US"/>
        </w:rPr>
      </w:pPr>
      <w:r w:rsidRPr="00A104C0">
        <w:rPr>
          <w:rFonts w:ascii="Calibri" w:hAnsi="Calibri" w:cs="Calibri"/>
          <w:i/>
          <w:iCs/>
          <w:lang w:eastAsia="en-US"/>
        </w:rPr>
        <w:t>Compactadores, vehículos y demás bienes que utilizaron operadores privados de aseo, son de Bogotá y d</w:t>
      </w:r>
      <w:r>
        <w:rPr>
          <w:rFonts w:ascii="Calibri" w:hAnsi="Calibri" w:cs="Calibri"/>
          <w:i/>
          <w:iCs/>
          <w:lang w:eastAsia="en-US"/>
        </w:rPr>
        <w:t>eben ser entregados al Distrito.</w:t>
      </w:r>
    </w:p>
    <w:p w:rsidR="00A47918" w:rsidRPr="00A104C0" w:rsidRDefault="00A47918" w:rsidP="00A104C0">
      <w:pPr>
        <w:pStyle w:val="NormalWeb"/>
        <w:spacing w:after="0"/>
        <w:jc w:val="both"/>
        <w:rPr>
          <w:rFonts w:ascii="Calibri" w:hAnsi="Calibri" w:cs="Calibri"/>
          <w:lang w:eastAsia="en-US"/>
        </w:rPr>
      </w:pPr>
      <w:r w:rsidRPr="00A104C0">
        <w:rPr>
          <w:rFonts w:ascii="Calibri" w:hAnsi="Calibri" w:cs="Calibri"/>
          <w:lang w:eastAsia="en-US"/>
        </w:rPr>
        <w:t xml:space="preserve">El </w:t>
      </w:r>
      <w:r>
        <w:rPr>
          <w:rFonts w:ascii="Calibri" w:hAnsi="Calibri" w:cs="Calibri"/>
          <w:lang w:eastAsia="en-US"/>
        </w:rPr>
        <w:t>concejal p</w:t>
      </w:r>
      <w:r w:rsidRPr="00A104C0">
        <w:rPr>
          <w:rFonts w:ascii="Calibri" w:hAnsi="Calibri" w:cs="Calibri"/>
          <w:lang w:eastAsia="en-US"/>
        </w:rPr>
        <w:t>rogresista Yezid García radicó ante el Juzgado 8 Administrativo de Bogotá un escrito para coadyuvar la Acción Popular impetrada por el connotado jurista Luis Fontalvo Prieto, contra los 4 concesionarios de aseo en Bogotá (LIME, ATESA, Ciudad Limpia y Aseo Capital).</w:t>
      </w:r>
    </w:p>
    <w:p w:rsidR="00A47918" w:rsidRPr="00A104C0" w:rsidRDefault="00A47918" w:rsidP="00A104C0">
      <w:pPr>
        <w:pStyle w:val="NormalWeb"/>
        <w:spacing w:after="0"/>
        <w:jc w:val="both"/>
        <w:rPr>
          <w:rFonts w:ascii="Calibri" w:hAnsi="Calibri" w:cs="Calibri"/>
          <w:lang w:eastAsia="en-US"/>
        </w:rPr>
      </w:pPr>
      <w:r w:rsidRPr="00A104C0">
        <w:rPr>
          <w:rFonts w:ascii="Calibri" w:hAnsi="Calibri" w:cs="Calibri"/>
          <w:lang w:eastAsia="en-US"/>
        </w:rPr>
        <w:t>Ésta Acción Popular se propone hacer efectiva la cláusula de reversión que pactaron en julio de 2003 los 4 concesionarios y la Unidad Ejecutiva de Servicios Públicos, hoy UAESP, en los Contratos de Concesión para el barrido, limpieza y recolección de basura en Bogotá.</w:t>
      </w:r>
    </w:p>
    <w:p w:rsidR="00A47918" w:rsidRPr="00A104C0" w:rsidRDefault="00A47918" w:rsidP="00A104C0">
      <w:pPr>
        <w:pStyle w:val="NormalWeb"/>
        <w:spacing w:after="0"/>
        <w:jc w:val="both"/>
        <w:rPr>
          <w:rFonts w:ascii="Calibri" w:hAnsi="Calibri" w:cs="Calibri"/>
          <w:lang w:eastAsia="en-US"/>
        </w:rPr>
      </w:pPr>
      <w:r>
        <w:rPr>
          <w:rFonts w:ascii="Calibri" w:hAnsi="Calibri" w:cs="Calibri"/>
          <w:lang w:eastAsia="en-US"/>
        </w:rPr>
        <w:t>Afirma el c</w:t>
      </w:r>
      <w:r w:rsidRPr="00A104C0">
        <w:rPr>
          <w:rFonts w:ascii="Calibri" w:hAnsi="Calibri" w:cs="Calibri"/>
          <w:lang w:eastAsia="en-US"/>
        </w:rPr>
        <w:t>oncejal Yezid García en su escrito de coadyuvancia: “En varias sesiones del Concejo Distrital, en atención a lo dispuesto por el Artículo 19 de la ley 80 de 1993, he dejado constancia expresa de la obligación legal y contractual que tienen los concesionarios del servicio de Aseo de revertir los bienes y elementos directamente afectados por los Contratos de Concesión que terminaron el pasado diciembre de 2012”.</w:t>
      </w:r>
    </w:p>
    <w:p w:rsidR="00A47918" w:rsidRPr="00A104C0" w:rsidRDefault="00A47918" w:rsidP="00A104C0">
      <w:pPr>
        <w:pStyle w:val="NormalWeb"/>
        <w:spacing w:after="0"/>
        <w:jc w:val="both"/>
        <w:rPr>
          <w:rFonts w:ascii="Calibri" w:hAnsi="Calibri" w:cs="Calibri"/>
          <w:lang w:eastAsia="en-US"/>
        </w:rPr>
      </w:pPr>
      <w:r w:rsidRPr="00A104C0">
        <w:rPr>
          <w:rFonts w:ascii="Calibri" w:hAnsi="Calibri" w:cs="Calibri"/>
          <w:lang w:eastAsia="en-US"/>
        </w:rPr>
        <w:t>Los concesionarios se han opuesto a devolver los bienes, ya pagados por los bogotanos en las tarifas, afirmando que “estos son propiedad de los operadores”. Bogotá entera debe saber que los concesionarios de aseo evaden la normatividad colombiana y lo pactado en los contratos de concesión. La negación de los concesionarios a revertir, ha provocado perjuicios al patrimonio de los bogotanos, por tanto, los concesionarios deben resarcir los daños causados tal y como lo ordena legislación nacional.</w:t>
      </w:r>
    </w:p>
    <w:p w:rsidR="00A47918" w:rsidRPr="00A104C0" w:rsidRDefault="00A47918" w:rsidP="00A104C0">
      <w:pPr>
        <w:pStyle w:val="NormalWeb"/>
        <w:spacing w:after="0"/>
        <w:jc w:val="both"/>
        <w:rPr>
          <w:rFonts w:ascii="Calibri" w:hAnsi="Calibri" w:cs="Calibri"/>
          <w:lang w:eastAsia="en-US"/>
        </w:rPr>
      </w:pPr>
      <w:r w:rsidRPr="00A104C0">
        <w:rPr>
          <w:rFonts w:ascii="Calibri" w:hAnsi="Calibri" w:cs="Calibri"/>
          <w:lang w:eastAsia="en-US"/>
        </w:rPr>
        <w:t>La Corte Constitucional en su Sentencia C - 250 de 1996 señala: “la reversión implica, pues, por la naturaleza del contrato de concesión, que al finalizar el término de la explotación o concesión, los elementos y bienes directamente afectados a la misma y colocados por el contratista para la explotación o prestación del servicio, se transfieran por parte del concesionario al Estado -que como es obvio, siempre tendrá la calidad de entidad contratante-, sin que por ello ésta deba efectuar compensación alguna”.</w:t>
      </w:r>
    </w:p>
    <w:p w:rsidR="00A47918" w:rsidRPr="00A104C0" w:rsidRDefault="00A47918" w:rsidP="00A104C0">
      <w:pPr>
        <w:pStyle w:val="NormalWeb"/>
        <w:spacing w:before="0" w:beforeAutospacing="0" w:after="0" w:afterAutospacing="0"/>
        <w:jc w:val="both"/>
        <w:rPr>
          <w:rFonts w:ascii="Arial" w:hAnsi="Arial" w:cs="Arial"/>
          <w:i/>
          <w:iCs/>
          <w:sz w:val="14"/>
          <w:szCs w:val="14"/>
        </w:rPr>
      </w:pPr>
      <w:r>
        <w:rPr>
          <w:rFonts w:ascii="Calibri" w:hAnsi="Calibri" w:cs="Calibri"/>
          <w:lang w:eastAsia="en-US"/>
        </w:rPr>
        <w:lastRenderedPageBreak/>
        <w:t>El c</w:t>
      </w:r>
      <w:r w:rsidRPr="00A104C0">
        <w:rPr>
          <w:rFonts w:ascii="Calibri" w:hAnsi="Calibri" w:cs="Calibri"/>
          <w:lang w:eastAsia="en-US"/>
        </w:rPr>
        <w:t>oncejal Yezid García expresó: “los operadores privados de aseo cobraron durante años la amortización de todos los bienes que han dispuesto para prestar el servicio. Lo que quiere decir que los bogotanos ya pagamos los vehículos, software, hardware, muebles e inmuebles  y demás bienes que hoy están en manos de los privados y deben ser devueltos al distrito”. En sesión del Concejo de Bogotá, realizada el 5 de marzo del año en curso, el Contralor Distrital, tardíamente, expresó sobre el tema: “Lo que si participo Doctor Yezid García y concejales de Bogotá, es que en realidad esos vehículos ya se pagaron con cargo a la tarifa y deben hacer parte del patrimonio público de la ciudad”.</w:t>
      </w:r>
    </w:p>
    <w:p w:rsidR="00A47918" w:rsidRDefault="00A47918" w:rsidP="004A2671">
      <w:pPr>
        <w:pStyle w:val="NormalWeb"/>
        <w:spacing w:before="0" w:beforeAutospacing="0" w:after="0" w:afterAutospacing="0"/>
        <w:jc w:val="center"/>
        <w:rPr>
          <w:rFonts w:ascii="Arial" w:hAnsi="Arial" w:cs="Arial"/>
          <w:b/>
          <w:bCs/>
          <w:i/>
          <w:iCs/>
          <w:sz w:val="20"/>
          <w:szCs w:val="20"/>
        </w:rPr>
      </w:pPr>
    </w:p>
    <w:p w:rsidR="00A47918" w:rsidRPr="000102C5" w:rsidRDefault="00A47918" w:rsidP="004A2671">
      <w:pPr>
        <w:pStyle w:val="NormalWeb"/>
        <w:spacing w:before="0" w:beforeAutospacing="0" w:after="0" w:afterAutospacing="0"/>
        <w:jc w:val="center"/>
        <w:rPr>
          <w:rFonts w:ascii="Arial" w:hAnsi="Arial" w:cs="Arial"/>
          <w:i/>
          <w:iCs/>
          <w:sz w:val="20"/>
          <w:szCs w:val="20"/>
        </w:rPr>
      </w:pPr>
    </w:p>
    <w:sectPr w:rsidR="00A47918" w:rsidRPr="000102C5" w:rsidSect="00FB7A15">
      <w:headerReference w:type="default" r:id="rId7"/>
      <w:footerReference w:type="default" r:id="rId8"/>
      <w:pgSz w:w="12240" w:h="15840" w:code="1"/>
      <w:pgMar w:top="1225" w:right="1041" w:bottom="993" w:left="1134" w:header="568" w:footer="4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4F1" w:rsidRDefault="005064F1" w:rsidP="00FD4143">
      <w:pPr>
        <w:spacing w:after="0" w:line="240" w:lineRule="auto"/>
      </w:pPr>
      <w:r>
        <w:separator/>
      </w:r>
    </w:p>
  </w:endnote>
  <w:endnote w:type="continuationSeparator" w:id="0">
    <w:p w:rsidR="005064F1" w:rsidRDefault="005064F1" w:rsidP="00FD4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918" w:rsidRDefault="00A47918" w:rsidP="00D2500A">
    <w:pPr>
      <w:pStyle w:val="Piedepgina"/>
      <w:jc w:val="center"/>
      <w:rPr>
        <w:b/>
        <w:bCs/>
        <w:sz w:val="28"/>
        <w:szCs w:val="28"/>
        <w:lang w:val="es-ES"/>
      </w:rPr>
    </w:pPr>
    <w:r>
      <w:rPr>
        <w:b/>
        <w:bCs/>
        <w:sz w:val="28"/>
        <w:szCs w:val="28"/>
        <w:lang w:val="es-ES"/>
      </w:rPr>
      <w:t>_______________________________________________</w:t>
    </w:r>
  </w:p>
  <w:p w:rsidR="00A47918" w:rsidRPr="00D2500A" w:rsidRDefault="005474DE" w:rsidP="00D2500A">
    <w:pPr>
      <w:pStyle w:val="Piedepgina"/>
      <w:jc w:val="center"/>
      <w:rPr>
        <w:b/>
        <w:bCs/>
        <w:sz w:val="24"/>
        <w:szCs w:val="24"/>
      </w:rPr>
    </w:pPr>
    <w:r>
      <w:rPr>
        <w:noProof/>
        <w:lang w:eastAsia="es-CO"/>
      </w:rPr>
      <w:drawing>
        <wp:anchor distT="0" distB="0" distL="114300" distR="114300" simplePos="0" relativeHeight="251656704" behindDoc="0" locked="0" layoutInCell="1" allowOverlap="1">
          <wp:simplePos x="0" y="0"/>
          <wp:positionH relativeFrom="column">
            <wp:posOffset>2129790</wp:posOffset>
          </wp:positionH>
          <wp:positionV relativeFrom="paragraph">
            <wp:posOffset>170180</wp:posOffset>
          </wp:positionV>
          <wp:extent cx="219075" cy="219075"/>
          <wp:effectExtent l="0" t="0" r="9525" b="9525"/>
          <wp:wrapNone/>
          <wp:docPr id="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57728" behindDoc="0" locked="0" layoutInCell="1" allowOverlap="1">
          <wp:simplePos x="0" y="0"/>
          <wp:positionH relativeFrom="column">
            <wp:posOffset>3701415</wp:posOffset>
          </wp:positionH>
          <wp:positionV relativeFrom="paragraph">
            <wp:posOffset>172720</wp:posOffset>
          </wp:positionV>
          <wp:extent cx="209550" cy="219075"/>
          <wp:effectExtent l="0" t="0" r="0" b="9525"/>
          <wp:wrapNone/>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l="1248"/>
                  <a:stretch>
                    <a:fillRect/>
                  </a:stretch>
                </pic:blipFill>
                <pic:spPr bwMode="auto">
                  <a:xfrm>
                    <a:off x="0" y="0"/>
                    <a:ext cx="209550" cy="219075"/>
                  </a:xfrm>
                  <a:prstGeom prst="rect">
                    <a:avLst/>
                  </a:prstGeom>
                  <a:noFill/>
                </pic:spPr>
              </pic:pic>
            </a:graphicData>
          </a:graphic>
          <wp14:sizeRelH relativeFrom="page">
            <wp14:pctWidth>0</wp14:pctWidth>
          </wp14:sizeRelH>
          <wp14:sizeRelV relativeFrom="page">
            <wp14:pctHeight>0</wp14:pctHeight>
          </wp14:sizeRelV>
        </wp:anchor>
      </w:drawing>
    </w:r>
    <w:r w:rsidR="00A47918" w:rsidRPr="00D2500A">
      <w:rPr>
        <w:b/>
        <w:bCs/>
        <w:sz w:val="24"/>
        <w:szCs w:val="24"/>
        <w:lang w:val="es-ES"/>
      </w:rPr>
      <w:t>Calle 36 No. 28 A 41 - Of 309 – Tel. 208 8256 – 208 8257</w:t>
    </w:r>
  </w:p>
  <w:p w:rsidR="00A47918" w:rsidRPr="00D2500A" w:rsidRDefault="005064F1" w:rsidP="00D2500A">
    <w:pPr>
      <w:pStyle w:val="Piedepgina"/>
      <w:jc w:val="center"/>
      <w:rPr>
        <w:b/>
        <w:bCs/>
        <w:sz w:val="24"/>
        <w:szCs w:val="24"/>
      </w:rPr>
    </w:pPr>
    <w:hyperlink r:id="rId3" w:history="1">
      <w:r w:rsidR="00A47918" w:rsidRPr="001E49B9">
        <w:rPr>
          <w:rStyle w:val="Hipervnculo"/>
          <w:b/>
          <w:bCs/>
          <w:sz w:val="24"/>
          <w:szCs w:val="24"/>
          <w:lang w:val="es-ES"/>
        </w:rPr>
        <w:t>yezgara@yahoo.es</w:t>
      </w:r>
    </w:hyperlink>
    <w:r w:rsidR="00A47918" w:rsidRPr="00D2500A">
      <w:rPr>
        <w:b/>
        <w:bCs/>
        <w:sz w:val="24"/>
        <w:szCs w:val="24"/>
        <w:lang w:val="es-ES"/>
      </w:rPr>
      <w:t xml:space="preserve"> -Yezid García Abello - @yezidgarciaa</w:t>
    </w:r>
  </w:p>
  <w:p w:rsidR="00A47918" w:rsidRDefault="00A4791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4F1" w:rsidRDefault="005064F1" w:rsidP="00FD4143">
      <w:pPr>
        <w:spacing w:after="0" w:line="240" w:lineRule="auto"/>
      </w:pPr>
      <w:r>
        <w:separator/>
      </w:r>
    </w:p>
  </w:footnote>
  <w:footnote w:type="continuationSeparator" w:id="0">
    <w:p w:rsidR="005064F1" w:rsidRDefault="005064F1" w:rsidP="00FD41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918" w:rsidRDefault="005474DE" w:rsidP="00FD4143">
    <w:pPr>
      <w:pStyle w:val="Encabezado"/>
      <w:tabs>
        <w:tab w:val="clear" w:pos="8838"/>
        <w:tab w:val="right" w:pos="8840"/>
      </w:tabs>
      <w:rPr>
        <w:rFonts w:ascii="Verdana" w:hAnsi="Verdana" w:cs="Verdana"/>
        <w:b/>
        <w:bCs/>
        <w:noProof/>
      </w:rPr>
    </w:pPr>
    <w:r>
      <w:rPr>
        <w:noProof/>
        <w:lang w:eastAsia="es-CO"/>
      </w:rPr>
      <w:drawing>
        <wp:anchor distT="0" distB="0" distL="114300" distR="114300" simplePos="0" relativeHeight="251655680" behindDoc="0" locked="0" layoutInCell="1" allowOverlap="1">
          <wp:simplePos x="0" y="0"/>
          <wp:positionH relativeFrom="column">
            <wp:posOffset>2708910</wp:posOffset>
          </wp:positionH>
          <wp:positionV relativeFrom="paragraph">
            <wp:posOffset>106045</wp:posOffset>
          </wp:positionV>
          <wp:extent cx="2973705" cy="81915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3705" cy="819150"/>
                  </a:xfrm>
                  <a:prstGeom prst="rect">
                    <a:avLst/>
                  </a:prstGeom>
                  <a:noFill/>
                </pic:spPr>
              </pic:pic>
            </a:graphicData>
          </a:graphic>
          <wp14:sizeRelH relativeFrom="page">
            <wp14:pctWidth>0</wp14:pctWidth>
          </wp14:sizeRelH>
          <wp14:sizeRelV relativeFrom="page">
            <wp14:pctHeight>0</wp14:pctHeight>
          </wp14:sizeRelV>
        </wp:anchor>
      </w:drawing>
    </w:r>
    <w:r w:rsidR="00A47918" w:rsidRPr="00DF31E1">
      <w:rPr>
        <w:rFonts w:ascii="Verdana" w:hAnsi="Verdana" w:cs="Verdana"/>
        <w:b/>
        <w:bCs/>
        <w:noProof/>
      </w:rPr>
      <w:t xml:space="preserve">República de Colombia   </w:t>
    </w:r>
  </w:p>
  <w:p w:rsidR="00A47918" w:rsidRDefault="005064F1" w:rsidP="00FD4143">
    <w:pPr>
      <w:pStyle w:val="Encabezado"/>
      <w:tabs>
        <w:tab w:val="clear" w:pos="8838"/>
        <w:tab w:val="right" w:pos="8840"/>
      </w:tabs>
      <w:rPr>
        <w:rFonts w:ascii="Verdana" w:hAnsi="Verdana" w:cs="Verdana"/>
        <w:b/>
        <w:bCs/>
        <w:noProof/>
      </w:rPr>
    </w:pPr>
    <w:r>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55.05pt;margin-top:1.45pt;width:43.95pt;height:51.55pt;z-index:-251657728;mso-wrap-edited:f" fillcolor="window">
          <v:imagedata r:id="rId2" o:title=""/>
        </v:shape>
        <o:OLEObject Type="Embed" ProgID="PBrush" ShapeID="_x0000_s2050" DrawAspect="Content" ObjectID="_1426581364" r:id="rId3"/>
      </w:pict>
    </w:r>
  </w:p>
  <w:p w:rsidR="00A47918" w:rsidRDefault="00A47918" w:rsidP="00FD4143">
    <w:pPr>
      <w:pStyle w:val="Encabezado"/>
      <w:tabs>
        <w:tab w:val="clear" w:pos="8838"/>
        <w:tab w:val="right" w:pos="8840"/>
      </w:tabs>
      <w:rPr>
        <w:rFonts w:ascii="Verdana" w:hAnsi="Verdana" w:cs="Verdana"/>
        <w:b/>
        <w:bCs/>
        <w:noProof/>
      </w:rPr>
    </w:pPr>
  </w:p>
  <w:p w:rsidR="00A47918" w:rsidRDefault="00A47918" w:rsidP="00FD4143">
    <w:pPr>
      <w:pStyle w:val="Encabezado"/>
      <w:tabs>
        <w:tab w:val="clear" w:pos="8838"/>
        <w:tab w:val="right" w:pos="8840"/>
      </w:tabs>
      <w:rPr>
        <w:rFonts w:ascii="Verdana" w:hAnsi="Verdana" w:cs="Verdana"/>
        <w:b/>
        <w:bCs/>
        <w:noProof/>
      </w:rPr>
    </w:pPr>
  </w:p>
  <w:p w:rsidR="00A47918" w:rsidRDefault="00A47918" w:rsidP="00FD4143">
    <w:pPr>
      <w:pStyle w:val="Encabezado"/>
      <w:tabs>
        <w:tab w:val="clear" w:pos="8838"/>
        <w:tab w:val="right" w:pos="8840"/>
      </w:tabs>
      <w:rPr>
        <w:rFonts w:ascii="Verdana" w:hAnsi="Verdana" w:cs="Verdana"/>
        <w:b/>
        <w:bCs/>
        <w:noProof/>
      </w:rPr>
    </w:pPr>
  </w:p>
  <w:p w:rsidR="00A47918" w:rsidRPr="00CE3000" w:rsidRDefault="00A47918" w:rsidP="00FD4143">
    <w:pPr>
      <w:pStyle w:val="Encabezado"/>
      <w:tabs>
        <w:tab w:val="clear" w:pos="8838"/>
        <w:tab w:val="right" w:pos="8840"/>
      </w:tabs>
      <w:jc w:val="both"/>
      <w:rPr>
        <w:rFonts w:ascii="Verdana" w:hAnsi="Verdana" w:cs="Verdana"/>
        <w:b/>
        <w:bCs/>
        <w:noProof/>
      </w:rPr>
    </w:pPr>
    <w:r w:rsidRPr="00CE3000">
      <w:rPr>
        <w:rFonts w:ascii="Verdana" w:hAnsi="Verdana" w:cs="Verdana"/>
        <w:b/>
        <w:bCs/>
      </w:rPr>
      <w:t>Concej</w:t>
    </w:r>
    <w:r>
      <w:rPr>
        <w:rFonts w:ascii="Verdana" w:hAnsi="Verdana" w:cs="Verdana"/>
        <w:b/>
        <w:bCs/>
      </w:rPr>
      <w:t>o</w:t>
    </w:r>
    <w:r w:rsidRPr="00CE3000">
      <w:rPr>
        <w:rFonts w:ascii="Verdana" w:hAnsi="Verdana" w:cs="Verdana"/>
        <w:b/>
        <w:bCs/>
      </w:rPr>
      <w:t xml:space="preserve"> de Bogotá D.C.</w:t>
    </w:r>
  </w:p>
  <w:p w:rsidR="00A47918" w:rsidRDefault="00A47918">
    <w:pPr>
      <w:pStyle w:val="Encabezado"/>
    </w:pPr>
  </w:p>
  <w:p w:rsidR="00A47918" w:rsidRDefault="005474DE">
    <w:pPr>
      <w:pStyle w:val="Encabezado"/>
    </w:pPr>
    <w:r>
      <w:rPr>
        <w:noProof/>
        <w:lang w:eastAsia="es-CO"/>
      </w:rPr>
      <mc:AlternateContent>
        <mc:Choice Requires="wps">
          <w:drawing>
            <wp:anchor distT="0" distB="0" distL="114300" distR="114300" simplePos="0" relativeHeight="251659776" behindDoc="0" locked="0" layoutInCell="1" allowOverlap="1">
              <wp:simplePos x="0" y="0"/>
              <wp:positionH relativeFrom="column">
                <wp:posOffset>-13335</wp:posOffset>
              </wp:positionH>
              <wp:positionV relativeFrom="paragraph">
                <wp:posOffset>18415</wp:posOffset>
              </wp:positionV>
              <wp:extent cx="5581650" cy="0"/>
              <wp:effectExtent l="24765" t="27940" r="22860" b="19685"/>
              <wp:wrapNone/>
              <wp:docPr id="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1650" cy="0"/>
                      </a:xfrm>
                      <a:prstGeom prst="line">
                        <a:avLst/>
                      </a:prstGeom>
                      <a:noFill/>
                      <a:ln w="38100" cmpd="thickThin">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3 Conector recto"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45pt" to="438.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" strokecolor="#4579b8" strokeweight="3pt">
              <v:stroke linestyle="thickTh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143"/>
    <w:rsid w:val="000102C5"/>
    <w:rsid w:val="00100174"/>
    <w:rsid w:val="0010086B"/>
    <w:rsid w:val="0016148A"/>
    <w:rsid w:val="001E49B9"/>
    <w:rsid w:val="00286026"/>
    <w:rsid w:val="002A756F"/>
    <w:rsid w:val="002B35CC"/>
    <w:rsid w:val="003C5195"/>
    <w:rsid w:val="00464C93"/>
    <w:rsid w:val="004A2671"/>
    <w:rsid w:val="005064F1"/>
    <w:rsid w:val="005474DE"/>
    <w:rsid w:val="005C532E"/>
    <w:rsid w:val="00790D4B"/>
    <w:rsid w:val="007F568B"/>
    <w:rsid w:val="00820AF2"/>
    <w:rsid w:val="00833D77"/>
    <w:rsid w:val="00885694"/>
    <w:rsid w:val="008B564F"/>
    <w:rsid w:val="008F0D08"/>
    <w:rsid w:val="0092788A"/>
    <w:rsid w:val="00951E68"/>
    <w:rsid w:val="00A104C0"/>
    <w:rsid w:val="00A47918"/>
    <w:rsid w:val="00C70E61"/>
    <w:rsid w:val="00C87A96"/>
    <w:rsid w:val="00CE3000"/>
    <w:rsid w:val="00D2500A"/>
    <w:rsid w:val="00D31890"/>
    <w:rsid w:val="00D53DD7"/>
    <w:rsid w:val="00D90D7B"/>
    <w:rsid w:val="00DF31E1"/>
    <w:rsid w:val="00E8442C"/>
    <w:rsid w:val="00F35F26"/>
    <w:rsid w:val="00F767F2"/>
    <w:rsid w:val="00FB7A15"/>
    <w:rsid w:val="00FD41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42C"/>
    <w:pPr>
      <w:spacing w:after="200" w:line="276" w:lineRule="auto"/>
    </w:pPr>
    <w:rPr>
      <w:rFonts w:cs="Calibri"/>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D41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FD4143"/>
  </w:style>
  <w:style w:type="paragraph" w:styleId="Piedepgina">
    <w:name w:val="footer"/>
    <w:basedOn w:val="Normal"/>
    <w:link w:val="PiedepginaCar"/>
    <w:uiPriority w:val="99"/>
    <w:rsid w:val="00FD41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FD4143"/>
  </w:style>
  <w:style w:type="paragraph" w:styleId="Textodeglobo">
    <w:name w:val="Balloon Text"/>
    <w:basedOn w:val="Normal"/>
    <w:link w:val="TextodegloboCar"/>
    <w:uiPriority w:val="99"/>
    <w:semiHidden/>
    <w:rsid w:val="00FD41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D4143"/>
    <w:rPr>
      <w:rFonts w:ascii="Tahoma" w:hAnsi="Tahoma" w:cs="Tahoma"/>
      <w:sz w:val="16"/>
      <w:szCs w:val="16"/>
    </w:rPr>
  </w:style>
  <w:style w:type="character" w:styleId="Hipervnculo">
    <w:name w:val="Hyperlink"/>
    <w:basedOn w:val="Fuentedeprrafopredeter"/>
    <w:uiPriority w:val="99"/>
    <w:rsid w:val="00D2500A"/>
    <w:rPr>
      <w:color w:val="0000FF"/>
      <w:u w:val="single"/>
    </w:rPr>
  </w:style>
  <w:style w:type="paragraph" w:styleId="NormalWeb">
    <w:name w:val="Normal (Web)"/>
    <w:basedOn w:val="Normal"/>
    <w:uiPriority w:val="99"/>
    <w:semiHidden/>
    <w:rsid w:val="004A267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uiPriority w:val="99"/>
    <w:rsid w:val="004A26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42C"/>
    <w:pPr>
      <w:spacing w:after="200" w:line="276" w:lineRule="auto"/>
    </w:pPr>
    <w:rPr>
      <w:rFonts w:cs="Calibri"/>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D41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FD4143"/>
  </w:style>
  <w:style w:type="paragraph" w:styleId="Piedepgina">
    <w:name w:val="footer"/>
    <w:basedOn w:val="Normal"/>
    <w:link w:val="PiedepginaCar"/>
    <w:uiPriority w:val="99"/>
    <w:rsid w:val="00FD41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FD4143"/>
  </w:style>
  <w:style w:type="paragraph" w:styleId="Textodeglobo">
    <w:name w:val="Balloon Text"/>
    <w:basedOn w:val="Normal"/>
    <w:link w:val="TextodegloboCar"/>
    <w:uiPriority w:val="99"/>
    <w:semiHidden/>
    <w:rsid w:val="00FD41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D4143"/>
    <w:rPr>
      <w:rFonts w:ascii="Tahoma" w:hAnsi="Tahoma" w:cs="Tahoma"/>
      <w:sz w:val="16"/>
      <w:szCs w:val="16"/>
    </w:rPr>
  </w:style>
  <w:style w:type="character" w:styleId="Hipervnculo">
    <w:name w:val="Hyperlink"/>
    <w:basedOn w:val="Fuentedeprrafopredeter"/>
    <w:uiPriority w:val="99"/>
    <w:rsid w:val="00D2500A"/>
    <w:rPr>
      <w:color w:val="0000FF"/>
      <w:u w:val="single"/>
    </w:rPr>
  </w:style>
  <w:style w:type="paragraph" w:styleId="NormalWeb">
    <w:name w:val="Normal (Web)"/>
    <w:basedOn w:val="Normal"/>
    <w:uiPriority w:val="99"/>
    <w:semiHidden/>
    <w:rsid w:val="004A267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uiPriority w:val="99"/>
    <w:rsid w:val="004A2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yezgara@yahoo.es" TargetMode="External"/><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2477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Abril 4 de 2013</vt:lpstr>
    </vt:vector>
  </TitlesOfParts>
  <Company>CONCEJO DE BOGOTA</Company>
  <LinksUpToDate>false</LinksUpToDate>
  <CharactersWithSpaces>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Abril 4 de 2013</dc:title>
  <dc:creator>CLAUDIA LUCIA MANTILLA CUPABAN</dc:creator>
  <cp:lastModifiedBy>ALEX ANDRES VELA MACHADO</cp:lastModifiedBy>
  <cp:revision>2</cp:revision>
  <cp:lastPrinted>2013-03-08T17:11:00Z</cp:lastPrinted>
  <dcterms:created xsi:type="dcterms:W3CDTF">2013-04-04T16:50:00Z</dcterms:created>
  <dcterms:modified xsi:type="dcterms:W3CDTF">2013-04-04T16:50:00Z</dcterms:modified>
</cp:coreProperties>
</file>