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42" w:rsidRDefault="008A2C42" w:rsidP="004A5F31">
      <w:pPr>
        <w:tabs>
          <w:tab w:val="center" w:pos="4419"/>
          <w:tab w:val="right" w:pos="8838"/>
        </w:tabs>
        <w:jc w:val="center"/>
        <w:rPr>
          <w:rFonts w:ascii="Bookman Old Style" w:hAnsi="Bookman Old Style" w:cs="Arial"/>
          <w:b/>
          <w:color w:val="auto"/>
          <w:szCs w:val="24"/>
          <w:lang w:val="es-CO"/>
        </w:rPr>
      </w:pPr>
    </w:p>
    <w:p w:rsidR="004A5F31" w:rsidRDefault="004A5F31" w:rsidP="004A5F31">
      <w:pPr>
        <w:tabs>
          <w:tab w:val="center" w:pos="4419"/>
          <w:tab w:val="right" w:pos="8838"/>
        </w:tabs>
        <w:jc w:val="center"/>
        <w:rPr>
          <w:rFonts w:ascii="Bookman Old Style" w:hAnsi="Bookman Old Style" w:cs="Arial"/>
          <w:b/>
          <w:color w:val="auto"/>
          <w:szCs w:val="24"/>
          <w:lang w:val="es-CO"/>
        </w:rPr>
      </w:pPr>
      <w:r w:rsidRPr="004A5F31">
        <w:rPr>
          <w:rFonts w:ascii="Bookman Old Style" w:hAnsi="Bookman Old Style" w:cs="Arial"/>
          <w:b/>
          <w:color w:val="auto"/>
          <w:szCs w:val="24"/>
          <w:lang w:val="es-CO"/>
        </w:rPr>
        <w:t xml:space="preserve">PROYECTO DE ACUERDO No.    </w:t>
      </w:r>
      <w:r w:rsidR="00567DAB">
        <w:rPr>
          <w:rFonts w:ascii="Bookman Old Style" w:hAnsi="Bookman Old Style" w:cs="Arial"/>
          <w:b/>
          <w:color w:val="auto"/>
          <w:szCs w:val="24"/>
          <w:lang w:val="es-CO"/>
        </w:rPr>
        <w:t>160</w:t>
      </w:r>
      <w:r w:rsidRPr="004A5F31">
        <w:rPr>
          <w:rFonts w:ascii="Bookman Old Style" w:hAnsi="Bookman Old Style" w:cs="Arial"/>
          <w:b/>
          <w:color w:val="auto"/>
          <w:szCs w:val="24"/>
          <w:lang w:val="es-CO"/>
        </w:rPr>
        <w:t xml:space="preserve">      DE 2016</w:t>
      </w:r>
    </w:p>
    <w:p w:rsidR="008A2C42" w:rsidRPr="004A5F31" w:rsidRDefault="008A2C42"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right" w:pos="8838"/>
        </w:tabs>
        <w:jc w:val="center"/>
        <w:rPr>
          <w:rFonts w:ascii="Bookman Old Style" w:hAnsi="Bookman Old Style" w:cs="Arial"/>
          <w:color w:val="auto"/>
          <w:szCs w:val="24"/>
          <w:lang w:val="es-CO"/>
        </w:rPr>
      </w:pPr>
      <w:r w:rsidRPr="004A5F31">
        <w:rPr>
          <w:rFonts w:ascii="Bookman Old Style" w:hAnsi="Bookman Old Style" w:cs="Arial"/>
          <w:color w:val="auto"/>
          <w:szCs w:val="24"/>
          <w:lang w:val="es-CO"/>
        </w:rPr>
        <w:t>“</w:t>
      </w:r>
      <w:r w:rsidRPr="004A5F31">
        <w:rPr>
          <w:rFonts w:ascii="Bookman Old Style" w:hAnsi="Bookman Old Style" w:cs="Arial"/>
          <w:i/>
          <w:color w:val="auto"/>
          <w:szCs w:val="24"/>
          <w:lang w:val="es-CO"/>
        </w:rPr>
        <w:t>Por medio del cual se modifica parcialmente el Acuerdo 469 de 2011 en cuanto a la clasificación de los sujetos pasivos del impuesto predial unificado en Bogotá D.C., y el Acuerdo 105 de 2003 en cuanto a las tarifas del impuesto predial unif</w:t>
      </w:r>
      <w:r w:rsidRPr="004A5F31">
        <w:rPr>
          <w:rFonts w:ascii="Bookman Old Style" w:hAnsi="Bookman Old Style" w:cs="Arial"/>
          <w:i/>
          <w:color w:val="auto"/>
          <w:szCs w:val="24"/>
          <w:lang w:val="es-CO"/>
        </w:rPr>
        <w:t>i</w:t>
      </w:r>
      <w:r w:rsidRPr="004A5F31">
        <w:rPr>
          <w:rFonts w:ascii="Bookman Old Style" w:hAnsi="Bookman Old Style" w:cs="Arial"/>
          <w:i/>
          <w:color w:val="auto"/>
          <w:szCs w:val="24"/>
          <w:lang w:val="es-CO"/>
        </w:rPr>
        <w:t>cado en Bogotá D.C., y se dictan otras disposiciones</w:t>
      </w:r>
      <w:r w:rsidRPr="004A5F31">
        <w:rPr>
          <w:rFonts w:ascii="Bookman Old Style" w:hAnsi="Bookman Old Style" w:cs="Arial"/>
          <w:color w:val="auto"/>
          <w:szCs w:val="24"/>
          <w:lang w:val="es-CO"/>
        </w:rPr>
        <w:t>”</w:t>
      </w:r>
    </w:p>
    <w:p w:rsidR="004A5F31" w:rsidRPr="004A5F31" w:rsidRDefault="004A5F31" w:rsidP="004A5F31">
      <w:pPr>
        <w:tabs>
          <w:tab w:val="right" w:pos="8838"/>
        </w:tabs>
        <w:jc w:val="center"/>
        <w:rPr>
          <w:rFonts w:ascii="Bookman Old Style" w:hAnsi="Bookman Old Style" w:cs="Arial"/>
          <w:b/>
          <w:color w:val="auto"/>
          <w:szCs w:val="24"/>
          <w:lang w:val="es-CO"/>
        </w:rPr>
      </w:pPr>
    </w:p>
    <w:p w:rsidR="004A5F31" w:rsidRPr="004A5F31" w:rsidRDefault="004A5F31" w:rsidP="004A5F31">
      <w:pPr>
        <w:tabs>
          <w:tab w:val="right" w:pos="8838"/>
        </w:tabs>
        <w:jc w:val="center"/>
        <w:rPr>
          <w:rFonts w:ascii="Bookman Old Style" w:hAnsi="Bookman Old Style" w:cs="Arial"/>
          <w:b/>
          <w:color w:val="auto"/>
          <w:szCs w:val="24"/>
          <w:lang w:val="es-CO"/>
        </w:rPr>
      </w:pPr>
    </w:p>
    <w:p w:rsidR="004A5F31" w:rsidRPr="004A5F31" w:rsidRDefault="004A5F31" w:rsidP="004A5F31">
      <w:pPr>
        <w:jc w:val="center"/>
        <w:rPr>
          <w:rFonts w:ascii="Bookman Old Style" w:hAnsi="Bookman Old Style" w:cs="Arial"/>
          <w:b/>
          <w:color w:val="auto"/>
          <w:szCs w:val="24"/>
          <w:lang w:val="es-CO"/>
        </w:rPr>
      </w:pPr>
      <w:r w:rsidRPr="004A5F31">
        <w:rPr>
          <w:rFonts w:ascii="Bookman Old Style" w:hAnsi="Bookman Old Style" w:cs="Arial"/>
          <w:b/>
          <w:color w:val="auto"/>
          <w:szCs w:val="24"/>
          <w:lang w:val="es-CO"/>
        </w:rPr>
        <w:t>EXPOSICIÓN DE MOTIVOS</w:t>
      </w:r>
    </w:p>
    <w:p w:rsidR="004A5F31" w:rsidRPr="004A5F31" w:rsidRDefault="004A5F31" w:rsidP="004A5F31">
      <w:pPr>
        <w:jc w:val="center"/>
        <w:rPr>
          <w:rFonts w:ascii="Bookman Old Style" w:hAnsi="Bookman Old Style" w:cs="Arial"/>
          <w:b/>
          <w:color w:val="auto"/>
          <w:szCs w:val="24"/>
          <w:lang w:val="es-CO"/>
        </w:rPr>
      </w:pPr>
    </w:p>
    <w:p w:rsidR="004A5F31" w:rsidRPr="004A5F31" w:rsidRDefault="004A5F31" w:rsidP="004A5F31">
      <w:pPr>
        <w:jc w:val="center"/>
        <w:rPr>
          <w:rFonts w:ascii="Bookman Old Style" w:hAnsi="Bookman Old Style" w:cs="Arial"/>
          <w:b/>
          <w:color w:val="auto"/>
          <w:szCs w:val="24"/>
          <w:lang w:val="es-CO"/>
        </w:rPr>
      </w:pPr>
    </w:p>
    <w:p w:rsidR="004A5F31" w:rsidRPr="004A5F31" w:rsidRDefault="004A5F31" w:rsidP="004A5F31">
      <w:pPr>
        <w:numPr>
          <w:ilvl w:val="0"/>
          <w:numId w:val="6"/>
        </w:numPr>
        <w:autoSpaceDE w:val="0"/>
        <w:autoSpaceDN w:val="0"/>
        <w:adjustRightInd w:val="0"/>
        <w:spacing w:line="259" w:lineRule="auto"/>
        <w:jc w:val="center"/>
        <w:rPr>
          <w:rFonts w:ascii="Bookman Old Style" w:hAnsi="Bookman Old Style" w:cs="Arial"/>
          <w:b/>
          <w:bCs/>
          <w:color w:val="auto"/>
          <w:szCs w:val="24"/>
          <w:lang w:val="es-CO"/>
        </w:rPr>
      </w:pPr>
      <w:r w:rsidRPr="004A5F31">
        <w:rPr>
          <w:rFonts w:ascii="Bookman Old Style" w:hAnsi="Bookman Old Style" w:cs="Arial"/>
          <w:b/>
          <w:bCs/>
          <w:color w:val="auto"/>
          <w:szCs w:val="24"/>
          <w:lang w:val="es-CO"/>
        </w:rPr>
        <w:t>OBJETO</w:t>
      </w:r>
    </w:p>
    <w:p w:rsidR="004A5F31" w:rsidRPr="004A5F31" w:rsidRDefault="004A5F31" w:rsidP="004A5F31">
      <w:pPr>
        <w:jc w:val="center"/>
        <w:rPr>
          <w:rFonts w:ascii="Bookman Old Style" w:eastAsia="Calibri" w:hAnsi="Bookman Old Style"/>
          <w:i/>
          <w:color w:val="auto"/>
          <w:szCs w:val="24"/>
          <w:lang w:val="es-CO" w:eastAsia="en-US"/>
        </w:rPr>
      </w:pPr>
      <w:r w:rsidRPr="004A5F31">
        <w:rPr>
          <w:rFonts w:ascii="Bookman Old Style" w:eastAsia="Calibri" w:hAnsi="Bookman Old Style"/>
          <w:i/>
          <w:color w:val="auto"/>
          <w:szCs w:val="24"/>
          <w:lang w:val="es-CO" w:eastAsia="en-US"/>
        </w:rPr>
        <w:t xml:space="preserve"> </w:t>
      </w:r>
    </w:p>
    <w:p w:rsidR="004A5F31" w:rsidRPr="004A5F31" w:rsidRDefault="004A5F31" w:rsidP="004A5F31">
      <w:pPr>
        <w:jc w:val="both"/>
        <w:rPr>
          <w:rFonts w:ascii="Bookman Old Style" w:hAnsi="Bookman Old Style" w:cs="Arial"/>
          <w:color w:val="auto"/>
          <w:szCs w:val="24"/>
          <w:lang w:val="es-CO"/>
        </w:rPr>
      </w:pPr>
      <w:r w:rsidRPr="004A5F31">
        <w:rPr>
          <w:rFonts w:ascii="Bookman Old Style" w:hAnsi="Bookman Old Style" w:cs="Arial"/>
          <w:color w:val="auto"/>
          <w:szCs w:val="24"/>
          <w:lang w:val="es-CO"/>
        </w:rPr>
        <w:t>El presente proyecto de acuerdo tiene como objeto adoptar medidas modificat</w:t>
      </w:r>
      <w:r w:rsidRPr="004A5F31">
        <w:rPr>
          <w:rFonts w:ascii="Bookman Old Style" w:hAnsi="Bookman Old Style" w:cs="Arial"/>
          <w:color w:val="auto"/>
          <w:szCs w:val="24"/>
          <w:lang w:val="es-CO"/>
        </w:rPr>
        <w:t>o</w:t>
      </w:r>
      <w:r w:rsidRPr="004A5F31">
        <w:rPr>
          <w:rFonts w:ascii="Bookman Old Style" w:hAnsi="Bookman Old Style" w:cs="Arial"/>
          <w:color w:val="auto"/>
          <w:szCs w:val="24"/>
          <w:lang w:val="es-CO"/>
        </w:rPr>
        <w:t>rias a la estructura tarifaria del impuesto predial unificado que permitan hacer de este un tributo más progresivo y equitativo, cambiando aquellos criterios de liquidación que se consideran lesivos para los bogotanos que tienen un único predio como morada familiar, en contraste de aquellos propietarios que poseen varios predios, que pueden ser utilizados como actividad económica compl</w:t>
      </w:r>
      <w:r w:rsidRPr="004A5F31">
        <w:rPr>
          <w:rFonts w:ascii="Bookman Old Style" w:hAnsi="Bookman Old Style" w:cs="Arial"/>
          <w:color w:val="auto"/>
          <w:szCs w:val="24"/>
          <w:lang w:val="es-CO"/>
        </w:rPr>
        <w:t>e</w:t>
      </w:r>
      <w:r w:rsidRPr="004A5F31">
        <w:rPr>
          <w:rFonts w:ascii="Bookman Old Style" w:hAnsi="Bookman Old Style" w:cs="Arial"/>
          <w:color w:val="auto"/>
          <w:szCs w:val="24"/>
          <w:lang w:val="es-CO"/>
        </w:rPr>
        <w:t>mentaria.</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numPr>
          <w:ilvl w:val="0"/>
          <w:numId w:val="6"/>
        </w:numPr>
        <w:spacing w:line="259" w:lineRule="auto"/>
        <w:ind w:right="51"/>
        <w:jc w:val="both"/>
        <w:rPr>
          <w:rFonts w:ascii="Bookman Old Style" w:hAnsi="Bookman Old Style" w:cs="Arial"/>
          <w:b/>
          <w:bCs/>
          <w:color w:val="auto"/>
          <w:szCs w:val="24"/>
          <w:shd w:val="clear" w:color="auto" w:fill="FFFFFF"/>
          <w:lang w:val="es-CO"/>
        </w:rPr>
      </w:pPr>
      <w:r w:rsidRPr="004A5F31">
        <w:rPr>
          <w:rFonts w:ascii="Bookman Old Style" w:hAnsi="Bookman Old Style" w:cs="Arial"/>
          <w:b/>
          <w:bCs/>
          <w:color w:val="auto"/>
          <w:szCs w:val="24"/>
          <w:shd w:val="clear" w:color="auto" w:fill="FFFFFF"/>
          <w:lang w:val="es-CO"/>
        </w:rPr>
        <w:t>JUSTIFICACION DEL PROYECTO</w:t>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jc w:val="both"/>
        <w:rPr>
          <w:rFonts w:ascii="Bookman Old Style" w:eastAsia="Calibri" w:hAnsi="Bookman Old Style"/>
          <w:color w:val="auto"/>
          <w:szCs w:val="24"/>
          <w:lang w:val="es-CO" w:eastAsia="en-US"/>
        </w:rPr>
      </w:pPr>
      <w:r w:rsidRPr="004A5F31">
        <w:rPr>
          <w:rFonts w:ascii="Bookman Old Style" w:eastAsia="Calibri" w:hAnsi="Bookman Old Style"/>
          <w:color w:val="auto"/>
          <w:szCs w:val="24"/>
          <w:lang w:val="es-CO" w:eastAsia="en-US"/>
        </w:rPr>
        <w:t>Como es de pleno conocimiento de un tiempo atrás, cada año, durante el peri</w:t>
      </w:r>
      <w:r w:rsidRPr="004A5F31">
        <w:rPr>
          <w:rFonts w:ascii="Bookman Old Style" w:eastAsia="Calibri" w:hAnsi="Bookman Old Style"/>
          <w:color w:val="auto"/>
          <w:szCs w:val="24"/>
          <w:lang w:val="es-CO" w:eastAsia="en-US"/>
        </w:rPr>
        <w:t>o</w:t>
      </w:r>
      <w:r w:rsidRPr="004A5F31">
        <w:rPr>
          <w:rFonts w:ascii="Bookman Old Style" w:eastAsia="Calibri" w:hAnsi="Bookman Old Style"/>
          <w:color w:val="auto"/>
          <w:szCs w:val="24"/>
          <w:lang w:val="es-CO" w:eastAsia="en-US"/>
        </w:rPr>
        <w:t xml:space="preserve">do comprendido entre la recepción y el primer plazo de pago con descuento del 10% del </w:t>
      </w:r>
      <w:r w:rsidRPr="004A5F31">
        <w:rPr>
          <w:rFonts w:ascii="Bookman Old Style" w:eastAsia="Calibri" w:hAnsi="Bookman Old Style"/>
          <w:i/>
          <w:color w:val="auto"/>
          <w:szCs w:val="24"/>
          <w:lang w:val="es-CO" w:eastAsia="en-US"/>
        </w:rPr>
        <w:t>impuesto predial unificado</w:t>
      </w:r>
      <w:r w:rsidRPr="004A5F31">
        <w:rPr>
          <w:rFonts w:ascii="Bookman Old Style" w:eastAsia="Calibri" w:hAnsi="Bookman Old Style"/>
          <w:color w:val="auto"/>
          <w:szCs w:val="24"/>
          <w:lang w:val="es-CO" w:eastAsia="en-US"/>
        </w:rPr>
        <w:t xml:space="preserve"> en Bogotá D.C., se genera toda suerte de r</w:t>
      </w:r>
      <w:r w:rsidRPr="004A5F31">
        <w:rPr>
          <w:rFonts w:ascii="Bookman Old Style" w:eastAsia="Calibri" w:hAnsi="Bookman Old Style"/>
          <w:color w:val="auto"/>
          <w:szCs w:val="24"/>
          <w:lang w:val="es-CO" w:eastAsia="en-US"/>
        </w:rPr>
        <w:t>e</w:t>
      </w:r>
      <w:r w:rsidRPr="004A5F31">
        <w:rPr>
          <w:rFonts w:ascii="Bookman Old Style" w:eastAsia="Calibri" w:hAnsi="Bookman Old Style"/>
          <w:color w:val="auto"/>
          <w:szCs w:val="24"/>
          <w:lang w:val="es-CO" w:eastAsia="en-US"/>
        </w:rPr>
        <w:t>clamos, críticas y debates por los aumentos sufridos en la liquidación a pagar sugerida del mismo por parte de los propietarios, poseedores y/o usufructu</w:t>
      </w:r>
      <w:r w:rsidRPr="004A5F31">
        <w:rPr>
          <w:rFonts w:ascii="Bookman Old Style" w:eastAsia="Calibri" w:hAnsi="Bookman Old Style"/>
          <w:color w:val="auto"/>
          <w:szCs w:val="24"/>
          <w:lang w:val="es-CO" w:eastAsia="en-US"/>
        </w:rPr>
        <w:t>a</w:t>
      </w:r>
      <w:r w:rsidRPr="004A5F31">
        <w:rPr>
          <w:rFonts w:ascii="Bookman Old Style" w:eastAsia="Calibri" w:hAnsi="Bookman Old Style"/>
          <w:color w:val="auto"/>
          <w:szCs w:val="24"/>
          <w:lang w:val="es-CO" w:eastAsia="en-US"/>
        </w:rPr>
        <w:t>rios del respectivo predio, que perciben como exagerados, excesivos o injustos.</w:t>
      </w:r>
    </w:p>
    <w:p w:rsidR="004A5F31" w:rsidRPr="004A5F31" w:rsidRDefault="004A5F31" w:rsidP="004A5F31">
      <w:pPr>
        <w:jc w:val="both"/>
        <w:rPr>
          <w:rFonts w:ascii="Bookman Old Style" w:eastAsia="Calibri" w:hAnsi="Bookman Old Style"/>
          <w:color w:val="auto"/>
          <w:szCs w:val="24"/>
          <w:lang w:val="es-CO" w:eastAsia="en-US"/>
        </w:rPr>
      </w:pPr>
    </w:p>
    <w:p w:rsidR="004A5F31" w:rsidRPr="004A5F31" w:rsidRDefault="004A5F31" w:rsidP="004A5F31">
      <w:pPr>
        <w:jc w:val="both"/>
        <w:rPr>
          <w:rFonts w:ascii="Bookman Old Style" w:eastAsia="Calibri" w:hAnsi="Bookman Old Style"/>
          <w:color w:val="auto"/>
          <w:szCs w:val="24"/>
          <w:lang w:val="es-CO" w:eastAsia="en-US"/>
        </w:rPr>
      </w:pPr>
      <w:r w:rsidRPr="004A5F31">
        <w:rPr>
          <w:rFonts w:ascii="Bookman Old Style" w:eastAsia="Calibri" w:hAnsi="Bookman Old Style"/>
          <w:color w:val="auto"/>
          <w:szCs w:val="24"/>
          <w:lang w:val="es-CO" w:eastAsia="en-US"/>
        </w:rPr>
        <w:t>Ha sido recurrente en este Concejo, una vez suscitada esta situación programar debates de control político para llamar la atención de la administración con el fin de buscar soluciones a los reclamos ciudadanos, sin que a la fecha se haya generado una respuesta concreta, tendiente a aliviar la carga de aquellos pr</w:t>
      </w:r>
      <w:r w:rsidRPr="004A5F31">
        <w:rPr>
          <w:rFonts w:ascii="Bookman Old Style" w:eastAsia="Calibri" w:hAnsi="Bookman Old Style"/>
          <w:color w:val="auto"/>
          <w:szCs w:val="24"/>
          <w:lang w:val="es-CO" w:eastAsia="en-US"/>
        </w:rPr>
        <w:t>o</w:t>
      </w:r>
      <w:r w:rsidRPr="004A5F31">
        <w:rPr>
          <w:rFonts w:ascii="Bookman Old Style" w:eastAsia="Calibri" w:hAnsi="Bookman Old Style"/>
          <w:color w:val="auto"/>
          <w:szCs w:val="24"/>
          <w:lang w:val="es-CO" w:eastAsia="en-US"/>
        </w:rPr>
        <w:t>pietarios con precarios ingresos.</w:t>
      </w:r>
    </w:p>
    <w:p w:rsidR="004A5F31" w:rsidRPr="004A5F31" w:rsidRDefault="004A5F31" w:rsidP="004A5F31">
      <w:pPr>
        <w:jc w:val="both"/>
        <w:rPr>
          <w:rFonts w:ascii="Bookman Old Style" w:eastAsia="Calibri" w:hAnsi="Bookman Old Style"/>
          <w:color w:val="auto"/>
          <w:szCs w:val="24"/>
          <w:lang w:val="es-CO" w:eastAsia="en-US"/>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Las continuas y permanentes manifestaciones de rechazo, al incremento ex</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gerado de las liquidaciones a pagar del impuesto predial en la ciudad, obligan a mirar un poco más detenidamente la forma como se cobra en la actualidad el tributo para los bogotanos.</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 xml:space="preserve">Es indudable que la ciudad requiere una solución de fondo lo cual implica un profundo estudio de los componentes del </w:t>
      </w:r>
      <w:r w:rsidRPr="004A5F31">
        <w:rPr>
          <w:rFonts w:ascii="Bookman Old Style" w:hAnsi="Bookman Old Style" w:cs="Arial"/>
          <w:bCs/>
          <w:i/>
          <w:color w:val="auto"/>
          <w:szCs w:val="24"/>
          <w:shd w:val="clear" w:color="auto" w:fill="FFFFFF"/>
          <w:lang w:val="es-CO"/>
        </w:rPr>
        <w:t>Impuesto Predial Unificado</w:t>
      </w:r>
      <w:r w:rsidRPr="004A5F31">
        <w:rPr>
          <w:rFonts w:ascii="Bookman Old Style" w:hAnsi="Bookman Old Style" w:cs="Arial"/>
          <w:bCs/>
          <w:color w:val="auto"/>
          <w:szCs w:val="24"/>
          <w:shd w:val="clear" w:color="auto" w:fill="FFFFFF"/>
          <w:lang w:val="es-CO"/>
        </w:rPr>
        <w:t xml:space="preserve"> y la forma de su determinación, liquidación y cobro.</w:t>
      </w:r>
    </w:p>
    <w:p w:rsidR="004A5F31" w:rsidRPr="004A5F31" w:rsidRDefault="004A5F31" w:rsidP="004A5F31">
      <w:pPr>
        <w:numPr>
          <w:ilvl w:val="1"/>
          <w:numId w:val="6"/>
        </w:numPr>
        <w:spacing w:line="259" w:lineRule="auto"/>
        <w:ind w:left="426" w:right="51"/>
        <w:jc w:val="both"/>
        <w:rPr>
          <w:rFonts w:ascii="Bookman Old Style" w:hAnsi="Bookman Old Style" w:cs="Arial"/>
          <w:b/>
          <w:bCs/>
          <w:color w:val="auto"/>
          <w:szCs w:val="24"/>
          <w:shd w:val="clear" w:color="auto" w:fill="FFFFFF"/>
          <w:lang w:val="es-CO"/>
        </w:rPr>
      </w:pPr>
      <w:r w:rsidRPr="004A5F31">
        <w:rPr>
          <w:rFonts w:ascii="Bookman Old Style" w:hAnsi="Bookman Old Style" w:cs="Arial"/>
          <w:b/>
          <w:bCs/>
          <w:color w:val="auto"/>
          <w:szCs w:val="24"/>
          <w:shd w:val="clear" w:color="auto" w:fill="FFFFFF"/>
          <w:lang w:val="es-CO"/>
        </w:rPr>
        <w:t>EL CRECIMIENTO DEL MERCADO INMOBILIARIO COMO BASE PARA LA DETERMINACIÓN DEL AVALÚO CATASTRAL DE LOS PREDIOS Y EL PROBLEMA SOCIAL EN BOGOTÁ D.C.</w:t>
      </w:r>
    </w:p>
    <w:p w:rsidR="004A5F31" w:rsidRPr="004A5F31" w:rsidRDefault="004A5F31" w:rsidP="004A5F31">
      <w:pPr>
        <w:ind w:left="708"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 xml:space="preserve">El concepto base que sirve para calcular el valor de pago del </w:t>
      </w:r>
      <w:r w:rsidRPr="004A5F31">
        <w:rPr>
          <w:rFonts w:ascii="Bookman Old Style" w:hAnsi="Bookman Old Style" w:cs="Arial"/>
          <w:bCs/>
          <w:i/>
          <w:color w:val="auto"/>
          <w:szCs w:val="24"/>
          <w:shd w:val="clear" w:color="auto" w:fill="FFFFFF"/>
          <w:lang w:val="es-CO"/>
        </w:rPr>
        <w:t>impuesto predial unificado</w:t>
      </w:r>
      <w:r w:rsidRPr="004A5F31">
        <w:rPr>
          <w:rFonts w:ascii="Bookman Old Style" w:hAnsi="Bookman Old Style" w:cs="Arial"/>
          <w:bCs/>
          <w:color w:val="auto"/>
          <w:szCs w:val="24"/>
          <w:shd w:val="clear" w:color="auto" w:fill="FFFFFF"/>
          <w:lang w:val="es-CO"/>
        </w:rPr>
        <w:t xml:space="preserve"> lo constituye el avalúo catastral el cual es determinado por la Adm</w:t>
      </w:r>
      <w:r w:rsidRPr="004A5F31">
        <w:rPr>
          <w:rFonts w:ascii="Bookman Old Style" w:hAnsi="Bookman Old Style" w:cs="Arial"/>
          <w:bCs/>
          <w:color w:val="auto"/>
          <w:szCs w:val="24"/>
          <w:shd w:val="clear" w:color="auto" w:fill="FFFFFF"/>
          <w:lang w:val="es-CO"/>
        </w:rPr>
        <w:t>i</w:t>
      </w:r>
      <w:r w:rsidRPr="004A5F31">
        <w:rPr>
          <w:rFonts w:ascii="Bookman Old Style" w:hAnsi="Bookman Old Style" w:cs="Arial"/>
          <w:bCs/>
          <w:color w:val="auto"/>
          <w:szCs w:val="24"/>
          <w:shd w:val="clear" w:color="auto" w:fill="FFFFFF"/>
          <w:lang w:val="es-CO"/>
        </w:rPr>
        <w:t>nistración Distrital, vía conservación o actualización; a este valor se le aplica una tarifa y se obtiene como resultado el valor a pagar por el contribuyente.</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De acuerdo a la definición incorporada en el presupuesto distrital aprobado p</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 xml:space="preserve">ra la vigencia fiscal del año 2015, </w:t>
      </w:r>
      <w:r w:rsidRPr="004A5F31">
        <w:rPr>
          <w:rFonts w:ascii="Bookman Old Style" w:hAnsi="Bookman Old Style" w:cs="Arial"/>
          <w:bCs/>
          <w:i/>
          <w:color w:val="auto"/>
          <w:szCs w:val="24"/>
          <w:shd w:val="clear" w:color="auto" w:fill="FFFFFF"/>
          <w:lang w:val="es-CO"/>
        </w:rPr>
        <w:t>“</w:t>
      </w:r>
      <w:r w:rsidRPr="004A5F31">
        <w:rPr>
          <w:rFonts w:ascii="Bookman Old Style" w:hAnsi="Bookman Old Style" w:cs="Arial"/>
          <w:bCs/>
          <w:i/>
          <w:color w:val="auto"/>
          <w:szCs w:val="24"/>
          <w:u w:val="single"/>
          <w:shd w:val="clear" w:color="auto" w:fill="FFFFFF"/>
          <w:lang w:val="es-CO"/>
        </w:rPr>
        <w:t>el recaudo del impuesto predial está dete</w:t>
      </w:r>
      <w:r w:rsidRPr="004A5F31">
        <w:rPr>
          <w:rFonts w:ascii="Bookman Old Style" w:hAnsi="Bookman Old Style" w:cs="Arial"/>
          <w:bCs/>
          <w:i/>
          <w:color w:val="auto"/>
          <w:szCs w:val="24"/>
          <w:u w:val="single"/>
          <w:shd w:val="clear" w:color="auto" w:fill="FFFFFF"/>
          <w:lang w:val="es-CO"/>
        </w:rPr>
        <w:t>r</w:t>
      </w:r>
      <w:r w:rsidRPr="004A5F31">
        <w:rPr>
          <w:rFonts w:ascii="Bookman Old Style" w:hAnsi="Bookman Old Style" w:cs="Arial"/>
          <w:bCs/>
          <w:i/>
          <w:color w:val="auto"/>
          <w:szCs w:val="24"/>
          <w:u w:val="single"/>
          <w:shd w:val="clear" w:color="auto" w:fill="FFFFFF"/>
          <w:lang w:val="es-CO"/>
        </w:rPr>
        <w:t>minado por la dinámica presentada en el sector inmobiliario en cuanto al número de predios y variación de los avalúos catastrales</w:t>
      </w:r>
      <w:r w:rsidRPr="004A5F31">
        <w:rPr>
          <w:rFonts w:ascii="Bookman Old Style" w:hAnsi="Bookman Old Style" w:cs="Arial"/>
          <w:bCs/>
          <w:i/>
          <w:color w:val="auto"/>
          <w:szCs w:val="24"/>
          <w:shd w:val="clear" w:color="auto" w:fill="FFFFFF"/>
          <w:lang w:val="es-CO"/>
        </w:rPr>
        <w:t>”.</w:t>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La dinámica del sector inmobiliario está determinada por el crecimiento en los últimos años del valor comercial de los inmuebles, que según datos de CAM</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COL, han variado conforme se muestra en el cuadro inferior.</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center"/>
        <w:rPr>
          <w:rFonts w:ascii="Bookman Old Style" w:hAnsi="Bookman Old Style" w:cs="Arial"/>
          <w:b/>
          <w:bCs/>
          <w:color w:val="auto"/>
          <w:szCs w:val="24"/>
          <w:shd w:val="clear" w:color="auto" w:fill="FFFFFF"/>
          <w:lang w:val="es-CO"/>
        </w:rPr>
      </w:pPr>
      <w:r w:rsidRPr="004A5F31">
        <w:rPr>
          <w:rFonts w:ascii="Bookman Old Style" w:hAnsi="Bookman Old Style" w:cs="Arial"/>
          <w:b/>
          <w:bCs/>
          <w:color w:val="auto"/>
          <w:szCs w:val="24"/>
          <w:shd w:val="clear" w:color="auto" w:fill="FFFFFF"/>
          <w:lang w:val="es-CO"/>
        </w:rPr>
        <w:t xml:space="preserve">Precio por metro cuadrado de vivienda. </w:t>
      </w:r>
    </w:p>
    <w:p w:rsidR="004A5F31" w:rsidRPr="004A5F31" w:rsidRDefault="004A5F31" w:rsidP="004A5F31">
      <w:pPr>
        <w:ind w:right="51"/>
        <w:jc w:val="center"/>
        <w:rPr>
          <w:rFonts w:ascii="Bookman Old Style" w:hAnsi="Bookman Old Style" w:cs="Arial"/>
          <w:bCs/>
          <w:color w:val="auto"/>
          <w:szCs w:val="24"/>
          <w:shd w:val="clear" w:color="auto" w:fill="FFFFFF"/>
          <w:lang w:val="es-CO"/>
        </w:rPr>
      </w:pPr>
      <w:r w:rsidRPr="004A5F31">
        <w:rPr>
          <w:rFonts w:ascii="Bookman Old Style" w:hAnsi="Bookman Old Style" w:cs="Arial"/>
          <w:b/>
          <w:bCs/>
          <w:color w:val="auto"/>
          <w:szCs w:val="24"/>
          <w:shd w:val="clear" w:color="auto" w:fill="FFFFFF"/>
          <w:lang w:val="es-CO"/>
        </w:rPr>
        <w:t>Promedio ponderado de la oferta al mes de septiembre 2014</w:t>
      </w:r>
      <w:r w:rsidRPr="004A5F31">
        <w:rPr>
          <w:rFonts w:ascii="Bookman Old Style" w:hAnsi="Bookman Old Style" w:cs="Arial"/>
          <w:bCs/>
          <w:color w:val="auto"/>
          <w:szCs w:val="24"/>
          <w:shd w:val="clear" w:color="auto" w:fill="FFFFFF"/>
          <w:lang w:val="es-CO"/>
        </w:rPr>
        <w:t>.</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center"/>
        <w:rPr>
          <w:rFonts w:ascii="Bookman Old Style" w:hAnsi="Bookman Old Style" w:cs="Arial"/>
          <w:b/>
          <w:bCs/>
          <w:color w:val="auto"/>
          <w:szCs w:val="24"/>
          <w:shd w:val="clear" w:color="auto" w:fill="FFFFFF"/>
          <w:lang w:val="es-CO"/>
        </w:rPr>
      </w:pPr>
      <w:r w:rsidRPr="004A5F31">
        <w:rPr>
          <w:rFonts w:ascii="Bookman Old Style" w:hAnsi="Bookman Old Style" w:cs="Arial"/>
          <w:b/>
          <w:bCs/>
          <w:noProof/>
          <w:color w:val="auto"/>
          <w:szCs w:val="24"/>
          <w:shd w:val="clear" w:color="auto" w:fill="FFFFFF"/>
          <w:lang w:val="es-CO" w:eastAsia="es-CO"/>
        </w:rPr>
        <w:drawing>
          <wp:inline distT="0" distB="0" distL="0" distR="0" wp14:anchorId="190E3AE3" wp14:editId="51F5E763">
            <wp:extent cx="2632910" cy="24827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2785" cy="2492077"/>
                    </a:xfrm>
                    <a:prstGeom prst="rect">
                      <a:avLst/>
                    </a:prstGeom>
                    <a:noFill/>
                    <a:ln>
                      <a:noFill/>
                    </a:ln>
                  </pic:spPr>
                </pic:pic>
              </a:graphicData>
            </a:graphic>
          </wp:inline>
        </w:drawing>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lastRenderedPageBreak/>
        <w:t>De la tabla anterior observamos un incremento general promedio en los precios de venta por metro cuadrado cercano al 15% para el periodo de los años 2007 a la actualidad.</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La brecha existente entre el avalúo comercial y el avalúo catastral se hace cada vez más estrecha, razón por la cual, el incremento del valor del globo catastral de la ciudad en los últimos siete años se ha multiplicado en un 269%.</w:t>
      </w:r>
    </w:p>
    <w:p w:rsidR="004A5F31" w:rsidRPr="004A5F31" w:rsidRDefault="004A5F31" w:rsidP="004A5F31">
      <w:pPr>
        <w:ind w:left="-993"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noProof/>
          <w:color w:val="auto"/>
          <w:szCs w:val="24"/>
          <w:shd w:val="clear" w:color="auto" w:fill="FFFFFF"/>
          <w:lang w:val="es-CO" w:eastAsia="es-CO"/>
        </w:rPr>
        <w:drawing>
          <wp:inline distT="0" distB="0" distL="0" distR="0" wp14:anchorId="61BAA165" wp14:editId="4FCE9720">
            <wp:extent cx="6581955" cy="2380891"/>
            <wp:effectExtent l="19050" t="0" r="934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3287" cy="2384990"/>
                    </a:xfrm>
                    <a:prstGeom prst="rect">
                      <a:avLst/>
                    </a:prstGeom>
                    <a:noFill/>
                    <a:ln>
                      <a:noFill/>
                    </a:ln>
                  </pic:spPr>
                </pic:pic>
              </a:graphicData>
            </a:graphic>
          </wp:inline>
        </w:drawing>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i/>
          <w:color w:val="auto"/>
          <w:sz w:val="16"/>
          <w:szCs w:val="16"/>
          <w:shd w:val="clear" w:color="auto" w:fill="FFFFFF"/>
          <w:lang w:val="es-CO"/>
        </w:rPr>
      </w:pPr>
      <w:r w:rsidRPr="004A5F31">
        <w:rPr>
          <w:rFonts w:ascii="Bookman Old Style" w:hAnsi="Bookman Old Style" w:cs="Arial"/>
          <w:bCs/>
          <w:i/>
          <w:iCs/>
          <w:color w:val="auto"/>
          <w:sz w:val="16"/>
          <w:szCs w:val="16"/>
          <w:shd w:val="clear" w:color="auto" w:fill="FFFFFF"/>
          <w:lang w:val="es-CO"/>
        </w:rPr>
        <w:t>Fuente: Catastro -  Censo inmobiliario vigencia 2015</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Según las estadísticas fiscales presentadas por la Secretaría de Hacienda Di</w:t>
      </w:r>
      <w:r w:rsidRPr="004A5F31">
        <w:rPr>
          <w:rFonts w:ascii="Bookman Old Style" w:hAnsi="Bookman Old Style" w:cs="Arial"/>
          <w:bCs/>
          <w:color w:val="auto"/>
          <w:szCs w:val="24"/>
          <w:shd w:val="clear" w:color="auto" w:fill="FFFFFF"/>
          <w:lang w:val="es-CO"/>
        </w:rPr>
        <w:t>s</w:t>
      </w:r>
      <w:r w:rsidRPr="004A5F31">
        <w:rPr>
          <w:rFonts w:ascii="Bookman Old Style" w:hAnsi="Bookman Old Style" w:cs="Arial"/>
          <w:bCs/>
          <w:color w:val="auto"/>
          <w:szCs w:val="24"/>
          <w:shd w:val="clear" w:color="auto" w:fill="FFFFFF"/>
          <w:lang w:val="es-CO"/>
        </w:rPr>
        <w:t>trital, en Bogotá, los ingresos por pago del impuesto predial pasaron de 761.374 millones de pesos en el año 2008 a  2,1 billones para el año 2015. </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numPr>
          <w:ilvl w:val="1"/>
          <w:numId w:val="6"/>
        </w:numPr>
        <w:spacing w:line="259" w:lineRule="auto"/>
        <w:ind w:right="51"/>
        <w:jc w:val="both"/>
        <w:rPr>
          <w:rFonts w:ascii="Bookman Old Style" w:hAnsi="Bookman Old Style" w:cs="Arial"/>
          <w:b/>
          <w:bCs/>
          <w:color w:val="auto"/>
          <w:szCs w:val="24"/>
          <w:shd w:val="clear" w:color="auto" w:fill="FFFFFF"/>
          <w:lang w:val="es-CO"/>
        </w:rPr>
      </w:pPr>
      <w:r w:rsidRPr="004A5F31">
        <w:rPr>
          <w:rFonts w:ascii="Bookman Old Style" w:hAnsi="Bookman Old Style" w:cs="Arial"/>
          <w:b/>
          <w:bCs/>
          <w:color w:val="auto"/>
          <w:szCs w:val="24"/>
          <w:shd w:val="clear" w:color="auto" w:fill="FFFFFF"/>
          <w:lang w:val="es-CO"/>
        </w:rPr>
        <w:t>LA VARIACIÓN DEL IPC COMO INDICADOR DE CRECIMIENTO DE LA ECONOMÍA FRENTE AL AVALÚO CATASTRAL</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Teniendo en cuenta que el índice de precios al consumidor –IPC- representa la manera como la dinámica de la economía y del mercado afecta a los precios de los productos de la canasta familiar y al consumidor final, se hace necesario considerar esta variable frente al crecimiento del globo catastral, a efectos de establecer su correlación e impacto en los hogares bogotanos y el crecimiento del impuesto predial unificado.</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Visto así, el IPC se manifiesta como la herramienta más representativa para medir el estado generalizado de la economía y su impacto sobre las familias, de manera tal que sirve de punto de referencia y comparación frente a otras vari</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bles, como fiel de la balanza que establece la bondad o perjuicio de las mismas. Por ejemplo, si el salario mínimo se sitúa por encima del IPC es algo bueno, p</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ra los hogares, y malo si sucede lo contrario.</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Es por esto que el comparar el crecimiento del avalúo catastral en Bogotá D.C., frente al IPC, se nos presenta como algo desproporcionado e ilógico, tal y como lo evidencian los siguientes cuadros:</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tbl>
      <w:tblPr>
        <w:tblW w:w="435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82"/>
        <w:gridCol w:w="2188"/>
        <w:gridCol w:w="1796"/>
        <w:gridCol w:w="1199"/>
        <w:gridCol w:w="1629"/>
      </w:tblGrid>
      <w:tr w:rsidR="004A5F31" w:rsidRPr="004A5F31" w:rsidTr="004A5F31">
        <w:trPr>
          <w:trHeight w:val="60"/>
        </w:trPr>
        <w:tc>
          <w:tcPr>
            <w:tcW w:w="1374"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Año</w:t>
            </w:r>
          </w:p>
        </w:tc>
        <w:tc>
          <w:tcPr>
            <w:tcW w:w="2029" w:type="dxa"/>
            <w:shd w:val="clear" w:color="auto" w:fill="BFBFBF"/>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
                <w:bCs/>
                <w:color w:val="auto"/>
                <w:sz w:val="20"/>
                <w:highlight w:val="lightGray"/>
                <w:shd w:val="clear" w:color="auto" w:fill="FFFFFF"/>
                <w:lang w:val="es-CO"/>
              </w:rPr>
              <w:t>Valor Catastral B</w:t>
            </w:r>
            <w:r w:rsidRPr="004A5F31">
              <w:rPr>
                <w:rFonts w:ascii="Bookman Old Style" w:hAnsi="Bookman Old Style" w:cs="Arial"/>
                <w:b/>
                <w:bCs/>
                <w:color w:val="auto"/>
                <w:sz w:val="20"/>
                <w:highlight w:val="lightGray"/>
                <w:shd w:val="clear" w:color="auto" w:fill="FFFFFF"/>
                <w:lang w:val="es-CO"/>
              </w:rPr>
              <w:t>o</w:t>
            </w:r>
            <w:r w:rsidRPr="004A5F31">
              <w:rPr>
                <w:rFonts w:ascii="Bookman Old Style" w:hAnsi="Bookman Old Style" w:cs="Arial"/>
                <w:b/>
                <w:bCs/>
                <w:color w:val="auto"/>
                <w:sz w:val="20"/>
                <w:highlight w:val="lightGray"/>
                <w:shd w:val="clear" w:color="auto" w:fill="FFFFFF"/>
                <w:lang w:val="es-CO"/>
              </w:rPr>
              <w:t>gotá</w:t>
            </w:r>
          </w:p>
        </w:tc>
        <w:tc>
          <w:tcPr>
            <w:tcW w:w="1665"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Recaudo Pr</w:t>
            </w:r>
            <w:r w:rsidRPr="004A5F31">
              <w:rPr>
                <w:rFonts w:ascii="Bookman Old Style" w:hAnsi="Bookman Old Style" w:cs="Arial"/>
                <w:b/>
                <w:bCs/>
                <w:color w:val="auto"/>
                <w:sz w:val="20"/>
                <w:shd w:val="clear" w:color="auto" w:fill="FFFFFF"/>
                <w:lang w:val="es-CO"/>
              </w:rPr>
              <w:t>e</w:t>
            </w:r>
            <w:r w:rsidRPr="004A5F31">
              <w:rPr>
                <w:rFonts w:ascii="Bookman Old Style" w:hAnsi="Bookman Old Style" w:cs="Arial"/>
                <w:b/>
                <w:bCs/>
                <w:color w:val="auto"/>
                <w:sz w:val="20"/>
                <w:shd w:val="clear" w:color="auto" w:fill="FFFFFF"/>
                <w:lang w:val="es-CO"/>
              </w:rPr>
              <w:t>dial Bogotá</w:t>
            </w:r>
          </w:p>
        </w:tc>
        <w:tc>
          <w:tcPr>
            <w:tcW w:w="1112" w:type="dxa"/>
            <w:shd w:val="clear" w:color="auto" w:fill="D9D9D9"/>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
                <w:bCs/>
                <w:color w:val="auto"/>
                <w:sz w:val="20"/>
                <w:highlight w:val="lightGray"/>
                <w:shd w:val="clear" w:color="auto" w:fill="FFFFFF"/>
                <w:lang w:val="es-CO"/>
              </w:rPr>
              <w:t>IPC</w:t>
            </w:r>
          </w:p>
        </w:tc>
        <w:tc>
          <w:tcPr>
            <w:tcW w:w="1511"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Salario</w:t>
            </w:r>
          </w:p>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Mínimo</w:t>
            </w:r>
          </w:p>
        </w:tc>
      </w:tr>
      <w:tr w:rsidR="004A5F31" w:rsidRPr="004A5F31" w:rsidTr="004A5F31">
        <w:trPr>
          <w:trHeight w:val="60"/>
        </w:trPr>
        <w:tc>
          <w:tcPr>
            <w:tcW w:w="1374"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2009</w:t>
            </w:r>
          </w:p>
        </w:tc>
        <w:tc>
          <w:tcPr>
            <w:tcW w:w="2029" w:type="dxa"/>
            <w:shd w:val="clear" w:color="auto" w:fill="D9D9D9"/>
            <w:tcMar>
              <w:top w:w="57" w:type="dxa"/>
              <w:left w:w="57" w:type="dxa"/>
              <w:bottom w:w="57" w:type="dxa"/>
              <w:right w:w="57" w:type="dxa"/>
            </w:tcMar>
          </w:tcPr>
          <w:p w:rsidR="004A5F31" w:rsidRPr="004A5F31" w:rsidRDefault="004A5F31" w:rsidP="004A5F31">
            <w:pPr>
              <w:ind w:left="170"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27,0%</w:t>
            </w:r>
          </w:p>
        </w:tc>
        <w:tc>
          <w:tcPr>
            <w:tcW w:w="1665"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-0,5%</w:t>
            </w:r>
          </w:p>
        </w:tc>
        <w:tc>
          <w:tcPr>
            <w:tcW w:w="1112" w:type="dxa"/>
            <w:shd w:val="clear" w:color="auto" w:fill="D9D9D9"/>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2,00%</w:t>
            </w:r>
          </w:p>
        </w:tc>
        <w:tc>
          <w:tcPr>
            <w:tcW w:w="1511" w:type="dxa"/>
            <w:shd w:val="clear" w:color="auto" w:fill="auto"/>
            <w:tcMar>
              <w:top w:w="57" w:type="dxa"/>
              <w:left w:w="57" w:type="dxa"/>
              <w:bottom w:w="57" w:type="dxa"/>
              <w:right w:w="57" w:type="dxa"/>
            </w:tcMar>
          </w:tcPr>
          <w:p w:rsidR="004A5F31" w:rsidRPr="004A5F31" w:rsidRDefault="004A5F31" w:rsidP="004A5F31">
            <w:pPr>
              <w:ind w:left="142" w:right="51"/>
              <w:jc w:val="center"/>
              <w:rPr>
                <w:rFonts w:ascii="Bookman Old Style" w:hAnsi="Bookman Old Style" w:cs="Arial"/>
                <w:b/>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7,48%</w:t>
            </w:r>
          </w:p>
        </w:tc>
      </w:tr>
      <w:tr w:rsidR="004A5F31" w:rsidRPr="004A5F31" w:rsidTr="004A5F31">
        <w:trPr>
          <w:trHeight w:val="60"/>
        </w:trPr>
        <w:tc>
          <w:tcPr>
            <w:tcW w:w="1374"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2010</w:t>
            </w:r>
          </w:p>
        </w:tc>
        <w:tc>
          <w:tcPr>
            <w:tcW w:w="2029" w:type="dxa"/>
            <w:shd w:val="clear" w:color="auto" w:fill="D9D9D9"/>
            <w:tcMar>
              <w:top w:w="57" w:type="dxa"/>
              <w:left w:w="57" w:type="dxa"/>
              <w:bottom w:w="57" w:type="dxa"/>
              <w:right w:w="57" w:type="dxa"/>
            </w:tcMar>
          </w:tcPr>
          <w:p w:rsidR="004A5F31" w:rsidRPr="004A5F31" w:rsidRDefault="004A5F31" w:rsidP="004A5F31">
            <w:pPr>
              <w:ind w:left="170"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27,7%</w:t>
            </w:r>
          </w:p>
        </w:tc>
        <w:tc>
          <w:tcPr>
            <w:tcW w:w="1665"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20,1%</w:t>
            </w:r>
          </w:p>
        </w:tc>
        <w:tc>
          <w:tcPr>
            <w:tcW w:w="1112" w:type="dxa"/>
            <w:shd w:val="clear" w:color="auto" w:fill="D9D9D9"/>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3,17%</w:t>
            </w:r>
          </w:p>
        </w:tc>
        <w:tc>
          <w:tcPr>
            <w:tcW w:w="1511" w:type="dxa"/>
            <w:shd w:val="clear" w:color="auto" w:fill="auto"/>
            <w:tcMar>
              <w:top w:w="57" w:type="dxa"/>
              <w:left w:w="57" w:type="dxa"/>
              <w:bottom w:w="57" w:type="dxa"/>
              <w:right w:w="57" w:type="dxa"/>
            </w:tcMar>
          </w:tcPr>
          <w:p w:rsidR="004A5F31" w:rsidRPr="004A5F31" w:rsidRDefault="004A5F31" w:rsidP="004A5F31">
            <w:pPr>
              <w:ind w:left="142" w:right="51"/>
              <w:jc w:val="center"/>
              <w:rPr>
                <w:rFonts w:ascii="Bookman Old Style" w:hAnsi="Bookman Old Style" w:cs="Arial"/>
                <w:b/>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3,83%</w:t>
            </w:r>
          </w:p>
        </w:tc>
      </w:tr>
      <w:tr w:rsidR="004A5F31" w:rsidRPr="004A5F31" w:rsidTr="004A5F31">
        <w:trPr>
          <w:trHeight w:val="60"/>
        </w:trPr>
        <w:tc>
          <w:tcPr>
            <w:tcW w:w="1374"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2011</w:t>
            </w:r>
          </w:p>
        </w:tc>
        <w:tc>
          <w:tcPr>
            <w:tcW w:w="2029" w:type="dxa"/>
            <w:shd w:val="clear" w:color="auto" w:fill="D9D9D9"/>
            <w:tcMar>
              <w:top w:w="57" w:type="dxa"/>
              <w:left w:w="57" w:type="dxa"/>
              <w:bottom w:w="57" w:type="dxa"/>
              <w:right w:w="57" w:type="dxa"/>
            </w:tcMar>
          </w:tcPr>
          <w:p w:rsidR="004A5F31" w:rsidRPr="004A5F31" w:rsidRDefault="004A5F31" w:rsidP="004A5F31">
            <w:pPr>
              <w:ind w:left="170"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21,6%</w:t>
            </w:r>
          </w:p>
        </w:tc>
        <w:tc>
          <w:tcPr>
            <w:tcW w:w="1665"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18,1%</w:t>
            </w:r>
          </w:p>
        </w:tc>
        <w:tc>
          <w:tcPr>
            <w:tcW w:w="1112" w:type="dxa"/>
            <w:shd w:val="clear" w:color="auto" w:fill="D9D9D9"/>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3,73%</w:t>
            </w:r>
          </w:p>
        </w:tc>
        <w:tc>
          <w:tcPr>
            <w:tcW w:w="1511" w:type="dxa"/>
            <w:shd w:val="clear" w:color="auto" w:fill="auto"/>
            <w:tcMar>
              <w:top w:w="57" w:type="dxa"/>
              <w:left w:w="57" w:type="dxa"/>
              <w:bottom w:w="57" w:type="dxa"/>
              <w:right w:w="57" w:type="dxa"/>
            </w:tcMar>
          </w:tcPr>
          <w:p w:rsidR="004A5F31" w:rsidRPr="004A5F31" w:rsidRDefault="004A5F31" w:rsidP="004A5F31">
            <w:pPr>
              <w:ind w:left="142" w:right="51"/>
              <w:jc w:val="center"/>
              <w:rPr>
                <w:rFonts w:ascii="Bookman Old Style" w:hAnsi="Bookman Old Style" w:cs="Arial"/>
                <w:b/>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4,00%</w:t>
            </w:r>
          </w:p>
        </w:tc>
      </w:tr>
      <w:tr w:rsidR="004A5F31" w:rsidRPr="004A5F31" w:rsidTr="004A5F31">
        <w:trPr>
          <w:trHeight w:val="60"/>
        </w:trPr>
        <w:tc>
          <w:tcPr>
            <w:tcW w:w="1374" w:type="dxa"/>
            <w:shd w:val="clear" w:color="auto" w:fill="auto"/>
            <w:tcMar>
              <w:top w:w="0" w:type="dxa"/>
              <w:left w:w="0" w:type="dxa"/>
              <w:bottom w:w="0" w:type="dxa"/>
              <w:right w:w="0"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2012</w:t>
            </w:r>
          </w:p>
        </w:tc>
        <w:tc>
          <w:tcPr>
            <w:tcW w:w="2029" w:type="dxa"/>
            <w:shd w:val="clear" w:color="auto" w:fill="D9D9D9"/>
            <w:tcMar>
              <w:top w:w="57" w:type="dxa"/>
              <w:left w:w="57" w:type="dxa"/>
              <w:bottom w:w="57" w:type="dxa"/>
              <w:right w:w="57" w:type="dxa"/>
            </w:tcMar>
          </w:tcPr>
          <w:p w:rsidR="004A5F31" w:rsidRPr="004A5F31" w:rsidRDefault="004A5F31" w:rsidP="004A5F31">
            <w:pPr>
              <w:ind w:left="170"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17,1%</w:t>
            </w:r>
          </w:p>
        </w:tc>
        <w:tc>
          <w:tcPr>
            <w:tcW w:w="1665" w:type="dxa"/>
            <w:shd w:val="clear" w:color="auto" w:fill="auto"/>
            <w:tcMar>
              <w:top w:w="0" w:type="dxa"/>
              <w:left w:w="0" w:type="dxa"/>
              <w:bottom w:w="0" w:type="dxa"/>
              <w:right w:w="0"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13,3%</w:t>
            </w:r>
          </w:p>
        </w:tc>
        <w:tc>
          <w:tcPr>
            <w:tcW w:w="1112" w:type="dxa"/>
            <w:shd w:val="clear" w:color="auto" w:fill="D9D9D9"/>
            <w:tcMar>
              <w:top w:w="0" w:type="dxa"/>
              <w:left w:w="0" w:type="dxa"/>
              <w:bottom w:w="0" w:type="dxa"/>
              <w:right w:w="0" w:type="dxa"/>
            </w:tcMar>
          </w:tcPr>
          <w:p w:rsidR="004A5F31" w:rsidRPr="004A5F31" w:rsidRDefault="004A5F31" w:rsidP="004A5F31">
            <w:pPr>
              <w:ind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2,44%</w:t>
            </w:r>
          </w:p>
        </w:tc>
        <w:tc>
          <w:tcPr>
            <w:tcW w:w="1511" w:type="dxa"/>
            <w:shd w:val="clear" w:color="auto" w:fill="auto"/>
            <w:tcMar>
              <w:top w:w="0" w:type="dxa"/>
              <w:left w:w="0" w:type="dxa"/>
              <w:bottom w:w="0" w:type="dxa"/>
              <w:right w:w="0" w:type="dxa"/>
            </w:tcMar>
          </w:tcPr>
          <w:p w:rsidR="004A5F31" w:rsidRPr="004A5F31" w:rsidRDefault="004A5F31" w:rsidP="004A5F31">
            <w:pPr>
              <w:ind w:left="142" w:right="51"/>
              <w:jc w:val="center"/>
              <w:rPr>
                <w:rFonts w:ascii="Bookman Old Style" w:hAnsi="Bookman Old Style" w:cs="Arial"/>
                <w:b/>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5,81%</w:t>
            </w:r>
          </w:p>
        </w:tc>
      </w:tr>
      <w:tr w:rsidR="004A5F31" w:rsidRPr="004A5F31" w:rsidTr="004A5F31">
        <w:trPr>
          <w:trHeight w:val="60"/>
        </w:trPr>
        <w:tc>
          <w:tcPr>
            <w:tcW w:w="1374"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2013</w:t>
            </w:r>
          </w:p>
        </w:tc>
        <w:tc>
          <w:tcPr>
            <w:tcW w:w="2029" w:type="dxa"/>
            <w:shd w:val="clear" w:color="auto" w:fill="D9D9D9"/>
            <w:tcMar>
              <w:top w:w="57" w:type="dxa"/>
              <w:left w:w="57" w:type="dxa"/>
              <w:bottom w:w="57" w:type="dxa"/>
              <w:right w:w="57" w:type="dxa"/>
            </w:tcMar>
          </w:tcPr>
          <w:p w:rsidR="004A5F31" w:rsidRPr="004A5F31" w:rsidRDefault="004A5F31" w:rsidP="004A5F31">
            <w:pPr>
              <w:ind w:left="170"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19,1%</w:t>
            </w:r>
          </w:p>
        </w:tc>
        <w:tc>
          <w:tcPr>
            <w:tcW w:w="1665"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18,2%</w:t>
            </w:r>
          </w:p>
        </w:tc>
        <w:tc>
          <w:tcPr>
            <w:tcW w:w="1112" w:type="dxa"/>
            <w:shd w:val="clear" w:color="auto" w:fill="D9D9D9"/>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1,94%</w:t>
            </w:r>
          </w:p>
        </w:tc>
        <w:tc>
          <w:tcPr>
            <w:tcW w:w="1511" w:type="dxa"/>
            <w:shd w:val="clear" w:color="auto" w:fill="auto"/>
            <w:tcMar>
              <w:top w:w="57" w:type="dxa"/>
              <w:left w:w="57" w:type="dxa"/>
              <w:bottom w:w="57" w:type="dxa"/>
              <w:right w:w="57" w:type="dxa"/>
            </w:tcMar>
          </w:tcPr>
          <w:p w:rsidR="004A5F31" w:rsidRPr="004A5F31" w:rsidRDefault="004A5F31" w:rsidP="004A5F31">
            <w:pPr>
              <w:ind w:left="142" w:right="51"/>
              <w:jc w:val="center"/>
              <w:rPr>
                <w:rFonts w:ascii="Bookman Old Style" w:hAnsi="Bookman Old Style" w:cs="Arial"/>
                <w:b/>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4,02%</w:t>
            </w:r>
          </w:p>
        </w:tc>
      </w:tr>
      <w:tr w:rsidR="004A5F31" w:rsidRPr="004A5F31" w:rsidTr="004A5F31">
        <w:trPr>
          <w:trHeight w:val="60"/>
        </w:trPr>
        <w:tc>
          <w:tcPr>
            <w:tcW w:w="1374"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2014</w:t>
            </w:r>
          </w:p>
        </w:tc>
        <w:tc>
          <w:tcPr>
            <w:tcW w:w="2029" w:type="dxa"/>
            <w:shd w:val="clear" w:color="auto" w:fill="D9D9D9"/>
            <w:tcMar>
              <w:top w:w="57" w:type="dxa"/>
              <w:left w:w="57" w:type="dxa"/>
              <w:bottom w:w="57" w:type="dxa"/>
              <w:right w:w="57" w:type="dxa"/>
            </w:tcMar>
          </w:tcPr>
          <w:p w:rsidR="004A5F31" w:rsidRPr="004A5F31" w:rsidRDefault="004A5F31" w:rsidP="004A5F31">
            <w:pPr>
              <w:ind w:left="170"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16,3%</w:t>
            </w:r>
          </w:p>
        </w:tc>
        <w:tc>
          <w:tcPr>
            <w:tcW w:w="1665"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20,4%</w:t>
            </w:r>
          </w:p>
        </w:tc>
        <w:tc>
          <w:tcPr>
            <w:tcW w:w="1112" w:type="dxa"/>
            <w:shd w:val="clear" w:color="auto" w:fill="D9D9D9"/>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3,66%</w:t>
            </w:r>
          </w:p>
        </w:tc>
        <w:tc>
          <w:tcPr>
            <w:tcW w:w="1511" w:type="dxa"/>
            <w:shd w:val="clear" w:color="auto" w:fill="auto"/>
            <w:tcMar>
              <w:top w:w="57" w:type="dxa"/>
              <w:left w:w="57" w:type="dxa"/>
              <w:bottom w:w="57" w:type="dxa"/>
              <w:right w:w="57" w:type="dxa"/>
            </w:tcMar>
          </w:tcPr>
          <w:p w:rsidR="004A5F31" w:rsidRPr="004A5F31" w:rsidRDefault="004A5F31" w:rsidP="004A5F31">
            <w:pPr>
              <w:ind w:left="142" w:right="51"/>
              <w:jc w:val="center"/>
              <w:rPr>
                <w:rFonts w:ascii="Bookman Old Style" w:hAnsi="Bookman Old Style" w:cs="Arial"/>
                <w:b/>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4,50%</w:t>
            </w:r>
          </w:p>
        </w:tc>
      </w:tr>
      <w:tr w:rsidR="004A5F31" w:rsidRPr="004A5F31" w:rsidTr="004A5F31">
        <w:trPr>
          <w:trHeight w:val="60"/>
        </w:trPr>
        <w:tc>
          <w:tcPr>
            <w:tcW w:w="1374"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2015</w:t>
            </w:r>
          </w:p>
        </w:tc>
        <w:tc>
          <w:tcPr>
            <w:tcW w:w="2029" w:type="dxa"/>
            <w:shd w:val="clear" w:color="auto" w:fill="D9D9D9"/>
            <w:tcMar>
              <w:top w:w="57" w:type="dxa"/>
              <w:left w:w="57" w:type="dxa"/>
              <w:bottom w:w="57" w:type="dxa"/>
              <w:right w:w="57" w:type="dxa"/>
            </w:tcMar>
          </w:tcPr>
          <w:p w:rsidR="004A5F31" w:rsidRPr="004A5F31" w:rsidRDefault="004A5F31" w:rsidP="004A5F31">
            <w:pPr>
              <w:ind w:left="170"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15,2%</w:t>
            </w:r>
          </w:p>
        </w:tc>
        <w:tc>
          <w:tcPr>
            <w:tcW w:w="1665"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21,0%</w:t>
            </w:r>
          </w:p>
        </w:tc>
        <w:tc>
          <w:tcPr>
            <w:tcW w:w="1112" w:type="dxa"/>
            <w:shd w:val="clear" w:color="auto" w:fill="D9D9D9"/>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3,00%</w:t>
            </w:r>
          </w:p>
        </w:tc>
        <w:tc>
          <w:tcPr>
            <w:tcW w:w="1511" w:type="dxa"/>
            <w:shd w:val="clear" w:color="auto" w:fill="auto"/>
            <w:tcMar>
              <w:top w:w="57" w:type="dxa"/>
              <w:left w:w="57" w:type="dxa"/>
              <w:bottom w:w="57" w:type="dxa"/>
              <w:right w:w="57" w:type="dxa"/>
            </w:tcMar>
          </w:tcPr>
          <w:p w:rsidR="004A5F31" w:rsidRPr="004A5F31" w:rsidRDefault="004A5F31" w:rsidP="004A5F31">
            <w:pPr>
              <w:ind w:left="142" w:right="51"/>
              <w:jc w:val="center"/>
              <w:rPr>
                <w:rFonts w:ascii="Bookman Old Style" w:hAnsi="Bookman Old Style" w:cs="Arial"/>
                <w:b/>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4,60%</w:t>
            </w:r>
          </w:p>
        </w:tc>
      </w:tr>
      <w:tr w:rsidR="004A5F31" w:rsidRPr="004A5F31" w:rsidTr="004A5F31">
        <w:trPr>
          <w:trHeight w:val="60"/>
        </w:trPr>
        <w:tc>
          <w:tcPr>
            <w:tcW w:w="1374"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Promedio</w:t>
            </w:r>
          </w:p>
        </w:tc>
        <w:tc>
          <w:tcPr>
            <w:tcW w:w="2029" w:type="dxa"/>
            <w:shd w:val="clear" w:color="auto" w:fill="D9D9D9"/>
            <w:tcMar>
              <w:top w:w="57" w:type="dxa"/>
              <w:left w:w="57" w:type="dxa"/>
              <w:bottom w:w="57" w:type="dxa"/>
              <w:right w:w="57" w:type="dxa"/>
            </w:tcMar>
          </w:tcPr>
          <w:p w:rsidR="004A5F31" w:rsidRPr="004A5F31" w:rsidRDefault="004A5F31" w:rsidP="004A5F31">
            <w:pPr>
              <w:ind w:left="170"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20,6%</w:t>
            </w:r>
          </w:p>
        </w:tc>
        <w:tc>
          <w:tcPr>
            <w:tcW w:w="1665" w:type="dxa"/>
            <w:shd w:val="clear" w:color="auto" w:fill="auto"/>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15,8%</w:t>
            </w:r>
          </w:p>
        </w:tc>
        <w:tc>
          <w:tcPr>
            <w:tcW w:w="1112" w:type="dxa"/>
            <w:shd w:val="clear" w:color="auto" w:fill="D9D9D9"/>
            <w:tcMar>
              <w:top w:w="57" w:type="dxa"/>
              <w:left w:w="57" w:type="dxa"/>
              <w:bottom w:w="57" w:type="dxa"/>
              <w:right w:w="57" w:type="dxa"/>
            </w:tcMar>
          </w:tcPr>
          <w:p w:rsidR="004A5F31" w:rsidRPr="004A5F31" w:rsidRDefault="004A5F31" w:rsidP="004A5F31">
            <w:pPr>
              <w:ind w:right="51"/>
              <w:jc w:val="center"/>
              <w:rPr>
                <w:rFonts w:ascii="Bookman Old Style" w:hAnsi="Bookman Old Style" w:cs="Arial"/>
                <w:b/>
                <w:bCs/>
                <w:color w:val="auto"/>
                <w:sz w:val="20"/>
                <w:highlight w:val="lightGray"/>
                <w:shd w:val="clear" w:color="auto" w:fill="FFFFFF"/>
                <w:lang w:val="es-CO"/>
              </w:rPr>
            </w:pPr>
            <w:r w:rsidRPr="004A5F31">
              <w:rPr>
                <w:rFonts w:ascii="Bookman Old Style" w:hAnsi="Bookman Old Style" w:cs="Arial"/>
                <w:b/>
                <w:bCs/>
                <w:color w:val="auto"/>
                <w:sz w:val="20"/>
                <w:highlight w:val="lightGray"/>
                <w:shd w:val="clear" w:color="auto" w:fill="FFFFFF"/>
                <w:lang w:val="es-CO"/>
              </w:rPr>
              <w:t>2,8%</w:t>
            </w:r>
          </w:p>
        </w:tc>
        <w:tc>
          <w:tcPr>
            <w:tcW w:w="1511" w:type="dxa"/>
            <w:shd w:val="clear" w:color="auto" w:fill="auto"/>
            <w:tcMar>
              <w:top w:w="57" w:type="dxa"/>
              <w:left w:w="57" w:type="dxa"/>
              <w:bottom w:w="57" w:type="dxa"/>
              <w:right w:w="57" w:type="dxa"/>
            </w:tcMar>
          </w:tcPr>
          <w:p w:rsidR="004A5F31" w:rsidRPr="004A5F31" w:rsidRDefault="004A5F31" w:rsidP="004A5F31">
            <w:pPr>
              <w:ind w:left="142" w:right="51"/>
              <w:jc w:val="center"/>
              <w:rPr>
                <w:rFonts w:ascii="Bookman Old Style" w:hAnsi="Bookman Old Style" w:cs="Arial"/>
                <w:bCs/>
                <w:color w:val="auto"/>
                <w:sz w:val="20"/>
                <w:shd w:val="clear" w:color="auto" w:fill="FFFFFF"/>
                <w:lang w:val="es-CO"/>
              </w:rPr>
            </w:pPr>
            <w:r w:rsidRPr="004A5F31">
              <w:rPr>
                <w:rFonts w:ascii="Bookman Old Style" w:hAnsi="Bookman Old Style" w:cs="Arial"/>
                <w:b/>
                <w:bCs/>
                <w:color w:val="auto"/>
                <w:sz w:val="20"/>
                <w:shd w:val="clear" w:color="auto" w:fill="FFFFFF"/>
                <w:lang w:val="es-CO"/>
              </w:rPr>
              <w:t>4,9%</w:t>
            </w:r>
          </w:p>
        </w:tc>
      </w:tr>
    </w:tbl>
    <w:p w:rsidR="004A5F31" w:rsidRPr="004A5F31" w:rsidRDefault="004A5F31" w:rsidP="004A5F31">
      <w:pPr>
        <w:ind w:left="708" w:right="51"/>
        <w:jc w:val="both"/>
        <w:rPr>
          <w:rFonts w:ascii="Bookman Old Style" w:hAnsi="Bookman Old Style" w:cs="Arial"/>
          <w:bCs/>
          <w:color w:val="auto"/>
          <w:sz w:val="20"/>
          <w:shd w:val="clear" w:color="auto" w:fill="FFFFFF"/>
          <w:lang w:val="es-CO"/>
        </w:rPr>
      </w:pPr>
      <w:r w:rsidRPr="004A5F31">
        <w:rPr>
          <w:rFonts w:ascii="Bookman Old Style" w:hAnsi="Bookman Old Style" w:cs="Arial"/>
          <w:bCs/>
          <w:color w:val="auto"/>
          <w:sz w:val="20"/>
          <w:shd w:val="clear" w:color="auto" w:fill="FFFFFF"/>
          <w:lang w:val="es-CO"/>
        </w:rPr>
        <w:t> </w:t>
      </w:r>
    </w:p>
    <w:p w:rsidR="004A5F31" w:rsidRPr="004A5F31" w:rsidRDefault="004A5F31" w:rsidP="004A5F31">
      <w:pPr>
        <w:spacing w:line="259" w:lineRule="auto"/>
        <w:jc w:val="both"/>
        <w:rPr>
          <w:rFonts w:ascii="Calibri" w:eastAsia="Calibri" w:hAnsi="Calibri"/>
          <w:color w:val="auto"/>
          <w:sz w:val="22"/>
          <w:szCs w:val="22"/>
          <w:lang w:val="es-CO" w:eastAsia="en-US"/>
        </w:rPr>
      </w:pPr>
    </w:p>
    <w:tbl>
      <w:tblPr>
        <w:tblW w:w="7970" w:type="dxa"/>
        <w:jc w:val="center"/>
        <w:tblCellMar>
          <w:left w:w="10" w:type="dxa"/>
          <w:right w:w="10" w:type="dxa"/>
        </w:tblCellMar>
        <w:tblLook w:val="0000" w:firstRow="0" w:lastRow="0" w:firstColumn="0" w:lastColumn="0" w:noHBand="0" w:noVBand="0"/>
      </w:tblPr>
      <w:tblGrid>
        <w:gridCol w:w="787"/>
        <w:gridCol w:w="2222"/>
        <w:gridCol w:w="1376"/>
        <w:gridCol w:w="1417"/>
        <w:gridCol w:w="2168"/>
      </w:tblGrid>
      <w:tr w:rsidR="004A5F31" w:rsidRPr="004A5F31" w:rsidTr="004A5F31">
        <w:trPr>
          <w:trHeight w:val="826"/>
          <w:jc w:val="center"/>
        </w:trPr>
        <w:tc>
          <w:tcPr>
            <w:tcW w:w="787" w:type="dxa"/>
            <w:tcBorders>
              <w:top w:val="single" w:sz="8" w:space="0" w:color="000000"/>
              <w:left w:val="single" w:sz="8" w:space="0" w:color="000000"/>
              <w:bottom w:val="single" w:sz="8" w:space="0" w:color="000000"/>
              <w:right w:val="single" w:sz="4" w:space="0" w:color="000000"/>
            </w:tcBorders>
            <w:shd w:val="clear" w:color="auto" w:fill="FFFFFF"/>
            <w:noWrap/>
            <w:tcMar>
              <w:top w:w="0" w:type="dxa"/>
              <w:left w:w="70" w:type="dxa"/>
              <w:bottom w:w="0" w:type="dxa"/>
              <w:right w:w="70" w:type="dxa"/>
            </w:tcMar>
            <w:vAlign w:val="center"/>
          </w:tcPr>
          <w:p w:rsidR="004A5F31" w:rsidRPr="004A5F31" w:rsidRDefault="004A5F31" w:rsidP="004A5F31">
            <w:pPr>
              <w:spacing w:line="259" w:lineRule="auto"/>
              <w:jc w:val="center"/>
              <w:rPr>
                <w:rFonts w:ascii="Calibri" w:eastAsia="Calibri" w:hAnsi="Calibri"/>
                <w:b/>
                <w:bCs/>
                <w:color w:val="auto"/>
                <w:sz w:val="22"/>
                <w:szCs w:val="22"/>
                <w:lang w:val="es-CO" w:eastAsia="en-US"/>
              </w:rPr>
            </w:pPr>
            <w:r w:rsidRPr="004A5F31">
              <w:rPr>
                <w:rFonts w:ascii="Calibri" w:eastAsia="Calibri" w:hAnsi="Calibri"/>
                <w:b/>
                <w:bCs/>
                <w:color w:val="auto"/>
                <w:sz w:val="22"/>
                <w:szCs w:val="22"/>
                <w:lang w:val="es-CO" w:eastAsia="en-US"/>
              </w:rPr>
              <w:t>Año</w:t>
            </w:r>
          </w:p>
        </w:tc>
        <w:tc>
          <w:tcPr>
            <w:tcW w:w="2222" w:type="dxa"/>
            <w:tcBorders>
              <w:top w:val="single" w:sz="8" w:space="0" w:color="000000"/>
              <w:bottom w:val="single" w:sz="8" w:space="0" w:color="000000"/>
              <w:right w:val="single" w:sz="4" w:space="0" w:color="000000"/>
            </w:tcBorders>
            <w:shd w:val="clear" w:color="auto" w:fill="FFFFFF"/>
            <w:tcMar>
              <w:top w:w="0" w:type="dxa"/>
              <w:left w:w="70" w:type="dxa"/>
              <w:bottom w:w="0" w:type="dxa"/>
              <w:right w:w="70" w:type="dxa"/>
            </w:tcMar>
            <w:vAlign w:val="center"/>
          </w:tcPr>
          <w:p w:rsidR="004A5F31" w:rsidRPr="004A5F31" w:rsidRDefault="004A5F31" w:rsidP="004A5F31">
            <w:pPr>
              <w:spacing w:line="259" w:lineRule="auto"/>
              <w:jc w:val="center"/>
              <w:rPr>
                <w:rFonts w:ascii="Calibri" w:eastAsia="Calibri" w:hAnsi="Calibri"/>
                <w:b/>
                <w:bCs/>
                <w:color w:val="auto"/>
                <w:sz w:val="22"/>
                <w:szCs w:val="22"/>
                <w:lang w:val="es-CO" w:eastAsia="en-US"/>
              </w:rPr>
            </w:pPr>
            <w:r w:rsidRPr="004A5F31">
              <w:rPr>
                <w:rFonts w:ascii="Calibri" w:eastAsia="Calibri" w:hAnsi="Calibri"/>
                <w:b/>
                <w:bCs/>
                <w:color w:val="auto"/>
                <w:sz w:val="22"/>
                <w:szCs w:val="22"/>
                <w:lang w:val="es-CO" w:eastAsia="en-US"/>
              </w:rPr>
              <w:t>Valor Avaluó Catastral</w:t>
            </w:r>
          </w:p>
        </w:tc>
        <w:tc>
          <w:tcPr>
            <w:tcW w:w="1376" w:type="dxa"/>
            <w:tcBorders>
              <w:top w:val="single" w:sz="8" w:space="0" w:color="000000"/>
              <w:bottom w:val="single" w:sz="8" w:space="0" w:color="000000"/>
              <w:right w:val="single" w:sz="4" w:space="0" w:color="000000"/>
            </w:tcBorders>
            <w:shd w:val="clear" w:color="auto" w:fill="FFFFFF"/>
            <w:tcMar>
              <w:top w:w="0" w:type="dxa"/>
              <w:left w:w="70" w:type="dxa"/>
              <w:bottom w:w="0" w:type="dxa"/>
              <w:right w:w="70" w:type="dxa"/>
            </w:tcMar>
            <w:vAlign w:val="center"/>
          </w:tcPr>
          <w:p w:rsidR="004A5F31" w:rsidRPr="004A5F31" w:rsidRDefault="004A5F31" w:rsidP="004A5F31">
            <w:pPr>
              <w:spacing w:line="259" w:lineRule="auto"/>
              <w:jc w:val="center"/>
              <w:rPr>
                <w:rFonts w:ascii="Calibri" w:eastAsia="Calibri" w:hAnsi="Calibri"/>
                <w:b/>
                <w:bCs/>
                <w:color w:val="auto"/>
                <w:sz w:val="22"/>
                <w:szCs w:val="22"/>
                <w:lang w:val="es-CO" w:eastAsia="en-US"/>
              </w:rPr>
            </w:pPr>
            <w:r w:rsidRPr="004A5F31">
              <w:rPr>
                <w:rFonts w:ascii="Calibri" w:eastAsia="Calibri" w:hAnsi="Calibri"/>
                <w:b/>
                <w:bCs/>
                <w:color w:val="auto"/>
                <w:sz w:val="22"/>
                <w:szCs w:val="22"/>
                <w:lang w:val="es-CO" w:eastAsia="en-US"/>
              </w:rPr>
              <w:t>Variación V</w:t>
            </w:r>
            <w:r w:rsidRPr="004A5F31">
              <w:rPr>
                <w:rFonts w:ascii="Calibri" w:eastAsia="Calibri" w:hAnsi="Calibri"/>
                <w:b/>
                <w:bCs/>
                <w:color w:val="auto"/>
                <w:sz w:val="22"/>
                <w:szCs w:val="22"/>
                <w:lang w:val="es-CO" w:eastAsia="en-US"/>
              </w:rPr>
              <w:t>a</w:t>
            </w:r>
            <w:r w:rsidRPr="004A5F31">
              <w:rPr>
                <w:rFonts w:ascii="Calibri" w:eastAsia="Calibri" w:hAnsi="Calibri"/>
                <w:b/>
                <w:bCs/>
                <w:color w:val="auto"/>
                <w:sz w:val="22"/>
                <w:szCs w:val="22"/>
                <w:lang w:val="es-CO" w:eastAsia="en-US"/>
              </w:rPr>
              <w:t>lor Avaluó Catastral</w:t>
            </w:r>
          </w:p>
        </w:tc>
        <w:tc>
          <w:tcPr>
            <w:tcW w:w="1417" w:type="dxa"/>
            <w:tcBorders>
              <w:top w:val="single" w:sz="8" w:space="0" w:color="000000"/>
              <w:bottom w:val="single" w:sz="8" w:space="0" w:color="000000"/>
              <w:right w:val="single" w:sz="4" w:space="0" w:color="000000"/>
            </w:tcBorders>
            <w:shd w:val="clear" w:color="auto" w:fill="FFFFFF"/>
            <w:tcMar>
              <w:top w:w="0" w:type="dxa"/>
              <w:left w:w="70" w:type="dxa"/>
              <w:bottom w:w="0" w:type="dxa"/>
              <w:right w:w="70" w:type="dxa"/>
            </w:tcMar>
            <w:vAlign w:val="center"/>
          </w:tcPr>
          <w:p w:rsidR="004A5F31" w:rsidRPr="004A5F31" w:rsidRDefault="004A5F31" w:rsidP="004A5F31">
            <w:pPr>
              <w:spacing w:line="259" w:lineRule="auto"/>
              <w:jc w:val="center"/>
              <w:rPr>
                <w:rFonts w:ascii="Calibri" w:eastAsia="Calibri" w:hAnsi="Calibri"/>
                <w:b/>
                <w:bCs/>
                <w:color w:val="auto"/>
                <w:sz w:val="22"/>
                <w:szCs w:val="22"/>
                <w:lang w:val="es-CO" w:eastAsia="en-US"/>
              </w:rPr>
            </w:pPr>
            <w:r w:rsidRPr="004A5F31">
              <w:rPr>
                <w:rFonts w:ascii="Calibri" w:eastAsia="Calibri" w:hAnsi="Calibri"/>
                <w:b/>
                <w:bCs/>
                <w:color w:val="auto"/>
                <w:sz w:val="22"/>
                <w:szCs w:val="22"/>
                <w:lang w:val="es-CO" w:eastAsia="en-US"/>
              </w:rPr>
              <w:t>IPC Bogotá</w:t>
            </w:r>
          </w:p>
        </w:tc>
        <w:tc>
          <w:tcPr>
            <w:tcW w:w="2168" w:type="dxa"/>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4A5F31" w:rsidRPr="004A5F31" w:rsidRDefault="004A5F31" w:rsidP="004A5F31">
            <w:pPr>
              <w:spacing w:line="259" w:lineRule="auto"/>
              <w:jc w:val="center"/>
              <w:rPr>
                <w:rFonts w:ascii="Calibri" w:eastAsia="Calibri" w:hAnsi="Calibri"/>
                <w:b/>
                <w:bCs/>
                <w:color w:val="auto"/>
                <w:sz w:val="22"/>
                <w:szCs w:val="22"/>
                <w:lang w:val="es-CO" w:eastAsia="en-US"/>
              </w:rPr>
            </w:pPr>
            <w:r w:rsidRPr="004A5F31">
              <w:rPr>
                <w:rFonts w:ascii="Calibri" w:eastAsia="Calibri" w:hAnsi="Calibri"/>
                <w:b/>
                <w:bCs/>
                <w:color w:val="auto"/>
                <w:sz w:val="22"/>
                <w:szCs w:val="22"/>
                <w:lang w:val="es-CO" w:eastAsia="en-US"/>
              </w:rPr>
              <w:t>% Adicional Cobrado sobre el IPC</w:t>
            </w:r>
          </w:p>
        </w:tc>
      </w:tr>
      <w:tr w:rsidR="004A5F31" w:rsidRPr="004A5F31" w:rsidTr="004A5F31">
        <w:trPr>
          <w:trHeight w:val="300"/>
          <w:jc w:val="center"/>
        </w:trPr>
        <w:tc>
          <w:tcPr>
            <w:tcW w:w="78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2010</w:t>
            </w:r>
          </w:p>
        </w:tc>
        <w:tc>
          <w:tcPr>
            <w:tcW w:w="2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  196.614.218</w:t>
            </w: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27,69%</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3,25%</w:t>
            </w:r>
          </w:p>
        </w:tc>
        <w:tc>
          <w:tcPr>
            <w:tcW w:w="2168" w:type="dxa"/>
            <w:tcBorders>
              <w:bottom w:val="single" w:sz="4" w:space="0" w:color="000000"/>
              <w:right w:val="single" w:sz="8" w:space="0" w:color="000000"/>
            </w:tcBorders>
            <w:shd w:val="clear" w:color="auto" w:fill="D9D9D9"/>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
                <w:bCs/>
                <w:color w:val="auto"/>
                <w:sz w:val="22"/>
                <w:szCs w:val="22"/>
                <w:lang w:val="es-CO" w:eastAsia="en-US"/>
              </w:rPr>
            </w:pPr>
            <w:r w:rsidRPr="004A5F31">
              <w:rPr>
                <w:rFonts w:ascii="Calibri" w:eastAsia="Calibri" w:hAnsi="Calibri"/>
                <w:b/>
                <w:bCs/>
                <w:color w:val="auto"/>
                <w:sz w:val="22"/>
                <w:szCs w:val="22"/>
                <w:lang w:val="es-CO" w:eastAsia="en-US"/>
              </w:rPr>
              <w:t>24%</w:t>
            </w:r>
          </w:p>
        </w:tc>
      </w:tr>
      <w:tr w:rsidR="004A5F31" w:rsidRPr="004A5F31" w:rsidTr="004A5F31">
        <w:trPr>
          <w:trHeight w:val="300"/>
          <w:jc w:val="center"/>
        </w:trPr>
        <w:tc>
          <w:tcPr>
            <w:tcW w:w="78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2011</w:t>
            </w:r>
          </w:p>
        </w:tc>
        <w:tc>
          <w:tcPr>
            <w:tcW w:w="2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  239.175.187</w:t>
            </w: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21,65%</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3,21%</w:t>
            </w:r>
          </w:p>
        </w:tc>
        <w:tc>
          <w:tcPr>
            <w:tcW w:w="2168" w:type="dxa"/>
            <w:tcBorders>
              <w:bottom w:val="single" w:sz="4" w:space="0" w:color="000000"/>
              <w:right w:val="single" w:sz="8" w:space="0" w:color="000000"/>
            </w:tcBorders>
            <w:shd w:val="clear" w:color="auto" w:fill="D9D9D9"/>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
                <w:bCs/>
                <w:color w:val="auto"/>
                <w:sz w:val="22"/>
                <w:szCs w:val="22"/>
                <w:lang w:val="es-CO" w:eastAsia="en-US"/>
              </w:rPr>
            </w:pPr>
            <w:r w:rsidRPr="004A5F31">
              <w:rPr>
                <w:rFonts w:ascii="Calibri" w:eastAsia="Calibri" w:hAnsi="Calibri"/>
                <w:b/>
                <w:bCs/>
                <w:color w:val="auto"/>
                <w:sz w:val="22"/>
                <w:szCs w:val="22"/>
                <w:lang w:val="es-CO" w:eastAsia="en-US"/>
              </w:rPr>
              <w:t>18%</w:t>
            </w:r>
          </w:p>
        </w:tc>
      </w:tr>
      <w:tr w:rsidR="004A5F31" w:rsidRPr="004A5F31" w:rsidTr="004A5F31">
        <w:trPr>
          <w:trHeight w:val="300"/>
          <w:jc w:val="center"/>
        </w:trPr>
        <w:tc>
          <w:tcPr>
            <w:tcW w:w="78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2012</w:t>
            </w:r>
          </w:p>
        </w:tc>
        <w:tc>
          <w:tcPr>
            <w:tcW w:w="2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  280.079.627</w:t>
            </w: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17,10%</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2,43%</w:t>
            </w:r>
          </w:p>
        </w:tc>
        <w:tc>
          <w:tcPr>
            <w:tcW w:w="2168" w:type="dxa"/>
            <w:tcBorders>
              <w:bottom w:val="single" w:sz="4" w:space="0" w:color="000000"/>
              <w:right w:val="single" w:sz="8" w:space="0" w:color="000000"/>
            </w:tcBorders>
            <w:shd w:val="clear" w:color="auto" w:fill="D9D9D9"/>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
                <w:bCs/>
                <w:color w:val="auto"/>
                <w:sz w:val="22"/>
                <w:szCs w:val="22"/>
                <w:lang w:val="es-CO" w:eastAsia="en-US"/>
              </w:rPr>
            </w:pPr>
            <w:r w:rsidRPr="004A5F31">
              <w:rPr>
                <w:rFonts w:ascii="Calibri" w:eastAsia="Calibri" w:hAnsi="Calibri"/>
                <w:b/>
                <w:bCs/>
                <w:color w:val="auto"/>
                <w:sz w:val="22"/>
                <w:szCs w:val="22"/>
                <w:lang w:val="es-CO" w:eastAsia="en-US"/>
              </w:rPr>
              <w:t>14%</w:t>
            </w:r>
          </w:p>
        </w:tc>
      </w:tr>
      <w:tr w:rsidR="004A5F31" w:rsidRPr="004A5F31" w:rsidTr="004A5F31">
        <w:trPr>
          <w:trHeight w:val="300"/>
          <w:jc w:val="center"/>
        </w:trPr>
        <w:tc>
          <w:tcPr>
            <w:tcW w:w="78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2013</w:t>
            </w:r>
          </w:p>
        </w:tc>
        <w:tc>
          <w:tcPr>
            <w:tcW w:w="2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  333.689.470</w:t>
            </w: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19,14%</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2,43%</w:t>
            </w:r>
          </w:p>
        </w:tc>
        <w:tc>
          <w:tcPr>
            <w:tcW w:w="2168" w:type="dxa"/>
            <w:tcBorders>
              <w:bottom w:val="single" w:sz="4" w:space="0" w:color="000000"/>
              <w:right w:val="single" w:sz="8" w:space="0" w:color="000000"/>
            </w:tcBorders>
            <w:shd w:val="clear" w:color="auto" w:fill="D9D9D9"/>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
                <w:bCs/>
                <w:color w:val="auto"/>
                <w:sz w:val="22"/>
                <w:szCs w:val="22"/>
                <w:lang w:val="es-CO" w:eastAsia="en-US"/>
              </w:rPr>
            </w:pPr>
            <w:r w:rsidRPr="004A5F31">
              <w:rPr>
                <w:rFonts w:ascii="Calibri" w:eastAsia="Calibri" w:hAnsi="Calibri"/>
                <w:b/>
                <w:bCs/>
                <w:color w:val="auto"/>
                <w:sz w:val="22"/>
                <w:szCs w:val="22"/>
                <w:lang w:val="es-CO" w:eastAsia="en-US"/>
              </w:rPr>
              <w:t>16%</w:t>
            </w:r>
          </w:p>
        </w:tc>
      </w:tr>
      <w:tr w:rsidR="004A5F31" w:rsidRPr="004A5F31" w:rsidTr="004A5F31">
        <w:trPr>
          <w:trHeight w:val="300"/>
          <w:jc w:val="center"/>
        </w:trPr>
        <w:tc>
          <w:tcPr>
            <w:tcW w:w="78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2014</w:t>
            </w:r>
          </w:p>
        </w:tc>
        <w:tc>
          <w:tcPr>
            <w:tcW w:w="2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  387.932.398</w:t>
            </w: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16,26%</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3,77%</w:t>
            </w:r>
          </w:p>
        </w:tc>
        <w:tc>
          <w:tcPr>
            <w:tcW w:w="2168" w:type="dxa"/>
            <w:tcBorders>
              <w:bottom w:val="single" w:sz="4" w:space="0" w:color="000000"/>
              <w:right w:val="single" w:sz="8" w:space="0" w:color="000000"/>
            </w:tcBorders>
            <w:shd w:val="clear" w:color="auto" w:fill="D9D9D9"/>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
                <w:bCs/>
                <w:color w:val="auto"/>
                <w:sz w:val="22"/>
                <w:szCs w:val="22"/>
                <w:lang w:val="es-CO" w:eastAsia="en-US"/>
              </w:rPr>
            </w:pPr>
            <w:r w:rsidRPr="004A5F31">
              <w:rPr>
                <w:rFonts w:ascii="Calibri" w:eastAsia="Calibri" w:hAnsi="Calibri"/>
                <w:b/>
                <w:bCs/>
                <w:color w:val="auto"/>
                <w:sz w:val="22"/>
                <w:szCs w:val="22"/>
                <w:lang w:val="es-CO" w:eastAsia="en-US"/>
              </w:rPr>
              <w:t>12%</w:t>
            </w:r>
          </w:p>
        </w:tc>
      </w:tr>
      <w:tr w:rsidR="004A5F31" w:rsidRPr="004A5F31" w:rsidTr="004A5F31">
        <w:trPr>
          <w:trHeight w:val="315"/>
          <w:jc w:val="center"/>
        </w:trPr>
        <w:tc>
          <w:tcPr>
            <w:tcW w:w="787"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2015</w:t>
            </w:r>
          </w:p>
        </w:tc>
        <w:tc>
          <w:tcPr>
            <w:tcW w:w="2222"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  446.907.541</w:t>
            </w:r>
          </w:p>
        </w:tc>
        <w:tc>
          <w:tcPr>
            <w:tcW w:w="1376"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15,20%</w:t>
            </w:r>
          </w:p>
        </w:tc>
        <w:tc>
          <w:tcPr>
            <w:tcW w:w="1417"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Cs/>
                <w:color w:val="auto"/>
                <w:sz w:val="22"/>
                <w:szCs w:val="22"/>
                <w:lang w:val="es-CO" w:eastAsia="en-US"/>
              </w:rPr>
            </w:pPr>
            <w:r w:rsidRPr="004A5F31">
              <w:rPr>
                <w:rFonts w:ascii="Calibri" w:eastAsia="Calibri" w:hAnsi="Calibri"/>
                <w:bCs/>
                <w:color w:val="auto"/>
                <w:sz w:val="22"/>
                <w:szCs w:val="22"/>
                <w:lang w:val="es-CO" w:eastAsia="en-US"/>
              </w:rPr>
              <w:t>6,22%</w:t>
            </w:r>
          </w:p>
        </w:tc>
        <w:tc>
          <w:tcPr>
            <w:tcW w:w="216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4A5F31" w:rsidRPr="004A5F31" w:rsidRDefault="004A5F31" w:rsidP="004A5F31">
            <w:pPr>
              <w:spacing w:line="259" w:lineRule="auto"/>
              <w:jc w:val="center"/>
              <w:rPr>
                <w:rFonts w:ascii="Calibri" w:eastAsia="Calibri" w:hAnsi="Calibri"/>
                <w:b/>
                <w:bCs/>
                <w:color w:val="auto"/>
                <w:sz w:val="22"/>
                <w:szCs w:val="22"/>
                <w:lang w:val="es-CO" w:eastAsia="en-US"/>
              </w:rPr>
            </w:pPr>
            <w:r w:rsidRPr="004A5F31">
              <w:rPr>
                <w:rFonts w:ascii="Calibri" w:eastAsia="Calibri" w:hAnsi="Calibri"/>
                <w:b/>
                <w:bCs/>
                <w:color w:val="auto"/>
                <w:sz w:val="22"/>
                <w:szCs w:val="22"/>
                <w:lang w:val="es-CO" w:eastAsia="en-US"/>
              </w:rPr>
              <w:t>9%</w:t>
            </w:r>
          </w:p>
        </w:tc>
      </w:tr>
    </w:tbl>
    <w:p w:rsidR="004A5F31" w:rsidRPr="004A5F31" w:rsidRDefault="004A5F31" w:rsidP="004A5F31">
      <w:pPr>
        <w:spacing w:line="259" w:lineRule="auto"/>
        <w:jc w:val="center"/>
        <w:rPr>
          <w:rFonts w:ascii="Calibri" w:eastAsia="Calibri" w:hAnsi="Calibri"/>
          <w:bCs/>
          <w:i/>
          <w:color w:val="auto"/>
          <w:sz w:val="22"/>
          <w:szCs w:val="22"/>
          <w:lang w:val="es-CO" w:eastAsia="en-US"/>
        </w:rPr>
      </w:pPr>
      <w:r w:rsidRPr="004A5F31">
        <w:rPr>
          <w:rFonts w:ascii="Calibri" w:eastAsia="Calibri" w:hAnsi="Calibri"/>
          <w:bCs/>
          <w:i/>
          <w:color w:val="auto"/>
          <w:sz w:val="22"/>
          <w:szCs w:val="22"/>
          <w:lang w:val="es-CO" w:eastAsia="en-US"/>
        </w:rPr>
        <w:t>Fuente: Catastro Distrital - BANREP - DANE</w:t>
      </w:r>
    </w:p>
    <w:p w:rsidR="004A5F31" w:rsidRPr="004A5F31" w:rsidRDefault="004A5F31" w:rsidP="004A5F31">
      <w:pPr>
        <w:spacing w:line="259" w:lineRule="auto"/>
        <w:jc w:val="both"/>
        <w:rPr>
          <w:rFonts w:ascii="Bookman Old Style" w:eastAsia="Calibri" w:hAnsi="Bookman Old Style"/>
          <w:bCs/>
          <w:color w:val="auto"/>
          <w:szCs w:val="24"/>
          <w:lang w:val="es-CO" w:eastAsia="en-US"/>
        </w:rPr>
      </w:pPr>
    </w:p>
    <w:p w:rsidR="004A5F31" w:rsidRPr="004A5F31" w:rsidRDefault="004A5F31" w:rsidP="004A5F31">
      <w:pPr>
        <w:spacing w:line="259" w:lineRule="auto"/>
        <w:jc w:val="both"/>
        <w:rPr>
          <w:rFonts w:ascii="Bookman Old Style" w:eastAsia="Calibri" w:hAnsi="Bookman Old Style"/>
          <w:bCs/>
          <w:color w:val="auto"/>
          <w:szCs w:val="24"/>
          <w:lang w:val="es-CO" w:eastAsia="en-US"/>
        </w:rPr>
      </w:pPr>
      <w:r w:rsidRPr="004A5F31">
        <w:rPr>
          <w:rFonts w:ascii="Bookman Old Style" w:eastAsia="Calibri" w:hAnsi="Bookman Old Style"/>
          <w:bCs/>
          <w:color w:val="auto"/>
          <w:szCs w:val="24"/>
          <w:lang w:val="es-CO" w:eastAsia="en-US"/>
        </w:rPr>
        <w:t xml:space="preserve">La variación acumulada del crecimiento de los </w:t>
      </w:r>
      <w:r w:rsidRPr="004A5F31">
        <w:rPr>
          <w:rFonts w:ascii="Bookman Old Style" w:eastAsia="Calibri" w:hAnsi="Bookman Old Style"/>
          <w:b/>
          <w:bCs/>
          <w:color w:val="auto"/>
          <w:szCs w:val="24"/>
          <w:lang w:val="es-CO" w:eastAsia="en-US"/>
        </w:rPr>
        <w:t>avalúos catastrales</w:t>
      </w:r>
      <w:r w:rsidRPr="004A5F31">
        <w:rPr>
          <w:rFonts w:ascii="Bookman Old Style" w:eastAsia="Calibri" w:hAnsi="Bookman Old Style"/>
          <w:bCs/>
          <w:color w:val="auto"/>
          <w:szCs w:val="24"/>
          <w:lang w:val="es-CO" w:eastAsia="en-US"/>
        </w:rPr>
        <w:t xml:space="preserve"> frente al </w:t>
      </w:r>
      <w:r w:rsidRPr="004A5F31">
        <w:rPr>
          <w:rFonts w:ascii="Bookman Old Style" w:eastAsia="Calibri" w:hAnsi="Bookman Old Style"/>
          <w:b/>
          <w:bCs/>
          <w:color w:val="auto"/>
          <w:szCs w:val="24"/>
          <w:lang w:val="es-CO" w:eastAsia="en-US"/>
        </w:rPr>
        <w:t>acumulado del IPC</w:t>
      </w:r>
      <w:r w:rsidRPr="004A5F31">
        <w:rPr>
          <w:rFonts w:ascii="Bookman Old Style" w:eastAsia="Calibri" w:hAnsi="Bookman Old Style"/>
          <w:bCs/>
          <w:color w:val="auto"/>
          <w:szCs w:val="24"/>
          <w:lang w:val="es-CO" w:eastAsia="en-US"/>
        </w:rPr>
        <w:t xml:space="preserve"> se representa en el  siguiente gráfico:</w:t>
      </w:r>
    </w:p>
    <w:p w:rsidR="004A5F31" w:rsidRPr="004A5F31" w:rsidRDefault="004A5F31" w:rsidP="004A5F31">
      <w:pPr>
        <w:spacing w:line="259" w:lineRule="auto"/>
        <w:jc w:val="both"/>
        <w:rPr>
          <w:rFonts w:ascii="Calibri" w:eastAsia="Calibri" w:hAnsi="Calibri"/>
          <w:bCs/>
          <w:color w:val="auto"/>
          <w:sz w:val="22"/>
          <w:szCs w:val="22"/>
          <w:lang w:val="es-CO" w:eastAsia="en-US"/>
        </w:rPr>
      </w:pPr>
    </w:p>
    <w:p w:rsidR="004A5F31" w:rsidRPr="004A5F31" w:rsidRDefault="004A5F31" w:rsidP="004A5F31">
      <w:pPr>
        <w:spacing w:line="259" w:lineRule="auto"/>
        <w:jc w:val="center"/>
        <w:rPr>
          <w:rFonts w:ascii="Calibri" w:eastAsia="Calibri" w:hAnsi="Calibri"/>
          <w:b/>
          <w:color w:val="auto"/>
          <w:sz w:val="22"/>
          <w:szCs w:val="22"/>
          <w:lang w:val="es-CO" w:eastAsia="en-US"/>
        </w:rPr>
      </w:pPr>
      <w:r w:rsidRPr="004A5F31">
        <w:rPr>
          <w:rFonts w:ascii="Calibri" w:eastAsia="Calibri" w:hAnsi="Calibri"/>
          <w:b/>
          <w:color w:val="auto"/>
          <w:sz w:val="22"/>
          <w:szCs w:val="22"/>
          <w:lang w:val="es-CO" w:eastAsia="en-US"/>
        </w:rPr>
        <w:t>Avalúos VS IPC</w:t>
      </w:r>
    </w:p>
    <w:p w:rsidR="004A5F31" w:rsidRPr="004A5F31" w:rsidRDefault="004A5F31" w:rsidP="004A5F31">
      <w:pPr>
        <w:spacing w:line="259" w:lineRule="auto"/>
        <w:jc w:val="center"/>
        <w:rPr>
          <w:rFonts w:ascii="Calibri" w:eastAsia="Calibri" w:hAnsi="Calibri"/>
          <w:color w:val="auto"/>
          <w:sz w:val="22"/>
          <w:szCs w:val="22"/>
          <w:lang w:val="es-CO" w:eastAsia="en-US"/>
        </w:rPr>
      </w:pPr>
      <w:r w:rsidRPr="004A5F31">
        <w:rPr>
          <w:rFonts w:ascii="Calibri" w:eastAsia="Calibri" w:hAnsi="Calibri"/>
          <w:noProof/>
          <w:color w:val="auto"/>
          <w:sz w:val="22"/>
          <w:szCs w:val="22"/>
          <w:lang w:val="es-CO" w:eastAsia="es-CO"/>
        </w:rPr>
        <w:drawing>
          <wp:inline distT="0" distB="0" distL="0" distR="0" wp14:anchorId="438894FF" wp14:editId="69C8C377">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5F31" w:rsidRPr="004A5F31" w:rsidRDefault="004A5F31" w:rsidP="004A5F31">
      <w:pPr>
        <w:spacing w:line="259" w:lineRule="auto"/>
        <w:jc w:val="center"/>
        <w:rPr>
          <w:rFonts w:ascii="Calibri" w:eastAsia="Calibri" w:hAnsi="Calibri"/>
          <w:color w:val="auto"/>
          <w:sz w:val="22"/>
          <w:szCs w:val="22"/>
          <w:lang w:val="es-CO" w:eastAsia="en-US"/>
        </w:rPr>
      </w:pPr>
      <w:r w:rsidRPr="004A5F31">
        <w:rPr>
          <w:rFonts w:ascii="Calibri" w:eastAsia="Calibri" w:hAnsi="Calibri"/>
          <w:noProof/>
          <w:color w:val="auto"/>
          <w:sz w:val="22"/>
          <w:szCs w:val="22"/>
          <w:lang w:val="es-CO" w:eastAsia="es-CO"/>
        </w:rPr>
        <w:drawing>
          <wp:inline distT="0" distB="0" distL="0" distR="0" wp14:anchorId="55FF9B59" wp14:editId="49F78D7B">
            <wp:extent cx="4572000" cy="2743200"/>
            <wp:effectExtent l="19050" t="0" r="19050"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5F31" w:rsidRPr="004A5F31" w:rsidRDefault="004A5F31" w:rsidP="004A5F31">
      <w:pPr>
        <w:spacing w:line="259" w:lineRule="auto"/>
        <w:jc w:val="center"/>
        <w:rPr>
          <w:rFonts w:ascii="Calibri" w:eastAsia="Calibri" w:hAnsi="Calibri"/>
          <w:color w:val="auto"/>
          <w:sz w:val="22"/>
          <w:szCs w:val="22"/>
          <w:lang w:val="es-CO" w:eastAsia="en-US"/>
        </w:rPr>
      </w:pP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numPr>
          <w:ilvl w:val="1"/>
          <w:numId w:val="6"/>
        </w:numPr>
        <w:spacing w:line="259" w:lineRule="auto"/>
        <w:ind w:right="51"/>
        <w:jc w:val="both"/>
        <w:rPr>
          <w:rFonts w:ascii="Bookman Old Style" w:hAnsi="Bookman Old Style" w:cs="Arial"/>
          <w:b/>
          <w:bCs/>
          <w:color w:val="auto"/>
          <w:szCs w:val="24"/>
          <w:shd w:val="clear" w:color="auto" w:fill="FFFFFF"/>
          <w:lang w:val="es-CO"/>
        </w:rPr>
      </w:pPr>
      <w:r w:rsidRPr="004A5F31">
        <w:rPr>
          <w:rFonts w:ascii="Bookman Old Style" w:hAnsi="Bookman Old Style" w:cs="Arial"/>
          <w:b/>
          <w:bCs/>
          <w:color w:val="auto"/>
          <w:szCs w:val="24"/>
          <w:shd w:val="clear" w:color="auto" w:fill="FFFFFF"/>
          <w:lang w:val="es-CO"/>
        </w:rPr>
        <w:t>EL INCREMENTO DEL SALARIO MÍNIMO</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De la mano del IPC tenemos la variable de crecimiento del salario mínimo me</w:t>
      </w:r>
      <w:r w:rsidRPr="004A5F31">
        <w:rPr>
          <w:rFonts w:ascii="Bookman Old Style" w:hAnsi="Bookman Old Style" w:cs="Arial"/>
          <w:bCs/>
          <w:color w:val="auto"/>
          <w:szCs w:val="24"/>
          <w:shd w:val="clear" w:color="auto" w:fill="FFFFFF"/>
          <w:lang w:val="es-CO"/>
        </w:rPr>
        <w:t>n</w:t>
      </w:r>
      <w:r w:rsidRPr="004A5F31">
        <w:rPr>
          <w:rFonts w:ascii="Bookman Old Style" w:hAnsi="Bookman Old Style" w:cs="Arial"/>
          <w:bCs/>
          <w:color w:val="auto"/>
          <w:szCs w:val="24"/>
          <w:shd w:val="clear" w:color="auto" w:fill="FFFFFF"/>
          <w:lang w:val="es-CO"/>
        </w:rPr>
        <w:t>sual legal vigente- SMMLV, la cual refleja la capacidad de ingreso de los ciud</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 xml:space="preserve">danos. En este sentido, al comparar porcentualmente el crecimiento anual del SMMLV frente al crecimiento de los </w:t>
      </w:r>
      <w:r w:rsidRPr="004A5F31">
        <w:rPr>
          <w:rFonts w:ascii="Bookman Old Style" w:hAnsi="Bookman Old Style" w:cs="Arial"/>
          <w:bCs/>
          <w:i/>
          <w:color w:val="auto"/>
          <w:szCs w:val="24"/>
          <w:shd w:val="clear" w:color="auto" w:fill="FFFFFF"/>
          <w:lang w:val="es-CO"/>
        </w:rPr>
        <w:t>avalúos catastrales</w:t>
      </w:r>
      <w:r w:rsidRPr="004A5F31">
        <w:rPr>
          <w:rFonts w:ascii="Bookman Old Style" w:hAnsi="Bookman Old Style" w:cs="Arial"/>
          <w:bCs/>
          <w:color w:val="auto"/>
          <w:szCs w:val="24"/>
          <w:shd w:val="clear" w:color="auto" w:fill="FFFFFF"/>
          <w:lang w:val="es-CO"/>
        </w:rPr>
        <w:t xml:space="preserve"> de los últimos 4 años, observamos, como lo muestra el siguiente cuadro y gráfica, una brecha cr</w:t>
      </w:r>
      <w:r w:rsidRPr="004A5F31">
        <w:rPr>
          <w:rFonts w:ascii="Bookman Old Style" w:hAnsi="Bookman Old Style" w:cs="Arial"/>
          <w:bCs/>
          <w:color w:val="auto"/>
          <w:szCs w:val="24"/>
          <w:shd w:val="clear" w:color="auto" w:fill="FFFFFF"/>
          <w:lang w:val="es-CO"/>
        </w:rPr>
        <w:t>e</w:t>
      </w:r>
      <w:r w:rsidRPr="004A5F31">
        <w:rPr>
          <w:rFonts w:ascii="Bookman Old Style" w:hAnsi="Bookman Old Style" w:cs="Arial"/>
          <w:bCs/>
          <w:color w:val="auto"/>
          <w:szCs w:val="24"/>
          <w:shd w:val="clear" w:color="auto" w:fill="FFFFFF"/>
          <w:lang w:val="es-CO"/>
        </w:rPr>
        <w:t>ciente entre las mismas, así:</w:t>
      </w:r>
    </w:p>
    <w:p w:rsidR="004A5F31" w:rsidRPr="004A5F31" w:rsidRDefault="004A5F31" w:rsidP="004A5F31">
      <w:pPr>
        <w:ind w:left="792" w:right="51"/>
        <w:jc w:val="both"/>
        <w:rPr>
          <w:rFonts w:ascii="Bookman Old Style" w:hAnsi="Bookman Old Style" w:cs="Arial"/>
          <w:bCs/>
          <w:color w:val="auto"/>
          <w:szCs w:val="24"/>
          <w:shd w:val="clear" w:color="auto" w:fill="FFFFFF"/>
          <w:lang w:val="es-CO"/>
        </w:rPr>
      </w:pPr>
    </w:p>
    <w:p w:rsidR="004A5F31" w:rsidRPr="004A5F31" w:rsidRDefault="004A5F31" w:rsidP="004A5F31">
      <w:pPr>
        <w:ind w:left="792" w:right="51"/>
        <w:jc w:val="center"/>
        <w:rPr>
          <w:rFonts w:ascii="Bookman Old Style" w:hAnsi="Bookman Old Style" w:cs="Arial"/>
          <w:bCs/>
          <w:color w:val="auto"/>
          <w:szCs w:val="24"/>
          <w:shd w:val="clear" w:color="auto" w:fill="FFFFFF"/>
          <w:lang w:val="es-CO"/>
        </w:rPr>
      </w:pPr>
    </w:p>
    <w:tbl>
      <w:tblPr>
        <w:tblStyle w:val="Tablaconcuadrcula1"/>
        <w:tblW w:w="0" w:type="auto"/>
        <w:jc w:val="center"/>
        <w:tblLook w:val="04A0" w:firstRow="1" w:lastRow="0" w:firstColumn="1" w:lastColumn="0" w:noHBand="0" w:noVBand="1"/>
      </w:tblPr>
      <w:tblGrid>
        <w:gridCol w:w="1940"/>
        <w:gridCol w:w="2450"/>
        <w:gridCol w:w="2450"/>
      </w:tblGrid>
      <w:tr w:rsidR="004A5F31" w:rsidRPr="004A5F31" w:rsidTr="004A5F31">
        <w:trPr>
          <w:trHeight w:val="511"/>
          <w:jc w:val="center"/>
        </w:trPr>
        <w:tc>
          <w:tcPr>
            <w:tcW w:w="1940" w:type="dxa"/>
            <w:noWrap/>
            <w:vAlign w:val="center"/>
            <w:hideMark/>
          </w:tcPr>
          <w:p w:rsidR="004A5F31" w:rsidRPr="004A5F31" w:rsidRDefault="004A5F31" w:rsidP="004A5F31">
            <w:pPr>
              <w:ind w:right="51"/>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AÑO</w:t>
            </w:r>
          </w:p>
        </w:tc>
        <w:tc>
          <w:tcPr>
            <w:tcW w:w="2450" w:type="dxa"/>
            <w:noWrap/>
            <w:vAlign w:val="center"/>
            <w:hideMark/>
          </w:tcPr>
          <w:p w:rsidR="004A5F31" w:rsidRPr="004A5F31" w:rsidRDefault="004A5F31" w:rsidP="004A5F31">
            <w:pPr>
              <w:ind w:right="51"/>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Incremento Av</w:t>
            </w:r>
            <w:r w:rsidRPr="004A5F31">
              <w:rPr>
                <w:rFonts w:ascii="Bookman Old Style" w:hAnsi="Bookman Old Style" w:cs="Arial"/>
                <w:b/>
                <w:bCs/>
                <w:color w:val="auto"/>
                <w:szCs w:val="24"/>
                <w:shd w:val="clear" w:color="auto" w:fill="FFFFFF"/>
              </w:rPr>
              <w:t>a</w:t>
            </w:r>
            <w:r w:rsidRPr="004A5F31">
              <w:rPr>
                <w:rFonts w:ascii="Bookman Old Style" w:hAnsi="Bookman Old Style" w:cs="Arial"/>
                <w:b/>
                <w:bCs/>
                <w:color w:val="auto"/>
                <w:szCs w:val="24"/>
                <w:shd w:val="clear" w:color="auto" w:fill="FFFFFF"/>
              </w:rPr>
              <w:t>lúos Catastrales</w:t>
            </w:r>
          </w:p>
        </w:tc>
        <w:tc>
          <w:tcPr>
            <w:tcW w:w="2450" w:type="dxa"/>
            <w:vAlign w:val="center"/>
          </w:tcPr>
          <w:p w:rsidR="004A5F31" w:rsidRPr="004A5F31" w:rsidRDefault="004A5F31" w:rsidP="004A5F31">
            <w:pPr>
              <w:ind w:right="51"/>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Incremento</w:t>
            </w:r>
          </w:p>
          <w:p w:rsidR="004A5F31" w:rsidRPr="004A5F31" w:rsidRDefault="004A5F31" w:rsidP="004A5F31">
            <w:pPr>
              <w:ind w:right="51"/>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SMMLV</w:t>
            </w:r>
          </w:p>
        </w:tc>
      </w:tr>
      <w:tr w:rsidR="004A5F31" w:rsidRPr="004A5F31" w:rsidTr="004A5F31">
        <w:trPr>
          <w:trHeight w:val="315"/>
          <w:jc w:val="center"/>
        </w:trPr>
        <w:tc>
          <w:tcPr>
            <w:tcW w:w="1940" w:type="dxa"/>
            <w:noWrap/>
            <w:vAlign w:val="center"/>
          </w:tcPr>
          <w:p w:rsidR="004A5F31" w:rsidRPr="004A5F31" w:rsidRDefault="004A5F31" w:rsidP="004A5F31">
            <w:pPr>
              <w:ind w:right="51"/>
              <w:jc w:val="center"/>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2012</w:t>
            </w:r>
          </w:p>
        </w:tc>
        <w:tc>
          <w:tcPr>
            <w:tcW w:w="2450" w:type="dxa"/>
            <w:noWrap/>
            <w:vAlign w:val="center"/>
          </w:tcPr>
          <w:p w:rsidR="004A5F31" w:rsidRPr="004A5F31" w:rsidRDefault="004A5F31" w:rsidP="004A5F31">
            <w:pPr>
              <w:ind w:right="51"/>
              <w:jc w:val="center"/>
              <w:rPr>
                <w:rFonts w:ascii="Bookman Old Style" w:hAnsi="Bookman Old Style" w:cs="Arial"/>
                <w:b/>
                <w:bCs/>
                <w:szCs w:val="24"/>
                <w:shd w:val="clear" w:color="auto" w:fill="FFFFFF"/>
              </w:rPr>
            </w:pPr>
            <w:r w:rsidRPr="004A5F31">
              <w:rPr>
                <w:rFonts w:ascii="Bookman Old Style" w:hAnsi="Bookman Old Style" w:cs="Arial"/>
                <w:b/>
                <w:bCs/>
                <w:szCs w:val="24"/>
                <w:shd w:val="clear" w:color="auto" w:fill="FFFFFF"/>
              </w:rPr>
              <w:t>17.1%</w:t>
            </w:r>
          </w:p>
        </w:tc>
        <w:tc>
          <w:tcPr>
            <w:tcW w:w="2450" w:type="dxa"/>
            <w:vAlign w:val="bottom"/>
          </w:tcPr>
          <w:p w:rsidR="004A5F31" w:rsidRPr="004A5F31" w:rsidRDefault="004A5F31" w:rsidP="004A5F31">
            <w:pPr>
              <w:ind w:right="51"/>
              <w:jc w:val="center"/>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5,80</w:t>
            </w:r>
          </w:p>
        </w:tc>
      </w:tr>
      <w:tr w:rsidR="004A5F31" w:rsidRPr="004A5F31" w:rsidTr="004A5F31">
        <w:trPr>
          <w:trHeight w:val="315"/>
          <w:jc w:val="center"/>
        </w:trPr>
        <w:tc>
          <w:tcPr>
            <w:tcW w:w="1940" w:type="dxa"/>
            <w:noWrap/>
            <w:vAlign w:val="center"/>
            <w:hideMark/>
          </w:tcPr>
          <w:p w:rsidR="004A5F31" w:rsidRPr="004A5F31" w:rsidRDefault="004A5F31" w:rsidP="004A5F31">
            <w:pPr>
              <w:ind w:right="51"/>
              <w:jc w:val="center"/>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2013</w:t>
            </w:r>
          </w:p>
        </w:tc>
        <w:tc>
          <w:tcPr>
            <w:tcW w:w="2450" w:type="dxa"/>
            <w:noWrap/>
            <w:vAlign w:val="center"/>
            <w:hideMark/>
          </w:tcPr>
          <w:p w:rsidR="004A5F31" w:rsidRPr="004A5F31" w:rsidRDefault="004A5F31" w:rsidP="004A5F31">
            <w:pPr>
              <w:ind w:right="51"/>
              <w:jc w:val="center"/>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24,4%</w:t>
            </w:r>
          </w:p>
        </w:tc>
        <w:tc>
          <w:tcPr>
            <w:tcW w:w="2450" w:type="dxa"/>
            <w:vAlign w:val="bottom"/>
          </w:tcPr>
          <w:p w:rsidR="004A5F31" w:rsidRPr="004A5F31" w:rsidRDefault="004A5F31" w:rsidP="004A5F31">
            <w:pPr>
              <w:ind w:right="51"/>
              <w:jc w:val="center"/>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4,02</w:t>
            </w:r>
          </w:p>
        </w:tc>
      </w:tr>
      <w:tr w:rsidR="004A5F31" w:rsidRPr="004A5F31" w:rsidTr="004A5F31">
        <w:trPr>
          <w:trHeight w:val="300"/>
          <w:jc w:val="center"/>
        </w:trPr>
        <w:tc>
          <w:tcPr>
            <w:tcW w:w="1940" w:type="dxa"/>
            <w:noWrap/>
            <w:vAlign w:val="center"/>
            <w:hideMark/>
          </w:tcPr>
          <w:p w:rsidR="004A5F31" w:rsidRPr="004A5F31" w:rsidRDefault="004A5F31" w:rsidP="004A5F31">
            <w:pPr>
              <w:ind w:right="51"/>
              <w:jc w:val="center"/>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2014</w:t>
            </w:r>
          </w:p>
        </w:tc>
        <w:tc>
          <w:tcPr>
            <w:tcW w:w="2450" w:type="dxa"/>
            <w:noWrap/>
            <w:vAlign w:val="center"/>
            <w:hideMark/>
          </w:tcPr>
          <w:p w:rsidR="004A5F31" w:rsidRPr="004A5F31" w:rsidRDefault="004A5F31" w:rsidP="004A5F31">
            <w:pPr>
              <w:ind w:right="51"/>
              <w:jc w:val="center"/>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16,2%</w:t>
            </w:r>
          </w:p>
        </w:tc>
        <w:tc>
          <w:tcPr>
            <w:tcW w:w="2450" w:type="dxa"/>
            <w:vAlign w:val="bottom"/>
          </w:tcPr>
          <w:p w:rsidR="004A5F31" w:rsidRPr="004A5F31" w:rsidRDefault="004A5F31" w:rsidP="004A5F31">
            <w:pPr>
              <w:ind w:right="51"/>
              <w:jc w:val="center"/>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4,50</w:t>
            </w:r>
          </w:p>
        </w:tc>
      </w:tr>
      <w:tr w:rsidR="004A5F31" w:rsidRPr="004A5F31" w:rsidTr="004A5F31">
        <w:trPr>
          <w:trHeight w:val="300"/>
          <w:jc w:val="center"/>
        </w:trPr>
        <w:tc>
          <w:tcPr>
            <w:tcW w:w="1940" w:type="dxa"/>
            <w:noWrap/>
            <w:vAlign w:val="center"/>
            <w:hideMark/>
          </w:tcPr>
          <w:p w:rsidR="004A5F31" w:rsidRPr="004A5F31" w:rsidRDefault="004A5F31" w:rsidP="004A5F31">
            <w:pPr>
              <w:ind w:right="51"/>
              <w:jc w:val="center"/>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2015</w:t>
            </w:r>
          </w:p>
        </w:tc>
        <w:tc>
          <w:tcPr>
            <w:tcW w:w="2450" w:type="dxa"/>
            <w:noWrap/>
            <w:vAlign w:val="center"/>
            <w:hideMark/>
          </w:tcPr>
          <w:p w:rsidR="004A5F31" w:rsidRPr="004A5F31" w:rsidRDefault="004A5F31" w:rsidP="004A5F31">
            <w:pPr>
              <w:ind w:right="51"/>
              <w:jc w:val="center"/>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13,9%</w:t>
            </w:r>
          </w:p>
        </w:tc>
        <w:tc>
          <w:tcPr>
            <w:tcW w:w="2450" w:type="dxa"/>
            <w:vAlign w:val="bottom"/>
          </w:tcPr>
          <w:p w:rsidR="004A5F31" w:rsidRPr="004A5F31" w:rsidRDefault="004A5F31" w:rsidP="004A5F31">
            <w:pPr>
              <w:ind w:right="51"/>
              <w:jc w:val="center"/>
              <w:rPr>
                <w:rFonts w:ascii="Bookman Old Style" w:hAnsi="Bookman Old Style" w:cs="Arial"/>
                <w:b/>
                <w:bCs/>
                <w:color w:val="auto"/>
                <w:szCs w:val="24"/>
                <w:shd w:val="clear" w:color="auto" w:fill="FFFFFF"/>
              </w:rPr>
            </w:pPr>
            <w:r w:rsidRPr="004A5F31">
              <w:rPr>
                <w:rFonts w:ascii="Bookman Old Style" w:hAnsi="Bookman Old Style" w:cs="Arial"/>
                <w:b/>
                <w:bCs/>
                <w:color w:val="auto"/>
                <w:szCs w:val="24"/>
                <w:shd w:val="clear" w:color="auto" w:fill="FFFFFF"/>
              </w:rPr>
              <w:t>4,60</w:t>
            </w:r>
          </w:p>
        </w:tc>
      </w:tr>
    </w:tbl>
    <w:p w:rsidR="004A5F31" w:rsidRPr="004A5F31" w:rsidRDefault="004A5F31" w:rsidP="004A5F31">
      <w:pPr>
        <w:ind w:left="2124" w:right="51" w:firstLine="708"/>
        <w:jc w:val="both"/>
        <w:rPr>
          <w:rFonts w:ascii="Bookman Old Style" w:hAnsi="Bookman Old Style" w:cs="Arial"/>
          <w:bCs/>
          <w:i/>
          <w:color w:val="auto"/>
          <w:sz w:val="16"/>
          <w:szCs w:val="16"/>
          <w:shd w:val="clear" w:color="auto" w:fill="FFFFFF"/>
          <w:lang w:val="es-CO"/>
        </w:rPr>
      </w:pPr>
      <w:bookmarkStart w:id="0" w:name="OLE_LINK1"/>
      <w:r w:rsidRPr="004A5F31">
        <w:rPr>
          <w:rFonts w:ascii="Bookman Old Style" w:hAnsi="Bookman Old Style" w:cs="Arial"/>
          <w:bCs/>
          <w:i/>
          <w:color w:val="auto"/>
          <w:sz w:val="16"/>
          <w:szCs w:val="16"/>
          <w:shd w:val="clear" w:color="auto" w:fill="FFFFFF"/>
          <w:lang w:val="es-CO"/>
        </w:rPr>
        <w:t>Fuente: Secretaría de Hacienda Distrital</w:t>
      </w:r>
      <w:bookmarkEnd w:id="0"/>
      <w:r w:rsidRPr="004A5F31">
        <w:rPr>
          <w:rFonts w:ascii="Bookman Old Style" w:hAnsi="Bookman Old Style" w:cs="Arial"/>
          <w:bCs/>
          <w:i/>
          <w:color w:val="auto"/>
          <w:sz w:val="16"/>
          <w:szCs w:val="16"/>
          <w:shd w:val="clear" w:color="auto" w:fill="FFFFFF"/>
          <w:lang w:val="es-CO"/>
        </w:rPr>
        <w:t>.</w:t>
      </w:r>
      <w:r w:rsidRPr="004A5F31">
        <w:rPr>
          <w:rFonts w:ascii="Bookman Old Style" w:hAnsi="Bookman Old Style" w:cs="Arial"/>
          <w:bCs/>
          <w:i/>
          <w:color w:val="auto"/>
          <w:sz w:val="16"/>
          <w:szCs w:val="16"/>
          <w:shd w:val="clear" w:color="auto" w:fill="FFFFFF"/>
          <w:lang w:val="es-CO"/>
        </w:rPr>
        <w:tab/>
      </w:r>
      <w:r w:rsidRPr="004A5F31">
        <w:rPr>
          <w:rFonts w:ascii="Bookman Old Style" w:hAnsi="Bookman Old Style" w:cs="Arial"/>
          <w:bCs/>
          <w:i/>
          <w:color w:val="auto"/>
          <w:sz w:val="16"/>
          <w:szCs w:val="16"/>
          <w:shd w:val="clear" w:color="auto" w:fill="FFFFFF"/>
          <w:lang w:val="es-CO"/>
        </w:rPr>
        <w:tab/>
      </w:r>
      <w:r w:rsidRPr="004A5F31">
        <w:rPr>
          <w:rFonts w:ascii="Bookman Old Style" w:hAnsi="Bookman Old Style" w:cs="Arial"/>
          <w:bCs/>
          <w:i/>
          <w:color w:val="auto"/>
          <w:sz w:val="16"/>
          <w:szCs w:val="16"/>
          <w:shd w:val="clear" w:color="auto" w:fill="FFFFFF"/>
          <w:lang w:val="es-CO"/>
        </w:rPr>
        <w:tab/>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 xml:space="preserve">El gráfico evidencia la brecha señalada entre el crecimiento del salario mínimo –SMMLV con relación al crecimiento de los avalúos catastrales en Bogotá D.C., aplicados a los contribuyentes por la Administración en materia de </w:t>
      </w:r>
      <w:r w:rsidRPr="004A5F31">
        <w:rPr>
          <w:rFonts w:ascii="Bookman Old Style" w:hAnsi="Bookman Old Style" w:cs="Arial"/>
          <w:bCs/>
          <w:i/>
          <w:color w:val="auto"/>
          <w:szCs w:val="24"/>
          <w:shd w:val="clear" w:color="auto" w:fill="FFFFFF"/>
          <w:lang w:val="es-CO"/>
        </w:rPr>
        <w:t>impuesto predial unificado</w:t>
      </w:r>
      <w:r w:rsidRPr="004A5F31">
        <w:rPr>
          <w:rFonts w:ascii="Bookman Old Style" w:hAnsi="Bookman Old Style" w:cs="Arial"/>
          <w:bCs/>
          <w:color w:val="auto"/>
          <w:szCs w:val="24"/>
          <w:shd w:val="clear" w:color="auto" w:fill="FFFFFF"/>
          <w:lang w:val="es-CO"/>
        </w:rPr>
        <w:t>. (Año base 2012).</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 xml:space="preserve">Dado que el porcentaje de incremento aplicado al SMMLV, que sirve de punto de referencia para aumentar el salario de todos los empleados y trabajadores del país, y por ende fijar su ingreso, no crece en igual proporción al incremento del cobro que en Bogotá D.C. se ha venido aplicando al </w:t>
      </w:r>
      <w:r w:rsidRPr="004A5F31">
        <w:rPr>
          <w:rFonts w:ascii="Bookman Old Style" w:hAnsi="Bookman Old Style" w:cs="Arial"/>
          <w:bCs/>
          <w:i/>
          <w:color w:val="auto"/>
          <w:szCs w:val="24"/>
          <w:shd w:val="clear" w:color="auto" w:fill="FFFFFF"/>
          <w:lang w:val="es-CO"/>
        </w:rPr>
        <w:t>impuesto predial unif</w:t>
      </w:r>
      <w:r w:rsidRPr="004A5F31">
        <w:rPr>
          <w:rFonts w:ascii="Bookman Old Style" w:hAnsi="Bookman Old Style" w:cs="Arial"/>
          <w:bCs/>
          <w:i/>
          <w:color w:val="auto"/>
          <w:szCs w:val="24"/>
          <w:shd w:val="clear" w:color="auto" w:fill="FFFFFF"/>
          <w:lang w:val="es-CO"/>
        </w:rPr>
        <w:t>i</w:t>
      </w:r>
      <w:r w:rsidRPr="004A5F31">
        <w:rPr>
          <w:rFonts w:ascii="Bookman Old Style" w:hAnsi="Bookman Old Style" w:cs="Arial"/>
          <w:bCs/>
          <w:i/>
          <w:color w:val="auto"/>
          <w:szCs w:val="24"/>
          <w:shd w:val="clear" w:color="auto" w:fill="FFFFFF"/>
          <w:lang w:val="es-CO"/>
        </w:rPr>
        <w:t>cado,</w:t>
      </w:r>
      <w:r w:rsidRPr="004A5F31">
        <w:rPr>
          <w:rFonts w:ascii="Bookman Old Style" w:hAnsi="Bookman Old Style" w:cs="Arial"/>
          <w:bCs/>
          <w:color w:val="auto"/>
          <w:szCs w:val="24"/>
          <w:shd w:val="clear" w:color="auto" w:fill="FFFFFF"/>
          <w:lang w:val="es-CO"/>
        </w:rPr>
        <w:t xml:space="preserve"> se comprende con claridad que dicho tributo  impacta y merma de man</w:t>
      </w:r>
      <w:r w:rsidRPr="004A5F31">
        <w:rPr>
          <w:rFonts w:ascii="Bookman Old Style" w:hAnsi="Bookman Old Style" w:cs="Arial"/>
          <w:bCs/>
          <w:color w:val="auto"/>
          <w:szCs w:val="24"/>
          <w:shd w:val="clear" w:color="auto" w:fill="FFFFFF"/>
          <w:lang w:val="es-CO"/>
        </w:rPr>
        <w:t>e</w:t>
      </w:r>
      <w:r w:rsidRPr="004A5F31">
        <w:rPr>
          <w:rFonts w:ascii="Bookman Old Style" w:hAnsi="Bookman Old Style" w:cs="Arial"/>
          <w:bCs/>
          <w:color w:val="auto"/>
          <w:szCs w:val="24"/>
          <w:shd w:val="clear" w:color="auto" w:fill="FFFFFF"/>
          <w:lang w:val="es-CO"/>
        </w:rPr>
        <w:t>ra negativa el bolsillo de los bogotanos, en especial de aquellos que ostentan como único ingreso su salario o su pensión, en razón de la creciente brecha e</w:t>
      </w:r>
      <w:r w:rsidRPr="004A5F31">
        <w:rPr>
          <w:rFonts w:ascii="Bookman Old Style" w:hAnsi="Bookman Old Style" w:cs="Arial"/>
          <w:bCs/>
          <w:color w:val="auto"/>
          <w:szCs w:val="24"/>
          <w:shd w:val="clear" w:color="auto" w:fill="FFFFFF"/>
          <w:lang w:val="es-CO"/>
        </w:rPr>
        <w:t>n</w:t>
      </w:r>
      <w:r w:rsidRPr="004A5F31">
        <w:rPr>
          <w:rFonts w:ascii="Bookman Old Style" w:hAnsi="Bookman Old Style" w:cs="Arial"/>
          <w:bCs/>
          <w:color w:val="auto"/>
          <w:szCs w:val="24"/>
          <w:shd w:val="clear" w:color="auto" w:fill="FFFFFF"/>
          <w:lang w:val="es-CO"/>
        </w:rPr>
        <w:t>tre las dos variables, la cual se acrecienta año a año.</w:t>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 xml:space="preserve">Como corolario podría decirse que de mantenerse las anteriores tendencias, el poder adquisitivo del contribuyente año a año se ve reducido mientras el valor del impuesto va creciendo, con lo cual llegará el momento en que para poder pagar el impuesto predial se verá en la obligación de vender el predio. </w:t>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numPr>
          <w:ilvl w:val="1"/>
          <w:numId w:val="6"/>
        </w:numPr>
        <w:spacing w:line="259" w:lineRule="auto"/>
        <w:ind w:right="51"/>
        <w:jc w:val="both"/>
        <w:rPr>
          <w:rFonts w:ascii="Bookman Old Style" w:hAnsi="Bookman Old Style" w:cs="Arial"/>
          <w:b/>
          <w:bCs/>
          <w:color w:val="auto"/>
          <w:szCs w:val="24"/>
          <w:shd w:val="clear" w:color="auto" w:fill="FFFFFF"/>
          <w:lang w:val="es-CO"/>
        </w:rPr>
      </w:pPr>
      <w:r w:rsidRPr="004A5F31">
        <w:rPr>
          <w:rFonts w:ascii="Bookman Old Style" w:hAnsi="Bookman Old Style" w:cs="Arial"/>
          <w:b/>
          <w:bCs/>
          <w:color w:val="auto"/>
          <w:szCs w:val="24"/>
          <w:shd w:val="clear" w:color="auto" w:fill="FFFFFF"/>
          <w:lang w:val="es-CO"/>
        </w:rPr>
        <w:t>LA ESCASEZ DE SUELO</w:t>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El origen directo del problema se encuentra en la falta de suelo para proyectos de construcción en la ciudad, lo cual lleva a los especuladores a presionar, gr</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cias al libre juego de la oferta y la demanda, el incremento generalizado de los precios del sector inmobiliario.</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 xml:space="preserve">En la actualidad la política en materia fiscal que rige para la ciudad de Bogotá D.C. se encuentra normalizada en los diferentes acuerdos y decretos y apunta, como objetivo principal, a maximizar el recaudo. </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 xml:space="preserve">De esta manera, para la Administración Distrital, todos los contribuyentes del </w:t>
      </w:r>
      <w:r w:rsidRPr="004A5F31">
        <w:rPr>
          <w:rFonts w:ascii="Bookman Old Style" w:hAnsi="Bookman Old Style" w:cs="Arial"/>
          <w:bCs/>
          <w:i/>
          <w:color w:val="auto"/>
          <w:szCs w:val="24"/>
          <w:shd w:val="clear" w:color="auto" w:fill="FFFFFF"/>
          <w:lang w:val="es-CO"/>
        </w:rPr>
        <w:t>impuesto predial unificado</w:t>
      </w:r>
      <w:r w:rsidRPr="004A5F31">
        <w:rPr>
          <w:rFonts w:ascii="Bookman Old Style" w:hAnsi="Bookman Old Style" w:cs="Arial"/>
          <w:bCs/>
          <w:color w:val="auto"/>
          <w:szCs w:val="24"/>
          <w:shd w:val="clear" w:color="auto" w:fill="FFFFFF"/>
          <w:lang w:val="es-CO"/>
        </w:rPr>
        <w:t xml:space="preserve"> son potenciales vendedores en el mercado de capit</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les. Y como tales, se les cobra de acuerdo a la dinámica de crecimiento del se</w:t>
      </w:r>
      <w:r w:rsidRPr="004A5F31">
        <w:rPr>
          <w:rFonts w:ascii="Bookman Old Style" w:hAnsi="Bookman Old Style" w:cs="Arial"/>
          <w:bCs/>
          <w:color w:val="auto"/>
          <w:szCs w:val="24"/>
          <w:shd w:val="clear" w:color="auto" w:fill="FFFFFF"/>
          <w:lang w:val="es-CO"/>
        </w:rPr>
        <w:t>c</w:t>
      </w:r>
      <w:r w:rsidRPr="004A5F31">
        <w:rPr>
          <w:rFonts w:ascii="Bookman Old Style" w:hAnsi="Bookman Old Style" w:cs="Arial"/>
          <w:bCs/>
          <w:color w:val="auto"/>
          <w:szCs w:val="24"/>
          <w:shd w:val="clear" w:color="auto" w:fill="FFFFFF"/>
          <w:lang w:val="es-CO"/>
        </w:rPr>
        <w:t>tor inmobiliario.</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Esta política fiscalista y alcabalera desconoce que una mayoría significativa de contribuyentes no adquieren sus predios como una inversión de capital, su</w:t>
      </w:r>
      <w:r w:rsidRPr="004A5F31">
        <w:rPr>
          <w:rFonts w:ascii="Bookman Old Style" w:hAnsi="Bookman Old Style" w:cs="Arial"/>
          <w:bCs/>
          <w:color w:val="auto"/>
          <w:szCs w:val="24"/>
          <w:shd w:val="clear" w:color="auto" w:fill="FFFFFF"/>
          <w:lang w:val="es-CO"/>
        </w:rPr>
        <w:t>s</w:t>
      </w:r>
      <w:r w:rsidRPr="004A5F31">
        <w:rPr>
          <w:rFonts w:ascii="Bookman Old Style" w:hAnsi="Bookman Old Style" w:cs="Arial"/>
          <w:bCs/>
          <w:color w:val="auto"/>
          <w:szCs w:val="24"/>
          <w:shd w:val="clear" w:color="auto" w:fill="FFFFFF"/>
          <w:lang w:val="es-CO"/>
        </w:rPr>
        <w:t>ceptible de ser transada en cualquier momento en el mercado de finca raíz, sino que le dan otros destinos como el de vivienda familiar.</w:t>
      </w:r>
    </w:p>
    <w:p w:rsidR="004A5F31" w:rsidRPr="004A5F31" w:rsidRDefault="004A5F31" w:rsidP="004A5F31">
      <w:pPr>
        <w:jc w:val="center"/>
        <w:rPr>
          <w:rFonts w:ascii="Bookman Old Style" w:eastAsia="Calibri" w:hAnsi="Bookman Old Style"/>
          <w:color w:val="auto"/>
          <w:sz w:val="22"/>
          <w:szCs w:val="22"/>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 xml:space="preserve">Este concepto, que determina que la base gravable del </w:t>
      </w:r>
      <w:r w:rsidRPr="004A5F31">
        <w:rPr>
          <w:rFonts w:ascii="Bookman Old Style" w:hAnsi="Bookman Old Style" w:cs="Arial"/>
          <w:bCs/>
          <w:i/>
          <w:color w:val="auto"/>
          <w:szCs w:val="24"/>
          <w:shd w:val="clear" w:color="auto" w:fill="FFFFFF"/>
          <w:lang w:val="es-CO"/>
        </w:rPr>
        <w:t>impuesto predial unif</w:t>
      </w:r>
      <w:r w:rsidRPr="004A5F31">
        <w:rPr>
          <w:rFonts w:ascii="Bookman Old Style" w:hAnsi="Bookman Old Style" w:cs="Arial"/>
          <w:bCs/>
          <w:i/>
          <w:color w:val="auto"/>
          <w:szCs w:val="24"/>
          <w:shd w:val="clear" w:color="auto" w:fill="FFFFFF"/>
          <w:lang w:val="es-CO"/>
        </w:rPr>
        <w:t>i</w:t>
      </w:r>
      <w:r w:rsidRPr="004A5F31">
        <w:rPr>
          <w:rFonts w:ascii="Bookman Old Style" w:hAnsi="Bookman Old Style" w:cs="Arial"/>
          <w:bCs/>
          <w:i/>
          <w:color w:val="auto"/>
          <w:szCs w:val="24"/>
          <w:shd w:val="clear" w:color="auto" w:fill="FFFFFF"/>
          <w:lang w:val="es-CO"/>
        </w:rPr>
        <w:t>cado</w:t>
      </w:r>
      <w:r w:rsidRPr="004A5F31">
        <w:rPr>
          <w:rFonts w:ascii="Bookman Old Style" w:hAnsi="Bookman Old Style" w:cs="Arial"/>
          <w:bCs/>
          <w:color w:val="auto"/>
          <w:szCs w:val="24"/>
          <w:shd w:val="clear" w:color="auto" w:fill="FFFFFF"/>
          <w:lang w:val="es-CO"/>
        </w:rPr>
        <w:t xml:space="preserve"> sea el avalúo catastral y que en dicho avalúo se considere al predio como un bien para el mercado de capitales, distorsiona el mercado, pues los usos y destinos de los predios son diferentes. Para los contribuyentes, vender el predio no es la única opción ni la más importante dentro de las posibilidades de uso del inmueble de su propiedad cuando este es el techo de su hogar.</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Dado que el valor del avalúo catastral recoge la dinámica del sector inmobili</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rio; este afecta positivamente a los directos beneficiarios de la especulación i</w:t>
      </w:r>
      <w:r w:rsidRPr="004A5F31">
        <w:rPr>
          <w:rFonts w:ascii="Bookman Old Style" w:hAnsi="Bookman Old Style" w:cs="Arial"/>
          <w:bCs/>
          <w:color w:val="auto"/>
          <w:szCs w:val="24"/>
          <w:shd w:val="clear" w:color="auto" w:fill="FFFFFF"/>
          <w:lang w:val="es-CO"/>
        </w:rPr>
        <w:t>n</w:t>
      </w:r>
      <w:r w:rsidRPr="004A5F31">
        <w:rPr>
          <w:rFonts w:ascii="Bookman Old Style" w:hAnsi="Bookman Old Style" w:cs="Arial"/>
          <w:bCs/>
          <w:color w:val="auto"/>
          <w:szCs w:val="24"/>
          <w:shd w:val="clear" w:color="auto" w:fill="FFFFFF"/>
          <w:lang w:val="es-CO"/>
        </w:rPr>
        <w:t xml:space="preserve">mobiliaria, y negativamente a los propietarios de los predios cuyo objetivo NO es el aprovechamiento de la tendencia especulativa.  </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Para la vigencia 2015, el 60% de los predios de la ciudad incrementaron su avalúo catastral por encima del 10% anual, mientras que el salario mínimo de los colombianos se incrementó tan solo en un 4.6%. Estas cifras son acumul</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tivas y generan una brecha que crece año a año.</w:t>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numPr>
          <w:ilvl w:val="0"/>
          <w:numId w:val="6"/>
        </w:numPr>
        <w:spacing w:line="259" w:lineRule="auto"/>
        <w:ind w:right="51"/>
        <w:jc w:val="both"/>
        <w:rPr>
          <w:rFonts w:ascii="Bookman Old Style" w:hAnsi="Bookman Old Style" w:cs="Arial"/>
          <w:b/>
          <w:bCs/>
          <w:color w:val="auto"/>
          <w:szCs w:val="24"/>
          <w:shd w:val="clear" w:color="auto" w:fill="FFFFFF"/>
          <w:lang w:val="es-CO"/>
        </w:rPr>
      </w:pPr>
      <w:r w:rsidRPr="004A5F31">
        <w:rPr>
          <w:rFonts w:ascii="Bookman Old Style" w:hAnsi="Bookman Old Style" w:cs="Arial"/>
          <w:b/>
          <w:bCs/>
          <w:color w:val="auto"/>
          <w:szCs w:val="24"/>
          <w:shd w:val="clear" w:color="auto" w:fill="FFFFFF"/>
          <w:lang w:val="es-CO"/>
        </w:rPr>
        <w:t>ALTERNATIVAS DE SOLUCIÓN PROPUESTAS</w:t>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Estamos ante un problema de lobos y ovejas. ¿Cómo proteger a las ovejas? Frente al vaivén del mercado inmobiliario los propietarios o poseedores de pr</w:t>
      </w:r>
      <w:r w:rsidRPr="004A5F31">
        <w:rPr>
          <w:rFonts w:ascii="Bookman Old Style" w:hAnsi="Bookman Old Style" w:cs="Arial"/>
          <w:bCs/>
          <w:color w:val="auto"/>
          <w:szCs w:val="24"/>
          <w:shd w:val="clear" w:color="auto" w:fill="FFFFFF"/>
          <w:lang w:val="es-CO"/>
        </w:rPr>
        <w:t>e</w:t>
      </w:r>
      <w:r w:rsidRPr="004A5F31">
        <w:rPr>
          <w:rFonts w:ascii="Bookman Old Style" w:hAnsi="Bookman Old Style" w:cs="Arial"/>
          <w:bCs/>
          <w:color w:val="auto"/>
          <w:szCs w:val="24"/>
          <w:shd w:val="clear" w:color="auto" w:fill="FFFFFF"/>
          <w:lang w:val="es-CO"/>
        </w:rPr>
        <w:t>dios que los utilizan como única vivienda familiar se muestran totalmente ind</w:t>
      </w:r>
      <w:r w:rsidRPr="004A5F31">
        <w:rPr>
          <w:rFonts w:ascii="Bookman Old Style" w:hAnsi="Bookman Old Style" w:cs="Arial"/>
          <w:bCs/>
          <w:color w:val="auto"/>
          <w:szCs w:val="24"/>
          <w:shd w:val="clear" w:color="auto" w:fill="FFFFFF"/>
          <w:lang w:val="es-CO"/>
        </w:rPr>
        <w:t>e</w:t>
      </w:r>
      <w:r w:rsidRPr="004A5F31">
        <w:rPr>
          <w:rFonts w:ascii="Bookman Old Style" w:hAnsi="Bookman Old Style" w:cs="Arial"/>
          <w:bCs/>
          <w:color w:val="auto"/>
          <w:szCs w:val="24"/>
          <w:shd w:val="clear" w:color="auto" w:fill="FFFFFF"/>
          <w:lang w:val="es-CO"/>
        </w:rPr>
        <w:t xml:space="preserve">fensos. </w:t>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numPr>
          <w:ilvl w:val="1"/>
          <w:numId w:val="6"/>
        </w:numPr>
        <w:spacing w:line="259" w:lineRule="auto"/>
        <w:ind w:right="51"/>
        <w:jc w:val="both"/>
        <w:rPr>
          <w:rFonts w:ascii="Bookman Old Style" w:hAnsi="Bookman Old Style" w:cs="Arial"/>
          <w:b/>
          <w:bCs/>
          <w:color w:val="auto"/>
          <w:szCs w:val="24"/>
          <w:shd w:val="clear" w:color="auto" w:fill="FFFFFF"/>
          <w:lang w:val="es-CO"/>
        </w:rPr>
      </w:pPr>
      <w:r w:rsidRPr="004A5F31">
        <w:rPr>
          <w:rFonts w:ascii="Bookman Old Style" w:hAnsi="Bookman Old Style" w:cs="Arial"/>
          <w:b/>
          <w:bCs/>
          <w:color w:val="auto"/>
          <w:szCs w:val="24"/>
          <w:u w:val="single"/>
          <w:shd w:val="clear" w:color="auto" w:fill="FFFFFF"/>
          <w:lang w:val="es-CO"/>
        </w:rPr>
        <w:t>PROPUESTA 1</w:t>
      </w:r>
      <w:r w:rsidRPr="004A5F31">
        <w:rPr>
          <w:rFonts w:ascii="Bookman Old Style" w:hAnsi="Bookman Old Style" w:cs="Arial"/>
          <w:b/>
          <w:bCs/>
          <w:color w:val="auto"/>
          <w:szCs w:val="24"/>
          <w:shd w:val="clear" w:color="auto" w:fill="FFFFFF"/>
          <w:lang w:val="es-CO"/>
        </w:rPr>
        <w:t>. Definir el avalúo catastral de los predios con base en su productividad.</w:t>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De lo que se trata es considerar a cada predio no como un bien transable y r</w:t>
      </w:r>
      <w:r w:rsidRPr="004A5F31">
        <w:rPr>
          <w:rFonts w:ascii="Bookman Old Style" w:hAnsi="Bookman Old Style" w:cs="Arial"/>
          <w:bCs/>
          <w:color w:val="auto"/>
          <w:szCs w:val="24"/>
          <w:shd w:val="clear" w:color="auto" w:fill="FFFFFF"/>
          <w:lang w:val="es-CO"/>
        </w:rPr>
        <w:t>e</w:t>
      </w:r>
      <w:r w:rsidRPr="004A5F31">
        <w:rPr>
          <w:rFonts w:ascii="Bookman Old Style" w:hAnsi="Bookman Old Style" w:cs="Arial"/>
          <w:bCs/>
          <w:color w:val="auto"/>
          <w:szCs w:val="24"/>
          <w:shd w:val="clear" w:color="auto" w:fill="FFFFFF"/>
          <w:lang w:val="es-CO"/>
        </w:rPr>
        <w:t>dimible, sino como una inversión permanente susceptible de generar rend</w:t>
      </w:r>
      <w:r w:rsidRPr="004A5F31">
        <w:rPr>
          <w:rFonts w:ascii="Bookman Old Style" w:hAnsi="Bookman Old Style" w:cs="Arial"/>
          <w:bCs/>
          <w:color w:val="auto"/>
          <w:szCs w:val="24"/>
          <w:shd w:val="clear" w:color="auto" w:fill="FFFFFF"/>
          <w:lang w:val="es-CO"/>
        </w:rPr>
        <w:t>i</w:t>
      </w:r>
      <w:r w:rsidRPr="004A5F31">
        <w:rPr>
          <w:rFonts w:ascii="Bookman Old Style" w:hAnsi="Bookman Old Style" w:cs="Arial"/>
          <w:bCs/>
          <w:color w:val="auto"/>
          <w:szCs w:val="24"/>
          <w:shd w:val="clear" w:color="auto" w:fill="FFFFFF"/>
          <w:lang w:val="es-CO"/>
        </w:rPr>
        <w:t>mientos financieros, es decir una inversión generadora de renta.</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De esta manera, el incremento de los avalúos catastrales se haría con base en el crecimiento del promedio de los cánones de arrendamiento y no con la d</w:t>
      </w:r>
      <w:r w:rsidRPr="004A5F31">
        <w:rPr>
          <w:rFonts w:ascii="Bookman Old Style" w:hAnsi="Bookman Old Style" w:cs="Arial"/>
          <w:bCs/>
          <w:color w:val="auto"/>
          <w:szCs w:val="24"/>
          <w:shd w:val="clear" w:color="auto" w:fill="FFFFFF"/>
          <w:lang w:val="es-CO"/>
        </w:rPr>
        <w:t>i</w:t>
      </w:r>
      <w:r w:rsidRPr="004A5F31">
        <w:rPr>
          <w:rFonts w:ascii="Bookman Old Style" w:hAnsi="Bookman Old Style" w:cs="Arial"/>
          <w:bCs/>
          <w:color w:val="auto"/>
          <w:szCs w:val="24"/>
          <w:shd w:val="clear" w:color="auto" w:fill="FFFFFF"/>
          <w:lang w:val="es-CO"/>
        </w:rPr>
        <w:t>námica de crecimiento basada en el mercado inmobiliario, que crece en mayor valor.</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autoSpaceDE w:val="0"/>
        <w:autoSpaceDN w:val="0"/>
        <w:adjustRightInd w:val="0"/>
        <w:jc w:val="center"/>
        <w:rPr>
          <w:rFonts w:ascii="Bookman Old Style" w:eastAsia="Calibri" w:hAnsi="Bookman Old Style" w:cs="Arial"/>
          <w:b/>
          <w:color w:val="auto"/>
          <w:szCs w:val="24"/>
          <w:lang w:val="es-CO" w:eastAsia="en-US"/>
        </w:rPr>
      </w:pPr>
      <w:r w:rsidRPr="004A5F31">
        <w:rPr>
          <w:rFonts w:ascii="Bookman Old Style" w:eastAsia="Calibri" w:hAnsi="Bookman Old Style" w:cs="Arial"/>
          <w:b/>
          <w:color w:val="auto"/>
          <w:szCs w:val="24"/>
          <w:lang w:val="es-CO" w:eastAsia="en-US"/>
        </w:rPr>
        <w:t>Variación anual del valor de los arriendos</w:t>
      </w:r>
    </w:p>
    <w:p w:rsidR="004A5F31" w:rsidRPr="004A5F31" w:rsidRDefault="004A5F31" w:rsidP="004A5F31">
      <w:pPr>
        <w:autoSpaceDE w:val="0"/>
        <w:autoSpaceDN w:val="0"/>
        <w:adjustRightInd w:val="0"/>
        <w:rPr>
          <w:rFonts w:ascii="Times New Roman" w:eastAsia="Calibri" w:hAnsi="Times New Roman"/>
          <w:color w:val="auto"/>
          <w:szCs w:val="24"/>
          <w:lang w:val="es-CO" w:eastAsia="en-US"/>
        </w:rPr>
      </w:pPr>
      <w:r w:rsidRPr="004A5F31">
        <w:rPr>
          <w:rFonts w:ascii="Calibri" w:eastAsia="Calibri" w:hAnsi="Calibri"/>
          <w:noProof/>
          <w:color w:val="auto"/>
          <w:sz w:val="22"/>
          <w:szCs w:val="22"/>
          <w:lang w:val="es-CO" w:eastAsia="es-CO"/>
        </w:rPr>
        <w:drawing>
          <wp:inline distT="0" distB="0" distL="0" distR="0" wp14:anchorId="588A5914" wp14:editId="4E883BBE">
            <wp:extent cx="5424218" cy="2311879"/>
            <wp:effectExtent l="19050" t="0" r="5032"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432340" cy="2315341"/>
                    </a:xfrm>
                    <a:prstGeom prst="rect">
                      <a:avLst/>
                    </a:prstGeom>
                  </pic:spPr>
                </pic:pic>
              </a:graphicData>
            </a:graphic>
          </wp:inline>
        </w:drawing>
      </w:r>
      <w:r w:rsidRPr="004A5F31">
        <w:rPr>
          <w:rFonts w:eastAsia="Calibri" w:cs="Arial"/>
          <w:color w:val="C00000"/>
          <w:sz w:val="20"/>
          <w:lang w:val="es-CO" w:eastAsia="en-US"/>
        </w:rPr>
        <w:t xml:space="preserve"> </w:t>
      </w:r>
    </w:p>
    <w:p w:rsidR="004A5F31" w:rsidRPr="004A5F31" w:rsidRDefault="004A5F31" w:rsidP="004A5F31">
      <w:pPr>
        <w:autoSpaceDE w:val="0"/>
        <w:autoSpaceDN w:val="0"/>
        <w:adjustRightInd w:val="0"/>
        <w:jc w:val="center"/>
        <w:rPr>
          <w:rFonts w:ascii="Bookman Old Style" w:eastAsia="Calibri" w:hAnsi="Bookman Old Style" w:cs="Arial"/>
          <w:i/>
          <w:sz w:val="18"/>
          <w:szCs w:val="18"/>
          <w:lang w:val="es-CO" w:eastAsia="en-US"/>
        </w:rPr>
      </w:pPr>
      <w:r w:rsidRPr="004A5F31">
        <w:rPr>
          <w:rFonts w:ascii="Bookman Old Style" w:eastAsia="Calibri" w:hAnsi="Bookman Old Style" w:cs="Arial"/>
          <w:i/>
          <w:sz w:val="18"/>
          <w:szCs w:val="18"/>
          <w:lang w:val="es-CO" w:eastAsia="en-US"/>
        </w:rPr>
        <w:t>Fuentes: La Galería Inmobiliaria y DANE; cálculos del Banco de la República</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 xml:space="preserve">Este alivio en la curva de crecimiento del avaluó del </w:t>
      </w:r>
      <w:r w:rsidRPr="004A5F31">
        <w:rPr>
          <w:rFonts w:ascii="Bookman Old Style" w:hAnsi="Bookman Old Style" w:cs="Arial"/>
          <w:bCs/>
          <w:i/>
          <w:color w:val="auto"/>
          <w:szCs w:val="24"/>
          <w:shd w:val="clear" w:color="auto" w:fill="FFFFFF"/>
          <w:lang w:val="es-CO"/>
        </w:rPr>
        <w:t xml:space="preserve">impuesto predial unificado </w:t>
      </w:r>
      <w:r w:rsidRPr="004A5F31">
        <w:rPr>
          <w:rFonts w:ascii="Bookman Old Style" w:hAnsi="Bookman Old Style" w:cs="Arial"/>
          <w:bCs/>
          <w:color w:val="auto"/>
          <w:szCs w:val="24"/>
          <w:shd w:val="clear" w:color="auto" w:fill="FFFFFF"/>
          <w:lang w:val="es-CO"/>
        </w:rPr>
        <w:t>es más acorde a las condiciones reales de productividad de los predios y coh</w:t>
      </w:r>
      <w:r w:rsidRPr="004A5F31">
        <w:rPr>
          <w:rFonts w:ascii="Bookman Old Style" w:hAnsi="Bookman Old Style" w:cs="Arial"/>
          <w:bCs/>
          <w:color w:val="auto"/>
          <w:szCs w:val="24"/>
          <w:shd w:val="clear" w:color="auto" w:fill="FFFFFF"/>
          <w:lang w:val="es-CO"/>
        </w:rPr>
        <w:t>e</w:t>
      </w:r>
      <w:r w:rsidRPr="004A5F31">
        <w:rPr>
          <w:rFonts w:ascii="Bookman Old Style" w:hAnsi="Bookman Old Style" w:cs="Arial"/>
          <w:bCs/>
          <w:color w:val="auto"/>
          <w:szCs w:val="24"/>
          <w:shd w:val="clear" w:color="auto" w:fill="FFFFFF"/>
          <w:lang w:val="es-CO"/>
        </w:rPr>
        <w:t xml:space="preserve">rente con las condiciones de crecimiento macroeconómico. La posibilidad del predio de ser arrendado </w:t>
      </w:r>
      <w:proofErr w:type="spellStart"/>
      <w:r w:rsidRPr="004A5F31">
        <w:rPr>
          <w:rFonts w:ascii="Bookman Old Style" w:hAnsi="Bookman Old Style" w:cs="Arial"/>
          <w:bCs/>
          <w:color w:val="auto"/>
          <w:szCs w:val="24"/>
          <w:shd w:val="clear" w:color="auto" w:fill="FFFFFF"/>
          <w:lang w:val="es-CO"/>
        </w:rPr>
        <w:t>reemplazaría</w:t>
      </w:r>
      <w:proofErr w:type="spellEnd"/>
      <w:r w:rsidRPr="004A5F31">
        <w:rPr>
          <w:rFonts w:ascii="Bookman Old Style" w:hAnsi="Bookman Old Style" w:cs="Arial"/>
          <w:bCs/>
          <w:color w:val="auto"/>
          <w:szCs w:val="24"/>
          <w:shd w:val="clear" w:color="auto" w:fill="FFFFFF"/>
          <w:lang w:val="es-CO"/>
        </w:rPr>
        <w:t xml:space="preserve"> al criterio de la posibilidad de ser vendido que se aplica en la actualidad para determinar el incremento de los avalúos c</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tastrales del predio.</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El monto máximo de un canon de arrendamiento está fijado por la ley en un 1% del valor del avalúo comercial del predio. Lo que equivale a una tasa efect</w:t>
      </w:r>
      <w:r w:rsidRPr="004A5F31">
        <w:rPr>
          <w:rFonts w:ascii="Bookman Old Style" w:hAnsi="Bookman Old Style" w:cs="Arial"/>
          <w:bCs/>
          <w:color w:val="auto"/>
          <w:szCs w:val="24"/>
          <w:shd w:val="clear" w:color="auto" w:fill="FFFFFF"/>
          <w:lang w:val="es-CO"/>
        </w:rPr>
        <w:t>i</w:t>
      </w:r>
      <w:r w:rsidRPr="004A5F31">
        <w:rPr>
          <w:rFonts w:ascii="Bookman Old Style" w:hAnsi="Bookman Old Style" w:cs="Arial"/>
          <w:bCs/>
          <w:color w:val="auto"/>
          <w:szCs w:val="24"/>
          <w:shd w:val="clear" w:color="auto" w:fill="FFFFFF"/>
          <w:lang w:val="es-CO"/>
        </w:rPr>
        <w:t>va anual del 12.7%, la cual es superior a la tasa de interés de  referencia del Banco de la República fijada en la actualidad en 4.5%.</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El porcentaje del avalúo comercial que los arrendatarios están dispuestos a p</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 xml:space="preserve">gar como canon de arrendamiento en determinada zona de la ciudad, marcaría el criterio del incremento del avalúo catastral de los inmuebles año a año para esa zona. </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Si bien esta opción es altamente favorable a los propósitos del presente proye</w:t>
      </w:r>
      <w:r w:rsidRPr="004A5F31">
        <w:rPr>
          <w:rFonts w:ascii="Bookman Old Style" w:hAnsi="Bookman Old Style" w:cs="Arial"/>
          <w:bCs/>
          <w:color w:val="auto"/>
          <w:szCs w:val="24"/>
          <w:shd w:val="clear" w:color="auto" w:fill="FFFFFF"/>
          <w:lang w:val="es-CO"/>
        </w:rPr>
        <w:t>c</w:t>
      </w:r>
      <w:r w:rsidRPr="004A5F31">
        <w:rPr>
          <w:rFonts w:ascii="Bookman Old Style" w:hAnsi="Bookman Old Style" w:cs="Arial"/>
          <w:bCs/>
          <w:color w:val="auto"/>
          <w:szCs w:val="24"/>
          <w:shd w:val="clear" w:color="auto" w:fill="FFFFFF"/>
          <w:lang w:val="es-CO"/>
        </w:rPr>
        <w:t>to, ha de ser claro que la competencia para acometer una modificación estru</w:t>
      </w:r>
      <w:r w:rsidRPr="004A5F31">
        <w:rPr>
          <w:rFonts w:ascii="Bookman Old Style" w:hAnsi="Bookman Old Style" w:cs="Arial"/>
          <w:bCs/>
          <w:color w:val="auto"/>
          <w:szCs w:val="24"/>
          <w:shd w:val="clear" w:color="auto" w:fill="FFFFFF"/>
          <w:lang w:val="es-CO"/>
        </w:rPr>
        <w:t>c</w:t>
      </w:r>
      <w:r w:rsidRPr="004A5F31">
        <w:rPr>
          <w:rFonts w:ascii="Bookman Old Style" w:hAnsi="Bookman Old Style" w:cs="Arial"/>
          <w:bCs/>
          <w:color w:val="auto"/>
          <w:szCs w:val="24"/>
          <w:shd w:val="clear" w:color="auto" w:fill="FFFFFF"/>
          <w:lang w:val="es-CO"/>
        </w:rPr>
        <w:t>tural del avalúo catastral es del legislador en virtud de la cláusula general de competencia prevista en el artículo 150 superior, norma que en su numeral 12 indicó que corresponde al Congreso “Establecer contribuciones fiscales y, e</w:t>
      </w:r>
      <w:r w:rsidRPr="004A5F31">
        <w:rPr>
          <w:rFonts w:ascii="Bookman Old Style" w:hAnsi="Bookman Old Style" w:cs="Arial"/>
          <w:bCs/>
          <w:color w:val="auto"/>
          <w:szCs w:val="24"/>
          <w:shd w:val="clear" w:color="auto" w:fill="FFFFFF"/>
          <w:lang w:val="es-CO"/>
        </w:rPr>
        <w:t>x</w:t>
      </w:r>
      <w:r w:rsidRPr="004A5F31">
        <w:rPr>
          <w:rFonts w:ascii="Bookman Old Style" w:hAnsi="Bookman Old Style" w:cs="Arial"/>
          <w:bCs/>
          <w:color w:val="auto"/>
          <w:szCs w:val="24"/>
          <w:shd w:val="clear" w:color="auto" w:fill="FFFFFF"/>
          <w:lang w:val="es-CO"/>
        </w:rPr>
        <w:t>cepcionalmente, contribuciones parafiscales en los casos y bajo las condiciones que establezca la ley”, lo cual indica que es al legislador a quien corresponde crear los tributos y las condiciones generales para su implementación por parte de las entidades territoriales. Por su parte, los artículos 287 y 313 ibídem, f</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 xml:space="preserve">cultaron a los concejos municipales para administrar sus recursos y establecer los tributos necesarios para el cumplimiento de sus funciones, </w:t>
      </w:r>
      <w:r w:rsidRPr="004A5F31">
        <w:rPr>
          <w:rFonts w:ascii="Bookman Old Style" w:hAnsi="Bookman Old Style" w:cs="Arial"/>
          <w:bCs/>
          <w:color w:val="auto"/>
          <w:szCs w:val="24"/>
          <w:u w:val="single"/>
          <w:shd w:val="clear" w:color="auto" w:fill="FFFFFF"/>
          <w:lang w:val="es-CO"/>
        </w:rPr>
        <w:t>siempre y cuando la determinación de los mismos corresponda al marco previamente d</w:t>
      </w:r>
      <w:r w:rsidRPr="004A5F31">
        <w:rPr>
          <w:rFonts w:ascii="Bookman Old Style" w:hAnsi="Bookman Old Style" w:cs="Arial"/>
          <w:bCs/>
          <w:color w:val="auto"/>
          <w:szCs w:val="24"/>
          <w:u w:val="single"/>
          <w:shd w:val="clear" w:color="auto" w:fill="FFFFFF"/>
          <w:lang w:val="es-CO"/>
        </w:rPr>
        <w:t>e</w:t>
      </w:r>
      <w:r w:rsidRPr="004A5F31">
        <w:rPr>
          <w:rFonts w:ascii="Bookman Old Style" w:hAnsi="Bookman Old Style" w:cs="Arial"/>
          <w:bCs/>
          <w:color w:val="auto"/>
          <w:szCs w:val="24"/>
          <w:u w:val="single"/>
          <w:shd w:val="clear" w:color="auto" w:fill="FFFFFF"/>
          <w:lang w:val="es-CO"/>
        </w:rPr>
        <w:t>terminado por el legislador</w:t>
      </w:r>
      <w:r w:rsidRPr="004A5F31">
        <w:rPr>
          <w:rFonts w:ascii="Bookman Old Style" w:hAnsi="Bookman Old Style" w:cs="Arial"/>
          <w:bCs/>
          <w:color w:val="auto"/>
          <w:szCs w:val="24"/>
          <w:shd w:val="clear" w:color="auto" w:fill="FFFFFF"/>
          <w:lang w:val="es-CO"/>
        </w:rPr>
        <w:t xml:space="preserve"> en desarrollo del principio de legalidad tributaria.</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numPr>
          <w:ilvl w:val="1"/>
          <w:numId w:val="6"/>
        </w:numPr>
        <w:spacing w:line="259" w:lineRule="auto"/>
        <w:ind w:right="51"/>
        <w:jc w:val="both"/>
        <w:rPr>
          <w:rFonts w:ascii="Bookman Old Style" w:hAnsi="Bookman Old Style" w:cs="Arial"/>
          <w:b/>
          <w:bCs/>
          <w:color w:val="auto"/>
          <w:szCs w:val="24"/>
          <w:shd w:val="clear" w:color="auto" w:fill="FFFFFF"/>
          <w:lang w:val="es-CO"/>
        </w:rPr>
      </w:pPr>
      <w:r w:rsidRPr="004A5F31">
        <w:rPr>
          <w:rFonts w:ascii="Bookman Old Style" w:hAnsi="Bookman Old Style" w:cs="Arial"/>
          <w:b/>
          <w:bCs/>
          <w:color w:val="auto"/>
          <w:szCs w:val="24"/>
          <w:u w:val="single"/>
          <w:shd w:val="clear" w:color="auto" w:fill="FFFFFF"/>
          <w:lang w:val="es-CO"/>
        </w:rPr>
        <w:t>PROPUESTA 2</w:t>
      </w:r>
      <w:r w:rsidRPr="004A5F31">
        <w:rPr>
          <w:rFonts w:ascii="Bookman Old Style" w:hAnsi="Bookman Old Style" w:cs="Arial"/>
          <w:b/>
          <w:bCs/>
          <w:color w:val="auto"/>
          <w:szCs w:val="24"/>
          <w:shd w:val="clear" w:color="auto" w:fill="FFFFFF"/>
          <w:lang w:val="es-CO"/>
        </w:rPr>
        <w:t>. Disminuir la tarifa en el 0.5 por mil (1000) del Impuesto Predial Unificado para los contribuyentes con único pr</w:t>
      </w:r>
      <w:r w:rsidRPr="004A5F31">
        <w:rPr>
          <w:rFonts w:ascii="Bookman Old Style" w:hAnsi="Bookman Old Style" w:cs="Arial"/>
          <w:b/>
          <w:bCs/>
          <w:color w:val="auto"/>
          <w:szCs w:val="24"/>
          <w:shd w:val="clear" w:color="auto" w:fill="FFFFFF"/>
          <w:lang w:val="es-CO"/>
        </w:rPr>
        <w:t>e</w:t>
      </w:r>
      <w:r w:rsidRPr="004A5F31">
        <w:rPr>
          <w:rFonts w:ascii="Bookman Old Style" w:hAnsi="Bookman Old Style" w:cs="Arial"/>
          <w:b/>
          <w:bCs/>
          <w:color w:val="auto"/>
          <w:szCs w:val="24"/>
          <w:shd w:val="clear" w:color="auto" w:fill="FFFFFF"/>
          <w:lang w:val="es-CO"/>
        </w:rPr>
        <w:t>dio residencial y aumentar en igual proporción para los contrib</w:t>
      </w:r>
      <w:r w:rsidRPr="004A5F31">
        <w:rPr>
          <w:rFonts w:ascii="Bookman Old Style" w:hAnsi="Bookman Old Style" w:cs="Arial"/>
          <w:b/>
          <w:bCs/>
          <w:color w:val="auto"/>
          <w:szCs w:val="24"/>
          <w:shd w:val="clear" w:color="auto" w:fill="FFFFFF"/>
          <w:lang w:val="es-CO"/>
        </w:rPr>
        <w:t>u</w:t>
      </w:r>
      <w:r w:rsidRPr="004A5F31">
        <w:rPr>
          <w:rFonts w:ascii="Bookman Old Style" w:hAnsi="Bookman Old Style" w:cs="Arial"/>
          <w:b/>
          <w:bCs/>
          <w:color w:val="auto"/>
          <w:szCs w:val="24"/>
          <w:shd w:val="clear" w:color="auto" w:fill="FFFFFF"/>
          <w:lang w:val="es-CO"/>
        </w:rPr>
        <w:t>yentes con más de un predio.</w:t>
      </w:r>
    </w:p>
    <w:p w:rsidR="004A5F31" w:rsidRPr="004A5F31" w:rsidRDefault="004A5F31" w:rsidP="004A5F31">
      <w:pPr>
        <w:ind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Sea lo primero recordar, que de conformidad con la estructura tributaria vige</w:t>
      </w:r>
      <w:r w:rsidRPr="004A5F31">
        <w:rPr>
          <w:rFonts w:ascii="Bookman Old Style" w:hAnsi="Bookman Old Style" w:cs="Arial"/>
          <w:bCs/>
          <w:color w:val="auto"/>
          <w:szCs w:val="24"/>
          <w:shd w:val="clear" w:color="auto" w:fill="FFFFFF"/>
          <w:lang w:val="es-CO"/>
        </w:rPr>
        <w:t>n</w:t>
      </w:r>
      <w:r w:rsidRPr="004A5F31">
        <w:rPr>
          <w:rFonts w:ascii="Bookman Old Style" w:hAnsi="Bookman Old Style" w:cs="Arial"/>
          <w:bCs/>
          <w:color w:val="auto"/>
          <w:szCs w:val="24"/>
          <w:shd w:val="clear" w:color="auto" w:fill="FFFFFF"/>
          <w:lang w:val="es-CO"/>
        </w:rPr>
        <w:t xml:space="preserve">te, el hecho generador del </w:t>
      </w:r>
      <w:r w:rsidRPr="004A5F31">
        <w:rPr>
          <w:rFonts w:ascii="Bookman Old Style" w:hAnsi="Bookman Old Style" w:cs="Arial"/>
          <w:bCs/>
          <w:i/>
          <w:color w:val="auto"/>
          <w:szCs w:val="24"/>
          <w:shd w:val="clear" w:color="auto" w:fill="FFFFFF"/>
          <w:lang w:val="es-CO"/>
        </w:rPr>
        <w:t>Impuesto Predial Unificado</w:t>
      </w:r>
      <w:r w:rsidRPr="004A5F31">
        <w:rPr>
          <w:rFonts w:ascii="Bookman Old Style" w:hAnsi="Bookman Old Style" w:cs="Arial"/>
          <w:bCs/>
          <w:color w:val="auto"/>
          <w:szCs w:val="24"/>
          <w:shd w:val="clear" w:color="auto" w:fill="FFFFFF"/>
          <w:lang w:val="es-CO"/>
        </w:rPr>
        <w:t xml:space="preserve">, a diferencia del Impuesto de Renta, no recae sobre la capacidad de pago del contribuyente. </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Por el contrario, conforme lo ha expresado el Consejo de Estado “…el impuesto predial unificado es un gravamen que recae sobre los bienes raíces ubicados en la jurisdicción territorial de los municipios. En el Distrito Capital de Bogotá, el impuesto está regulado por el Decreto 352 de 2002, según el cual, el tributo se genera por la existencia de inmuebles dentro de la jurisdicción del Distrito y se causa el 1° de enero del respectivo año gravable…”</w:t>
      </w:r>
      <w:r w:rsidRPr="004A5F31">
        <w:rPr>
          <w:rFonts w:ascii="Bookman Old Style" w:hAnsi="Bookman Old Style" w:cs="Arial"/>
          <w:bCs/>
          <w:color w:val="auto"/>
          <w:szCs w:val="24"/>
          <w:shd w:val="clear" w:color="auto" w:fill="FFFFFF"/>
          <w:vertAlign w:val="superscript"/>
          <w:lang w:val="es-CO"/>
        </w:rPr>
        <w:footnoteReference w:id="1"/>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Sobre el particular, la Corte Constitucional en sentencia C-876 de 2002 M.P. Álvaro Tafur Galvis, precisó: “[…] El sujeto pasivo del impuesto predial es ind</w:t>
      </w:r>
      <w:r w:rsidRPr="004A5F31">
        <w:rPr>
          <w:rFonts w:ascii="Bookman Old Style" w:hAnsi="Bookman Old Style" w:cs="Arial"/>
          <w:bCs/>
          <w:color w:val="auto"/>
          <w:szCs w:val="24"/>
          <w:shd w:val="clear" w:color="auto" w:fill="FFFFFF"/>
          <w:lang w:val="es-CO"/>
        </w:rPr>
        <w:t>e</w:t>
      </w:r>
      <w:r w:rsidRPr="004A5F31">
        <w:rPr>
          <w:rFonts w:ascii="Bookman Old Style" w:hAnsi="Bookman Old Style" w:cs="Arial"/>
          <w:bCs/>
          <w:color w:val="auto"/>
          <w:szCs w:val="24"/>
          <w:shd w:val="clear" w:color="auto" w:fill="FFFFFF"/>
          <w:lang w:val="es-CO"/>
        </w:rPr>
        <w:t xml:space="preserve">terminado (propietario pleno, poseedor, usufructuario, nudo propietario etc., quien pague el impuesto no puede alegar pago de lo no debido)”. </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En este sentido, el Consejo de Estado precisó, que “…la naturaleza de la obl</w:t>
      </w:r>
      <w:r w:rsidRPr="004A5F31">
        <w:rPr>
          <w:rFonts w:ascii="Bookman Old Style" w:hAnsi="Bookman Old Style" w:cs="Arial"/>
          <w:bCs/>
          <w:color w:val="auto"/>
          <w:szCs w:val="24"/>
          <w:shd w:val="clear" w:color="auto" w:fill="FFFFFF"/>
          <w:lang w:val="es-CO"/>
        </w:rPr>
        <w:t>i</w:t>
      </w:r>
      <w:r w:rsidRPr="004A5F31">
        <w:rPr>
          <w:rFonts w:ascii="Bookman Old Style" w:hAnsi="Bookman Old Style" w:cs="Arial"/>
          <w:bCs/>
          <w:color w:val="auto"/>
          <w:szCs w:val="24"/>
          <w:shd w:val="clear" w:color="auto" w:fill="FFFFFF"/>
          <w:lang w:val="es-CO"/>
        </w:rPr>
        <w:t xml:space="preserve">gación que surge del impuesto predial, es de las conocidas como </w:t>
      </w:r>
      <w:proofErr w:type="spellStart"/>
      <w:r w:rsidRPr="004A5F31">
        <w:rPr>
          <w:rFonts w:ascii="Bookman Old Style" w:hAnsi="Bookman Old Style" w:cs="Arial"/>
          <w:bCs/>
          <w:i/>
          <w:color w:val="auto"/>
          <w:szCs w:val="24"/>
          <w:shd w:val="clear" w:color="auto" w:fill="FFFFFF"/>
          <w:lang w:val="es-CO"/>
        </w:rPr>
        <w:t>propter</w:t>
      </w:r>
      <w:proofErr w:type="spellEnd"/>
      <w:r w:rsidRPr="004A5F31">
        <w:rPr>
          <w:rFonts w:ascii="Bookman Old Style" w:hAnsi="Bookman Old Style" w:cs="Arial"/>
          <w:bCs/>
          <w:i/>
          <w:color w:val="auto"/>
          <w:szCs w:val="24"/>
          <w:shd w:val="clear" w:color="auto" w:fill="FFFFFF"/>
          <w:lang w:val="es-CO"/>
        </w:rPr>
        <w:t xml:space="preserve"> rem</w:t>
      </w:r>
      <w:r w:rsidRPr="004A5F31">
        <w:rPr>
          <w:rFonts w:ascii="Bookman Old Style" w:hAnsi="Bookman Old Style" w:cs="Arial"/>
          <w:bCs/>
          <w:color w:val="auto"/>
          <w:szCs w:val="24"/>
          <w:shd w:val="clear" w:color="auto" w:fill="FFFFFF"/>
          <w:lang w:val="es-CO"/>
        </w:rPr>
        <w:t>, es decir, se genera para el contribuyente una prestación de dar, por su vinc</w:t>
      </w:r>
      <w:r w:rsidRPr="004A5F31">
        <w:rPr>
          <w:rFonts w:ascii="Bookman Old Style" w:hAnsi="Bookman Old Style" w:cs="Arial"/>
          <w:bCs/>
          <w:color w:val="auto"/>
          <w:szCs w:val="24"/>
          <w:shd w:val="clear" w:color="auto" w:fill="FFFFFF"/>
          <w:lang w:val="es-CO"/>
        </w:rPr>
        <w:t>u</w:t>
      </w:r>
      <w:r w:rsidRPr="004A5F31">
        <w:rPr>
          <w:rFonts w:ascii="Bookman Old Style" w:hAnsi="Bookman Old Style" w:cs="Arial"/>
          <w:bCs/>
          <w:color w:val="auto"/>
          <w:szCs w:val="24"/>
          <w:shd w:val="clear" w:color="auto" w:fill="FFFFFF"/>
          <w:lang w:val="es-CO"/>
        </w:rPr>
        <w:t>lación a un derecho real o a un inmueble y sólo en razón de ello.  En otras p</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labras, la obligación nace para el sujeto pasivo del impuesto en función de un derecho real…”</w:t>
      </w:r>
      <w:r w:rsidRPr="004A5F31">
        <w:rPr>
          <w:rFonts w:ascii="Bookman Old Style" w:hAnsi="Bookman Old Style" w:cs="Arial"/>
          <w:bCs/>
          <w:color w:val="auto"/>
          <w:szCs w:val="24"/>
          <w:shd w:val="clear" w:color="auto" w:fill="FFFFFF"/>
          <w:vertAlign w:val="superscript"/>
          <w:lang w:val="es-CO"/>
        </w:rPr>
        <w:footnoteReference w:id="2"/>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Siendo entonces esta la realidad del tributo surge una permanente inquietud frente al hecho que un gran número de bogotanos tienen sus predios únic</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mente como vivienda familiar, sin otra pretensión que la de desarrollar allí su vida y las de sus familias de manera habitual, con lo cual permanecen ajenos a la condición de participantes del mercado inmobiliario, bien como vendedores o especuladores, y por ende no derivan de dicha propiedad o posesión ninguna utilidad que acrecenté su patrimonio personal.</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 xml:space="preserve">No obstante lo anterior, estos contribuyentes del </w:t>
      </w:r>
      <w:r w:rsidRPr="004A5F31">
        <w:rPr>
          <w:rFonts w:ascii="Bookman Old Style" w:hAnsi="Bookman Old Style" w:cs="Arial"/>
          <w:bCs/>
          <w:i/>
          <w:color w:val="auto"/>
          <w:szCs w:val="24"/>
          <w:shd w:val="clear" w:color="auto" w:fill="FFFFFF"/>
          <w:lang w:val="es-CO"/>
        </w:rPr>
        <w:t>impuesto predial unificado</w:t>
      </w:r>
      <w:r w:rsidRPr="004A5F31">
        <w:rPr>
          <w:rFonts w:ascii="Bookman Old Style" w:hAnsi="Bookman Old Style" w:cs="Arial"/>
          <w:bCs/>
          <w:color w:val="auto"/>
          <w:szCs w:val="24"/>
          <w:shd w:val="clear" w:color="auto" w:fill="FFFFFF"/>
          <w:lang w:val="es-CO"/>
        </w:rPr>
        <w:t xml:space="preserve"> se ven seriamente afectados al pagar este tributo, cuando su única fuente de i</w:t>
      </w:r>
      <w:r w:rsidRPr="004A5F31">
        <w:rPr>
          <w:rFonts w:ascii="Bookman Old Style" w:hAnsi="Bookman Old Style" w:cs="Arial"/>
          <w:bCs/>
          <w:color w:val="auto"/>
          <w:szCs w:val="24"/>
          <w:shd w:val="clear" w:color="auto" w:fill="FFFFFF"/>
          <w:lang w:val="es-CO"/>
        </w:rPr>
        <w:t>n</w:t>
      </w:r>
      <w:r w:rsidRPr="004A5F31">
        <w:rPr>
          <w:rFonts w:ascii="Bookman Old Style" w:hAnsi="Bookman Old Style" w:cs="Arial"/>
          <w:bCs/>
          <w:color w:val="auto"/>
          <w:szCs w:val="24"/>
          <w:shd w:val="clear" w:color="auto" w:fill="FFFFFF"/>
          <w:lang w:val="es-CO"/>
        </w:rPr>
        <w:t>gresos depende de un salario mensual o de una pensión, ya que ésta jamás crece a la par del predial.</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Es claro que el impuesto predial al estar ligado a la dinámica inmobiliaria de la ciudad, siempre creciente, afecta de manera regresiva al contribuyente que c</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rece de otras fuentes de ingresos distintos a su sueldo o pensión, convirtiendo cada año la carga impositiva  en un pesado lastre que mengua la calidad de v</w:t>
      </w:r>
      <w:r w:rsidRPr="004A5F31">
        <w:rPr>
          <w:rFonts w:ascii="Bookman Old Style" w:hAnsi="Bookman Old Style" w:cs="Arial"/>
          <w:bCs/>
          <w:color w:val="auto"/>
          <w:szCs w:val="24"/>
          <w:shd w:val="clear" w:color="auto" w:fill="FFFFFF"/>
          <w:lang w:val="es-CO"/>
        </w:rPr>
        <w:t>i</w:t>
      </w:r>
      <w:r w:rsidRPr="004A5F31">
        <w:rPr>
          <w:rFonts w:ascii="Bookman Old Style" w:hAnsi="Bookman Old Style" w:cs="Arial"/>
          <w:bCs/>
          <w:color w:val="auto"/>
          <w:szCs w:val="24"/>
          <w:shd w:val="clear" w:color="auto" w:fill="FFFFFF"/>
          <w:lang w:val="es-CO"/>
        </w:rPr>
        <w:t>da de estas personas.</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 xml:space="preserve">Esta cruda realidad, palpable y </w:t>
      </w:r>
      <w:proofErr w:type="spellStart"/>
      <w:r w:rsidRPr="004A5F31">
        <w:rPr>
          <w:rFonts w:ascii="Bookman Old Style" w:hAnsi="Bookman Old Style" w:cs="Arial"/>
          <w:bCs/>
          <w:color w:val="auto"/>
          <w:szCs w:val="24"/>
          <w:shd w:val="clear" w:color="auto" w:fill="FFFFFF"/>
          <w:lang w:val="es-CO"/>
        </w:rPr>
        <w:t>corroborable</w:t>
      </w:r>
      <w:proofErr w:type="spellEnd"/>
      <w:r w:rsidRPr="004A5F31">
        <w:rPr>
          <w:rFonts w:ascii="Bookman Old Style" w:hAnsi="Bookman Old Style" w:cs="Arial"/>
          <w:bCs/>
          <w:color w:val="auto"/>
          <w:szCs w:val="24"/>
          <w:shd w:val="clear" w:color="auto" w:fill="FFFFFF"/>
          <w:lang w:val="es-CO"/>
        </w:rPr>
        <w:t xml:space="preserve">, avanza claramente en contravía de lo preceptuado en el artículo  363 de la Carta Política que establece que “El sistema tributario se funda en los principios de </w:t>
      </w:r>
      <w:r w:rsidRPr="004A5F31">
        <w:rPr>
          <w:rFonts w:ascii="Bookman Old Style" w:hAnsi="Bookman Old Style" w:cs="Arial"/>
          <w:bCs/>
          <w:color w:val="auto"/>
          <w:szCs w:val="24"/>
          <w:u w:val="single"/>
          <w:shd w:val="clear" w:color="auto" w:fill="FFFFFF"/>
          <w:lang w:val="es-CO"/>
        </w:rPr>
        <w:t>equidad</w:t>
      </w:r>
      <w:r w:rsidRPr="004A5F31">
        <w:rPr>
          <w:rFonts w:ascii="Bookman Old Style" w:hAnsi="Bookman Old Style" w:cs="Arial"/>
          <w:bCs/>
          <w:color w:val="auto"/>
          <w:szCs w:val="24"/>
          <w:shd w:val="clear" w:color="auto" w:fill="FFFFFF"/>
          <w:lang w:val="es-CO"/>
        </w:rPr>
        <w:t xml:space="preserve">, eficiencia y </w:t>
      </w:r>
      <w:r w:rsidRPr="004A5F31">
        <w:rPr>
          <w:rFonts w:ascii="Bookman Old Style" w:hAnsi="Bookman Old Style" w:cs="Arial"/>
          <w:bCs/>
          <w:color w:val="auto"/>
          <w:szCs w:val="24"/>
          <w:u w:val="single"/>
          <w:shd w:val="clear" w:color="auto" w:fill="FFFFFF"/>
          <w:lang w:val="es-CO"/>
        </w:rPr>
        <w:t>progres</w:t>
      </w:r>
      <w:r w:rsidRPr="004A5F31">
        <w:rPr>
          <w:rFonts w:ascii="Bookman Old Style" w:hAnsi="Bookman Old Style" w:cs="Arial"/>
          <w:bCs/>
          <w:color w:val="auto"/>
          <w:szCs w:val="24"/>
          <w:u w:val="single"/>
          <w:shd w:val="clear" w:color="auto" w:fill="FFFFFF"/>
          <w:lang w:val="es-CO"/>
        </w:rPr>
        <w:t>i</w:t>
      </w:r>
      <w:r w:rsidRPr="004A5F31">
        <w:rPr>
          <w:rFonts w:ascii="Bookman Old Style" w:hAnsi="Bookman Old Style" w:cs="Arial"/>
          <w:bCs/>
          <w:color w:val="auto"/>
          <w:szCs w:val="24"/>
          <w:u w:val="single"/>
          <w:shd w:val="clear" w:color="auto" w:fill="FFFFFF"/>
          <w:lang w:val="es-CO"/>
        </w:rPr>
        <w:t>vidad</w:t>
      </w:r>
      <w:r w:rsidRPr="004A5F31">
        <w:rPr>
          <w:rFonts w:ascii="Bookman Old Style" w:hAnsi="Bookman Old Style" w:cs="Arial"/>
          <w:bCs/>
          <w:color w:val="auto"/>
          <w:szCs w:val="24"/>
          <w:shd w:val="clear" w:color="auto" w:fill="FFFFFF"/>
          <w:lang w:val="es-CO"/>
        </w:rPr>
        <w:t>…”, los cuales evidentemente no se cumplen para estos casos.</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Por tal razón, esta propuesta busca beneficiar a aquel grupo de contribuyentes cuyo único predio tiene como finalidad, no la renta, sino la vivienda familiar habitual, de manera que para ellos se aplique una reducción tarifaria de 0.5 por mil (o/</w:t>
      </w:r>
      <w:proofErr w:type="spellStart"/>
      <w:r w:rsidRPr="004A5F31">
        <w:rPr>
          <w:rFonts w:ascii="Bookman Old Style" w:hAnsi="Bookman Old Style" w:cs="Arial"/>
          <w:bCs/>
          <w:color w:val="auto"/>
          <w:szCs w:val="24"/>
          <w:shd w:val="clear" w:color="auto" w:fill="FFFFFF"/>
          <w:lang w:val="es-CO"/>
        </w:rPr>
        <w:t>oo</w:t>
      </w:r>
      <w:proofErr w:type="spellEnd"/>
      <w:r w:rsidRPr="004A5F31">
        <w:rPr>
          <w:rFonts w:ascii="Bookman Old Style" w:hAnsi="Bookman Old Style" w:cs="Arial"/>
          <w:bCs/>
          <w:color w:val="auto"/>
          <w:szCs w:val="24"/>
          <w:shd w:val="clear" w:color="auto" w:fill="FFFFFF"/>
          <w:lang w:val="es-CO"/>
        </w:rPr>
        <w:t>)</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Es claro que con esta modificación no se solucionan las precarias arcas fam</w:t>
      </w:r>
      <w:r w:rsidRPr="004A5F31">
        <w:rPr>
          <w:rFonts w:ascii="Bookman Old Style" w:hAnsi="Bookman Old Style" w:cs="Arial"/>
          <w:bCs/>
          <w:color w:val="auto"/>
          <w:szCs w:val="24"/>
          <w:shd w:val="clear" w:color="auto" w:fill="FFFFFF"/>
          <w:lang w:val="es-CO"/>
        </w:rPr>
        <w:t>i</w:t>
      </w:r>
      <w:r w:rsidRPr="004A5F31">
        <w:rPr>
          <w:rFonts w:ascii="Bookman Old Style" w:hAnsi="Bookman Old Style" w:cs="Arial"/>
          <w:bCs/>
          <w:color w:val="auto"/>
          <w:szCs w:val="24"/>
          <w:shd w:val="clear" w:color="auto" w:fill="FFFFFF"/>
          <w:lang w:val="es-CO"/>
        </w:rPr>
        <w:t>liares de este grupo de contribuyentes, pero si ayuda a aliviar la carga a futuro que, año a año, ha venido aumentando en su contra, buscando atenuarla de manera constante, por cuanto ellos tan solo son meros espectadores del me</w:t>
      </w:r>
      <w:r w:rsidRPr="004A5F31">
        <w:rPr>
          <w:rFonts w:ascii="Bookman Old Style" w:hAnsi="Bookman Old Style" w:cs="Arial"/>
          <w:bCs/>
          <w:color w:val="auto"/>
          <w:szCs w:val="24"/>
          <w:shd w:val="clear" w:color="auto" w:fill="FFFFFF"/>
          <w:lang w:val="es-CO"/>
        </w:rPr>
        <w:t>r</w:t>
      </w:r>
      <w:r w:rsidRPr="004A5F31">
        <w:rPr>
          <w:rFonts w:ascii="Bookman Old Style" w:hAnsi="Bookman Old Style" w:cs="Arial"/>
          <w:bCs/>
          <w:color w:val="auto"/>
          <w:szCs w:val="24"/>
          <w:shd w:val="clear" w:color="auto" w:fill="FFFFFF"/>
          <w:lang w:val="es-CO"/>
        </w:rPr>
        <w:t>cado inmobiliario – testigos mudos de la especulación financiera- que les afecta gravosamente sin obtener ningún beneficio a cambio.</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Con el objetivo de que esta propuesta que busca garantizar la efectividad de los principios de equidad y progresividad tributaria no afecte negativamente los i</w:t>
      </w:r>
      <w:r w:rsidRPr="004A5F31">
        <w:rPr>
          <w:rFonts w:ascii="Bookman Old Style" w:hAnsi="Bookman Old Style" w:cs="Arial"/>
          <w:bCs/>
          <w:color w:val="auto"/>
          <w:szCs w:val="24"/>
          <w:shd w:val="clear" w:color="auto" w:fill="FFFFFF"/>
          <w:lang w:val="es-CO"/>
        </w:rPr>
        <w:t>n</w:t>
      </w:r>
      <w:r w:rsidRPr="004A5F31">
        <w:rPr>
          <w:rFonts w:ascii="Bookman Old Style" w:hAnsi="Bookman Old Style" w:cs="Arial"/>
          <w:bCs/>
          <w:color w:val="auto"/>
          <w:szCs w:val="24"/>
          <w:shd w:val="clear" w:color="auto" w:fill="FFFFFF"/>
          <w:lang w:val="es-CO"/>
        </w:rPr>
        <w:t>gresos corrientes del Distrito Capital, se propone a la par de la disminución s</w:t>
      </w:r>
      <w:r w:rsidRPr="004A5F31">
        <w:rPr>
          <w:rFonts w:ascii="Bookman Old Style" w:hAnsi="Bookman Old Style" w:cs="Arial"/>
          <w:bCs/>
          <w:color w:val="auto"/>
          <w:szCs w:val="24"/>
          <w:shd w:val="clear" w:color="auto" w:fill="FFFFFF"/>
          <w:lang w:val="es-CO"/>
        </w:rPr>
        <w:t>e</w:t>
      </w:r>
      <w:r w:rsidRPr="004A5F31">
        <w:rPr>
          <w:rFonts w:ascii="Bookman Old Style" w:hAnsi="Bookman Old Style" w:cs="Arial"/>
          <w:bCs/>
          <w:color w:val="auto"/>
          <w:szCs w:val="24"/>
          <w:shd w:val="clear" w:color="auto" w:fill="FFFFFF"/>
          <w:lang w:val="es-CO"/>
        </w:rPr>
        <w:t>ñalada, efectuar un incremento de la tarifa en el 0.5 por mil (o/</w:t>
      </w:r>
      <w:proofErr w:type="spellStart"/>
      <w:r w:rsidRPr="004A5F31">
        <w:rPr>
          <w:rFonts w:ascii="Bookman Old Style" w:hAnsi="Bookman Old Style" w:cs="Arial"/>
          <w:bCs/>
          <w:color w:val="auto"/>
          <w:szCs w:val="24"/>
          <w:shd w:val="clear" w:color="auto" w:fill="FFFFFF"/>
          <w:lang w:val="es-CO"/>
        </w:rPr>
        <w:t>oo</w:t>
      </w:r>
      <w:proofErr w:type="spellEnd"/>
      <w:r w:rsidRPr="004A5F31">
        <w:rPr>
          <w:rFonts w:ascii="Bookman Old Style" w:hAnsi="Bookman Old Style" w:cs="Arial"/>
          <w:bCs/>
          <w:color w:val="auto"/>
          <w:szCs w:val="24"/>
          <w:shd w:val="clear" w:color="auto" w:fill="FFFFFF"/>
          <w:lang w:val="es-CO"/>
        </w:rPr>
        <w:t>) del Impue</w:t>
      </w:r>
      <w:r w:rsidRPr="004A5F31">
        <w:rPr>
          <w:rFonts w:ascii="Bookman Old Style" w:hAnsi="Bookman Old Style" w:cs="Arial"/>
          <w:bCs/>
          <w:color w:val="auto"/>
          <w:szCs w:val="24"/>
          <w:shd w:val="clear" w:color="auto" w:fill="FFFFFF"/>
          <w:lang w:val="es-CO"/>
        </w:rPr>
        <w:t>s</w:t>
      </w:r>
      <w:r w:rsidRPr="004A5F31">
        <w:rPr>
          <w:rFonts w:ascii="Bookman Old Style" w:hAnsi="Bookman Old Style" w:cs="Arial"/>
          <w:bCs/>
          <w:color w:val="auto"/>
          <w:szCs w:val="24"/>
          <w:shd w:val="clear" w:color="auto" w:fill="FFFFFF"/>
          <w:lang w:val="es-CO"/>
        </w:rPr>
        <w:t>to Predial Unificado para los contribuyentes con más de un predio, indepe</w:t>
      </w:r>
      <w:r w:rsidRPr="004A5F31">
        <w:rPr>
          <w:rFonts w:ascii="Bookman Old Style" w:hAnsi="Bookman Old Style" w:cs="Arial"/>
          <w:bCs/>
          <w:color w:val="auto"/>
          <w:szCs w:val="24"/>
          <w:shd w:val="clear" w:color="auto" w:fill="FFFFFF"/>
          <w:lang w:val="es-CO"/>
        </w:rPr>
        <w:t>n</w:t>
      </w:r>
      <w:r w:rsidRPr="004A5F31">
        <w:rPr>
          <w:rFonts w:ascii="Bookman Old Style" w:hAnsi="Bookman Old Style" w:cs="Arial"/>
          <w:bCs/>
          <w:color w:val="auto"/>
          <w:szCs w:val="24"/>
          <w:shd w:val="clear" w:color="auto" w:fill="FFFFFF"/>
          <w:lang w:val="es-CO"/>
        </w:rPr>
        <w:t>dientemente de la categoría en la cual se clasifiquen los mismos.</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Esta propuesta implica:</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numPr>
          <w:ilvl w:val="0"/>
          <w:numId w:val="7"/>
        </w:numPr>
        <w:spacing w:line="259" w:lineRule="auto"/>
        <w:ind w:right="51"/>
        <w:contextualSpacing/>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Identificar y clasificar a los contribuyentes entre “</w:t>
      </w:r>
      <w:proofErr w:type="spellStart"/>
      <w:r w:rsidRPr="004A5F31">
        <w:rPr>
          <w:rFonts w:ascii="Bookman Old Style" w:hAnsi="Bookman Old Style" w:cs="Arial"/>
          <w:bCs/>
          <w:color w:val="auto"/>
          <w:szCs w:val="24"/>
          <w:u w:val="single"/>
          <w:shd w:val="clear" w:color="auto" w:fill="FFFFFF"/>
          <w:lang w:val="es-CO"/>
        </w:rPr>
        <w:t>monopropiet</w:t>
      </w:r>
      <w:r w:rsidRPr="004A5F31">
        <w:rPr>
          <w:rFonts w:ascii="Bookman Old Style" w:hAnsi="Bookman Old Style" w:cs="Arial"/>
          <w:bCs/>
          <w:color w:val="auto"/>
          <w:szCs w:val="24"/>
          <w:u w:val="single"/>
          <w:shd w:val="clear" w:color="auto" w:fill="FFFFFF"/>
          <w:lang w:val="es-CO"/>
        </w:rPr>
        <w:t>a</w:t>
      </w:r>
      <w:r w:rsidRPr="004A5F31">
        <w:rPr>
          <w:rFonts w:ascii="Bookman Old Style" w:hAnsi="Bookman Old Style" w:cs="Arial"/>
          <w:bCs/>
          <w:color w:val="auto"/>
          <w:szCs w:val="24"/>
          <w:u w:val="single"/>
          <w:shd w:val="clear" w:color="auto" w:fill="FFFFFF"/>
          <w:lang w:val="es-CO"/>
        </w:rPr>
        <w:t>rios</w:t>
      </w:r>
      <w:proofErr w:type="spellEnd"/>
      <w:r w:rsidRPr="004A5F31">
        <w:rPr>
          <w:rFonts w:ascii="Bookman Old Style" w:hAnsi="Bookman Old Style" w:cs="Arial"/>
          <w:bCs/>
          <w:color w:val="auto"/>
          <w:szCs w:val="24"/>
          <w:shd w:val="clear" w:color="auto" w:fill="FFFFFF"/>
          <w:lang w:val="es-CO"/>
        </w:rPr>
        <w:t>” y “</w:t>
      </w:r>
      <w:proofErr w:type="spellStart"/>
      <w:r w:rsidRPr="004A5F31">
        <w:rPr>
          <w:rFonts w:ascii="Bookman Old Style" w:hAnsi="Bookman Old Style" w:cs="Arial"/>
          <w:bCs/>
          <w:color w:val="auto"/>
          <w:szCs w:val="24"/>
          <w:u w:val="single"/>
          <w:shd w:val="clear" w:color="auto" w:fill="FFFFFF"/>
          <w:lang w:val="es-CO"/>
        </w:rPr>
        <w:t>multipropietarios</w:t>
      </w:r>
      <w:proofErr w:type="spellEnd"/>
      <w:r w:rsidRPr="004A5F31">
        <w:rPr>
          <w:rFonts w:ascii="Bookman Old Style" w:hAnsi="Bookman Old Style" w:cs="Arial"/>
          <w:bCs/>
          <w:color w:val="auto"/>
          <w:szCs w:val="24"/>
          <w:shd w:val="clear" w:color="auto" w:fill="FFFFFF"/>
          <w:lang w:val="es-CO"/>
        </w:rPr>
        <w:t>”.</w:t>
      </w:r>
    </w:p>
    <w:p w:rsidR="004A5F31" w:rsidRPr="004A5F31" w:rsidRDefault="004A5F31" w:rsidP="004A5F31">
      <w:pPr>
        <w:ind w:left="1428" w:right="51"/>
        <w:contextualSpacing/>
        <w:jc w:val="both"/>
        <w:rPr>
          <w:rFonts w:ascii="Bookman Old Style" w:hAnsi="Bookman Old Style" w:cs="Arial"/>
          <w:bCs/>
          <w:color w:val="auto"/>
          <w:szCs w:val="24"/>
          <w:shd w:val="clear" w:color="auto" w:fill="FFFFFF"/>
          <w:lang w:val="es-CO"/>
        </w:rPr>
      </w:pPr>
    </w:p>
    <w:p w:rsidR="004A5F31" w:rsidRPr="004A5F31" w:rsidRDefault="004A5F31" w:rsidP="004A5F31">
      <w:pPr>
        <w:numPr>
          <w:ilvl w:val="0"/>
          <w:numId w:val="7"/>
        </w:numPr>
        <w:spacing w:line="259" w:lineRule="auto"/>
        <w:ind w:right="51"/>
        <w:contextualSpacing/>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Del grupo de “</w:t>
      </w:r>
      <w:proofErr w:type="spellStart"/>
      <w:r w:rsidRPr="004A5F31">
        <w:rPr>
          <w:rFonts w:ascii="Bookman Old Style" w:hAnsi="Bookman Old Style" w:cs="Arial"/>
          <w:bCs/>
          <w:color w:val="auto"/>
          <w:szCs w:val="24"/>
          <w:u w:val="single"/>
          <w:shd w:val="clear" w:color="auto" w:fill="FFFFFF"/>
          <w:lang w:val="es-CO"/>
        </w:rPr>
        <w:t>monopropietarios</w:t>
      </w:r>
      <w:proofErr w:type="spellEnd"/>
      <w:r w:rsidRPr="004A5F31">
        <w:rPr>
          <w:rFonts w:ascii="Bookman Old Style" w:hAnsi="Bookman Old Style" w:cs="Arial"/>
          <w:bCs/>
          <w:color w:val="auto"/>
          <w:szCs w:val="24"/>
          <w:shd w:val="clear" w:color="auto" w:fill="FFFFFF"/>
          <w:lang w:val="es-CO"/>
        </w:rPr>
        <w:t>” verificar a aquellos que corre</w:t>
      </w:r>
      <w:r w:rsidRPr="004A5F31">
        <w:rPr>
          <w:rFonts w:ascii="Bookman Old Style" w:hAnsi="Bookman Old Style" w:cs="Arial"/>
          <w:bCs/>
          <w:color w:val="auto"/>
          <w:szCs w:val="24"/>
          <w:shd w:val="clear" w:color="auto" w:fill="FFFFFF"/>
          <w:lang w:val="es-CO"/>
        </w:rPr>
        <w:t>s</w:t>
      </w:r>
      <w:r w:rsidRPr="004A5F31">
        <w:rPr>
          <w:rFonts w:ascii="Bookman Old Style" w:hAnsi="Bookman Old Style" w:cs="Arial"/>
          <w:bCs/>
          <w:color w:val="auto"/>
          <w:szCs w:val="24"/>
          <w:shd w:val="clear" w:color="auto" w:fill="FFFFFF"/>
          <w:lang w:val="es-CO"/>
        </w:rPr>
        <w:t>pondan a predios destinados únicamente para vivienda familiar, es decir residenciales de carácter urbano o rural y excluir al resto.</w:t>
      </w:r>
    </w:p>
    <w:p w:rsidR="004A5F31" w:rsidRPr="004A5F31" w:rsidRDefault="004A5F31" w:rsidP="004A5F31">
      <w:pPr>
        <w:ind w:left="720"/>
        <w:contextualSpacing/>
        <w:jc w:val="center"/>
        <w:rPr>
          <w:rFonts w:ascii="Bookman Old Style" w:hAnsi="Bookman Old Style" w:cs="Arial"/>
          <w:bCs/>
          <w:color w:val="auto"/>
          <w:szCs w:val="24"/>
          <w:shd w:val="clear" w:color="auto" w:fill="FFFFFF"/>
          <w:lang w:val="es-CO"/>
        </w:rPr>
      </w:pPr>
    </w:p>
    <w:p w:rsidR="004A5F31" w:rsidRDefault="004A5F31" w:rsidP="004A5F31">
      <w:pPr>
        <w:numPr>
          <w:ilvl w:val="0"/>
          <w:numId w:val="7"/>
        </w:numPr>
        <w:spacing w:line="259" w:lineRule="auto"/>
        <w:ind w:right="51"/>
        <w:contextualSpacing/>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Del grupo de “</w:t>
      </w:r>
      <w:proofErr w:type="spellStart"/>
      <w:r w:rsidRPr="004A5F31">
        <w:rPr>
          <w:rFonts w:ascii="Bookman Old Style" w:hAnsi="Bookman Old Style" w:cs="Arial"/>
          <w:bCs/>
          <w:color w:val="auto"/>
          <w:szCs w:val="24"/>
          <w:u w:val="single"/>
          <w:shd w:val="clear" w:color="auto" w:fill="FFFFFF"/>
          <w:lang w:val="es-CO"/>
        </w:rPr>
        <w:t>multipropietarios</w:t>
      </w:r>
      <w:proofErr w:type="spellEnd"/>
      <w:r w:rsidRPr="004A5F31">
        <w:rPr>
          <w:rFonts w:ascii="Bookman Old Style" w:hAnsi="Bookman Old Style" w:cs="Arial"/>
          <w:bCs/>
          <w:color w:val="auto"/>
          <w:szCs w:val="24"/>
          <w:shd w:val="clear" w:color="auto" w:fill="FFFFFF"/>
          <w:lang w:val="es-CO"/>
        </w:rPr>
        <w:t>” discriminar el número total de predios por cada contribuyente, para que de manera simple le i</w:t>
      </w:r>
      <w:r w:rsidRPr="004A5F31">
        <w:rPr>
          <w:rFonts w:ascii="Bookman Old Style" w:hAnsi="Bookman Old Style" w:cs="Arial"/>
          <w:bCs/>
          <w:color w:val="auto"/>
          <w:szCs w:val="24"/>
          <w:shd w:val="clear" w:color="auto" w:fill="FFFFFF"/>
          <w:lang w:val="es-CO"/>
        </w:rPr>
        <w:t>n</w:t>
      </w:r>
      <w:r w:rsidRPr="004A5F31">
        <w:rPr>
          <w:rFonts w:ascii="Bookman Old Style" w:hAnsi="Bookman Old Style" w:cs="Arial"/>
          <w:bCs/>
          <w:color w:val="auto"/>
          <w:szCs w:val="24"/>
          <w:shd w:val="clear" w:color="auto" w:fill="FFFFFF"/>
          <w:lang w:val="es-CO"/>
        </w:rPr>
        <w:t>dique a la administración el destinado por él para vivienda fam</w:t>
      </w:r>
      <w:r w:rsidRPr="004A5F31">
        <w:rPr>
          <w:rFonts w:ascii="Bookman Old Style" w:hAnsi="Bookman Old Style" w:cs="Arial"/>
          <w:bCs/>
          <w:color w:val="auto"/>
          <w:szCs w:val="24"/>
          <w:shd w:val="clear" w:color="auto" w:fill="FFFFFF"/>
          <w:lang w:val="es-CO"/>
        </w:rPr>
        <w:t>i</w:t>
      </w:r>
      <w:r w:rsidRPr="004A5F31">
        <w:rPr>
          <w:rFonts w:ascii="Bookman Old Style" w:hAnsi="Bookman Old Style" w:cs="Arial"/>
          <w:bCs/>
          <w:color w:val="auto"/>
          <w:szCs w:val="24"/>
          <w:shd w:val="clear" w:color="auto" w:fill="FFFFFF"/>
          <w:lang w:val="es-CO"/>
        </w:rPr>
        <w:t>liar, es decir residencial de carácter urbano o rural, y por ende, beneficiario de la señalada reducción tarifaria. Los restantes pr</w:t>
      </w:r>
      <w:r w:rsidRPr="004A5F31">
        <w:rPr>
          <w:rFonts w:ascii="Bookman Old Style" w:hAnsi="Bookman Old Style" w:cs="Arial"/>
          <w:bCs/>
          <w:color w:val="auto"/>
          <w:szCs w:val="24"/>
          <w:shd w:val="clear" w:color="auto" w:fill="FFFFFF"/>
          <w:lang w:val="es-CO"/>
        </w:rPr>
        <w:t>e</w:t>
      </w:r>
      <w:r w:rsidRPr="004A5F31">
        <w:rPr>
          <w:rFonts w:ascii="Bookman Old Style" w:hAnsi="Bookman Old Style" w:cs="Arial"/>
          <w:bCs/>
          <w:color w:val="auto"/>
          <w:szCs w:val="24"/>
          <w:shd w:val="clear" w:color="auto" w:fill="FFFFFF"/>
          <w:lang w:val="es-CO"/>
        </w:rPr>
        <w:t>dios se presumen destinados para la renta, independientemente que sean residenciales y por lo tanto acreedores al incremento de la tarifa en el 0.5 por mil (o/</w:t>
      </w:r>
      <w:proofErr w:type="spellStart"/>
      <w:r w:rsidRPr="004A5F31">
        <w:rPr>
          <w:rFonts w:ascii="Bookman Old Style" w:hAnsi="Bookman Old Style" w:cs="Arial"/>
          <w:bCs/>
          <w:color w:val="auto"/>
          <w:szCs w:val="24"/>
          <w:shd w:val="clear" w:color="auto" w:fill="FFFFFF"/>
          <w:lang w:val="es-CO"/>
        </w:rPr>
        <w:t>oo</w:t>
      </w:r>
      <w:proofErr w:type="spellEnd"/>
      <w:r w:rsidRPr="004A5F31">
        <w:rPr>
          <w:rFonts w:ascii="Bookman Old Style" w:hAnsi="Bookman Old Style" w:cs="Arial"/>
          <w:bCs/>
          <w:color w:val="auto"/>
          <w:szCs w:val="24"/>
          <w:shd w:val="clear" w:color="auto" w:fill="FFFFFF"/>
          <w:lang w:val="es-CO"/>
        </w:rPr>
        <w:t>).</w:t>
      </w:r>
    </w:p>
    <w:p w:rsidR="008A2C42" w:rsidRPr="004A5F31" w:rsidRDefault="008A2C42" w:rsidP="008A2C42">
      <w:pPr>
        <w:spacing w:line="259" w:lineRule="auto"/>
        <w:ind w:right="51"/>
        <w:contextualSpacing/>
        <w:jc w:val="both"/>
        <w:rPr>
          <w:rFonts w:ascii="Bookman Old Style" w:hAnsi="Bookman Old Style" w:cs="Arial"/>
          <w:bCs/>
          <w:color w:val="auto"/>
          <w:szCs w:val="24"/>
          <w:shd w:val="clear" w:color="auto" w:fill="FFFFFF"/>
          <w:lang w:val="es-CO"/>
        </w:rPr>
      </w:pPr>
    </w:p>
    <w:p w:rsidR="004A5F31" w:rsidRPr="004A5F31" w:rsidRDefault="004A5F31" w:rsidP="004A5F31">
      <w:pPr>
        <w:numPr>
          <w:ilvl w:val="1"/>
          <w:numId w:val="6"/>
        </w:numPr>
        <w:spacing w:line="259" w:lineRule="auto"/>
        <w:ind w:right="51"/>
        <w:jc w:val="both"/>
        <w:rPr>
          <w:rFonts w:ascii="Bookman Old Style" w:hAnsi="Bookman Old Style" w:cs="Arial"/>
          <w:b/>
          <w:bCs/>
          <w:color w:val="auto"/>
          <w:szCs w:val="24"/>
          <w:shd w:val="clear" w:color="auto" w:fill="FFFFFF"/>
          <w:lang w:val="es-CO"/>
        </w:rPr>
      </w:pPr>
      <w:r w:rsidRPr="004A5F31">
        <w:rPr>
          <w:rFonts w:ascii="Bookman Old Style" w:hAnsi="Bookman Old Style" w:cs="Arial"/>
          <w:b/>
          <w:bCs/>
          <w:color w:val="auto"/>
          <w:szCs w:val="24"/>
          <w:u w:val="single"/>
          <w:shd w:val="clear" w:color="auto" w:fill="FFFFFF"/>
          <w:lang w:val="es-CO"/>
        </w:rPr>
        <w:t>PROPUESTA 3.</w:t>
      </w:r>
      <w:r w:rsidRPr="004A5F31">
        <w:rPr>
          <w:rFonts w:ascii="Bookman Old Style" w:hAnsi="Bookman Old Style" w:cs="Arial"/>
          <w:b/>
          <w:bCs/>
          <w:color w:val="auto"/>
          <w:szCs w:val="24"/>
          <w:shd w:val="clear" w:color="auto" w:fill="FFFFFF"/>
          <w:lang w:val="es-CO"/>
        </w:rPr>
        <w:t xml:space="preserve"> El pago bimestral del impuesto predial unific</w:t>
      </w:r>
      <w:r w:rsidRPr="004A5F31">
        <w:rPr>
          <w:rFonts w:ascii="Bookman Old Style" w:hAnsi="Bookman Old Style" w:cs="Arial"/>
          <w:b/>
          <w:bCs/>
          <w:color w:val="auto"/>
          <w:szCs w:val="24"/>
          <w:shd w:val="clear" w:color="auto" w:fill="FFFFFF"/>
          <w:lang w:val="es-CO"/>
        </w:rPr>
        <w:t>a</w:t>
      </w:r>
      <w:r w:rsidRPr="004A5F31">
        <w:rPr>
          <w:rFonts w:ascii="Bookman Old Style" w:hAnsi="Bookman Old Style" w:cs="Arial"/>
          <w:b/>
          <w:bCs/>
          <w:color w:val="auto"/>
          <w:szCs w:val="24"/>
          <w:shd w:val="clear" w:color="auto" w:fill="FFFFFF"/>
          <w:lang w:val="es-CO"/>
        </w:rPr>
        <w:t xml:space="preserve">do. </w:t>
      </w:r>
    </w:p>
    <w:p w:rsidR="004A5F31" w:rsidRPr="004A5F31" w:rsidRDefault="004A5F31" w:rsidP="004A5F31">
      <w:pPr>
        <w:ind w:left="360" w:right="51"/>
        <w:jc w:val="both"/>
        <w:rPr>
          <w:rFonts w:ascii="Bookman Old Style" w:hAnsi="Bookman Old Style" w:cs="Arial"/>
          <w:b/>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i/>
          <w:color w:val="auto"/>
          <w:szCs w:val="24"/>
          <w:shd w:val="clear" w:color="auto" w:fill="FFFFFF"/>
          <w:lang w:val="es-CO"/>
        </w:rPr>
      </w:pPr>
      <w:r w:rsidRPr="004A5F31">
        <w:rPr>
          <w:rFonts w:ascii="Bookman Old Style" w:hAnsi="Bookman Old Style" w:cs="Arial"/>
          <w:bCs/>
          <w:color w:val="auto"/>
          <w:szCs w:val="24"/>
          <w:shd w:val="clear" w:color="auto" w:fill="FFFFFF"/>
          <w:lang w:val="es-CO"/>
        </w:rPr>
        <w:t>También como parte del alivio a los contribuyentes denominados dentro de este proyecto como “</w:t>
      </w:r>
      <w:proofErr w:type="spellStart"/>
      <w:r w:rsidRPr="004A5F31">
        <w:rPr>
          <w:rFonts w:ascii="Bookman Old Style" w:hAnsi="Bookman Old Style" w:cs="Arial"/>
          <w:bCs/>
          <w:color w:val="auto"/>
          <w:szCs w:val="24"/>
          <w:u w:val="single"/>
          <w:shd w:val="clear" w:color="auto" w:fill="FFFFFF"/>
          <w:lang w:val="es-CO"/>
        </w:rPr>
        <w:t>monopropietarios</w:t>
      </w:r>
      <w:proofErr w:type="spellEnd"/>
      <w:r w:rsidRPr="004A5F31">
        <w:rPr>
          <w:rFonts w:ascii="Bookman Old Style" w:hAnsi="Bookman Old Style" w:cs="Arial"/>
          <w:bCs/>
          <w:color w:val="auto"/>
          <w:szCs w:val="24"/>
          <w:u w:val="single"/>
          <w:shd w:val="clear" w:color="auto" w:fill="FFFFFF"/>
          <w:lang w:val="es-CO"/>
        </w:rPr>
        <w:t>”,</w:t>
      </w:r>
      <w:r w:rsidRPr="004A5F31">
        <w:rPr>
          <w:rFonts w:ascii="Bookman Old Style" w:hAnsi="Bookman Old Style" w:cs="Arial"/>
          <w:bCs/>
          <w:color w:val="auto"/>
          <w:szCs w:val="24"/>
          <w:shd w:val="clear" w:color="auto" w:fill="FFFFFF"/>
          <w:lang w:val="es-CO"/>
        </w:rPr>
        <w:t xml:space="preserve"> se propone ajustar los plazos de pago, gen</w:t>
      </w:r>
      <w:r w:rsidRPr="004A5F31">
        <w:rPr>
          <w:rFonts w:ascii="Bookman Old Style" w:hAnsi="Bookman Old Style" w:cs="Arial"/>
          <w:bCs/>
          <w:color w:val="auto"/>
          <w:szCs w:val="24"/>
          <w:shd w:val="clear" w:color="auto" w:fill="FFFFFF"/>
          <w:lang w:val="es-CO"/>
        </w:rPr>
        <w:t>e</w:t>
      </w:r>
      <w:r w:rsidRPr="004A5F31">
        <w:rPr>
          <w:rFonts w:ascii="Bookman Old Style" w:hAnsi="Bookman Old Style" w:cs="Arial"/>
          <w:bCs/>
          <w:color w:val="auto"/>
          <w:szCs w:val="24"/>
          <w:shd w:val="clear" w:color="auto" w:fill="FFFFFF"/>
          <w:lang w:val="es-CO"/>
        </w:rPr>
        <w:t xml:space="preserve">rándoles la opción de cancelar bimestral el </w:t>
      </w:r>
      <w:r w:rsidRPr="004A5F31">
        <w:rPr>
          <w:rFonts w:ascii="Bookman Old Style" w:hAnsi="Bookman Old Style" w:cs="Arial"/>
          <w:bCs/>
          <w:i/>
          <w:color w:val="auto"/>
          <w:szCs w:val="24"/>
          <w:shd w:val="clear" w:color="auto" w:fill="FFFFFF"/>
          <w:lang w:val="es-CO"/>
        </w:rPr>
        <w:t>impuesto predial unificado.</w:t>
      </w:r>
    </w:p>
    <w:p w:rsidR="004A5F31" w:rsidRPr="004A5F31" w:rsidRDefault="004A5F31" w:rsidP="004A5F31">
      <w:pPr>
        <w:ind w:right="51"/>
        <w:jc w:val="both"/>
        <w:rPr>
          <w:rFonts w:ascii="Bookman Old Style" w:hAnsi="Bookman Old Style" w:cs="Arial"/>
          <w:bCs/>
          <w:i/>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Con ello la carga impositiva puede ser amortiguada dentro de la vigencia fiscal, pues es claro que para un asalariado o un pensionado nunca será igual, por ejemplo, desembolsar en un solo contado el valor de un millón doscientos mil pesos ($1.200.000), que cancelarlos bimestralmente en cuotas</w:t>
      </w:r>
      <w:r w:rsidRPr="004A5F31">
        <w:rPr>
          <w:rFonts w:ascii="Bookman Old Style" w:hAnsi="Bookman Old Style" w:cs="Arial"/>
          <w:bCs/>
          <w:i/>
          <w:color w:val="auto"/>
          <w:szCs w:val="24"/>
          <w:shd w:val="clear" w:color="auto" w:fill="FFFFFF"/>
          <w:lang w:val="es-CO"/>
        </w:rPr>
        <w:t xml:space="preserve"> </w:t>
      </w:r>
      <w:r w:rsidRPr="004A5F31">
        <w:rPr>
          <w:rFonts w:ascii="Bookman Old Style" w:hAnsi="Bookman Old Style" w:cs="Arial"/>
          <w:bCs/>
          <w:color w:val="auto"/>
          <w:szCs w:val="24"/>
          <w:shd w:val="clear" w:color="auto" w:fill="FFFFFF"/>
          <w:lang w:val="es-CO"/>
        </w:rPr>
        <w:t>de doscientos mil pesos ($200.000).</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ind w:right="51"/>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Esta propuesta implica, que:</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numPr>
          <w:ilvl w:val="0"/>
          <w:numId w:val="8"/>
        </w:numPr>
        <w:spacing w:line="259" w:lineRule="auto"/>
        <w:ind w:right="51"/>
        <w:contextualSpacing/>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Es exclusiva para los contribuyentes “</w:t>
      </w:r>
      <w:proofErr w:type="spellStart"/>
      <w:r w:rsidRPr="004A5F31">
        <w:rPr>
          <w:rFonts w:ascii="Bookman Old Style" w:hAnsi="Bookman Old Style" w:cs="Arial"/>
          <w:bCs/>
          <w:color w:val="auto"/>
          <w:szCs w:val="24"/>
          <w:u w:val="single"/>
          <w:shd w:val="clear" w:color="auto" w:fill="FFFFFF"/>
          <w:lang w:val="es-CO"/>
        </w:rPr>
        <w:t>monopropietarios</w:t>
      </w:r>
      <w:proofErr w:type="spellEnd"/>
      <w:r w:rsidRPr="004A5F31">
        <w:rPr>
          <w:rFonts w:ascii="Bookman Old Style" w:hAnsi="Bookman Old Style" w:cs="Arial"/>
          <w:bCs/>
          <w:color w:val="auto"/>
          <w:szCs w:val="24"/>
          <w:shd w:val="clear" w:color="auto" w:fill="FFFFFF"/>
          <w:lang w:val="es-CO"/>
        </w:rPr>
        <w:t>” de predios destinados únicamente para vivienda familiar, es decir residenci</w:t>
      </w:r>
      <w:r w:rsidRPr="004A5F31">
        <w:rPr>
          <w:rFonts w:ascii="Bookman Old Style" w:hAnsi="Bookman Old Style" w:cs="Arial"/>
          <w:bCs/>
          <w:color w:val="auto"/>
          <w:szCs w:val="24"/>
          <w:shd w:val="clear" w:color="auto" w:fill="FFFFFF"/>
          <w:lang w:val="es-CO"/>
        </w:rPr>
        <w:t>a</w:t>
      </w:r>
      <w:r w:rsidRPr="004A5F31">
        <w:rPr>
          <w:rFonts w:ascii="Bookman Old Style" w:hAnsi="Bookman Old Style" w:cs="Arial"/>
          <w:bCs/>
          <w:color w:val="auto"/>
          <w:szCs w:val="24"/>
          <w:shd w:val="clear" w:color="auto" w:fill="FFFFFF"/>
          <w:lang w:val="es-CO"/>
        </w:rPr>
        <w:t>les de carácter urbano o rural</w:t>
      </w:r>
    </w:p>
    <w:p w:rsidR="004A5F31" w:rsidRPr="004A5F31" w:rsidRDefault="004A5F31" w:rsidP="004A5F31">
      <w:pPr>
        <w:ind w:left="1428" w:right="51"/>
        <w:contextualSpacing/>
        <w:jc w:val="both"/>
        <w:rPr>
          <w:rFonts w:ascii="Bookman Old Style" w:hAnsi="Bookman Old Style" w:cs="Arial"/>
          <w:bCs/>
          <w:color w:val="auto"/>
          <w:szCs w:val="24"/>
          <w:shd w:val="clear" w:color="auto" w:fill="FFFFFF"/>
          <w:lang w:val="es-CO"/>
        </w:rPr>
      </w:pPr>
    </w:p>
    <w:p w:rsidR="004A5F31" w:rsidRPr="004A5F31" w:rsidRDefault="004A5F31" w:rsidP="004A5F31">
      <w:pPr>
        <w:numPr>
          <w:ilvl w:val="0"/>
          <w:numId w:val="8"/>
        </w:numPr>
        <w:spacing w:line="259" w:lineRule="auto"/>
        <w:ind w:right="51"/>
        <w:contextualSpacing/>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Para los demás contribuyentes no aplica la opción de pago bime</w:t>
      </w:r>
      <w:r w:rsidRPr="004A5F31">
        <w:rPr>
          <w:rFonts w:ascii="Bookman Old Style" w:hAnsi="Bookman Old Style" w:cs="Arial"/>
          <w:bCs/>
          <w:color w:val="auto"/>
          <w:szCs w:val="24"/>
          <w:shd w:val="clear" w:color="auto" w:fill="FFFFFF"/>
          <w:lang w:val="es-CO"/>
        </w:rPr>
        <w:t>s</w:t>
      </w:r>
      <w:r w:rsidRPr="004A5F31">
        <w:rPr>
          <w:rFonts w:ascii="Bookman Old Style" w:hAnsi="Bookman Old Style" w:cs="Arial"/>
          <w:bCs/>
          <w:color w:val="auto"/>
          <w:szCs w:val="24"/>
          <w:shd w:val="clear" w:color="auto" w:fill="FFFFFF"/>
          <w:lang w:val="es-CO"/>
        </w:rPr>
        <w:t>tral.</w:t>
      </w:r>
    </w:p>
    <w:p w:rsidR="004A5F31" w:rsidRPr="004A5F31" w:rsidRDefault="004A5F31" w:rsidP="004A5F31">
      <w:pPr>
        <w:ind w:right="51"/>
        <w:jc w:val="both"/>
        <w:rPr>
          <w:rFonts w:ascii="Bookman Old Style" w:hAnsi="Bookman Old Style" w:cs="Arial"/>
          <w:bCs/>
          <w:color w:val="auto"/>
          <w:szCs w:val="24"/>
          <w:shd w:val="clear" w:color="auto" w:fill="FFFFFF"/>
          <w:lang w:val="es-CO"/>
        </w:rPr>
      </w:pPr>
    </w:p>
    <w:p w:rsidR="004A5F31" w:rsidRPr="004A5F31" w:rsidRDefault="004A5F31" w:rsidP="004A5F31">
      <w:pPr>
        <w:numPr>
          <w:ilvl w:val="0"/>
          <w:numId w:val="8"/>
        </w:numPr>
        <w:spacing w:line="259" w:lineRule="auto"/>
        <w:ind w:right="51"/>
        <w:contextualSpacing/>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Protege la cultura tributaria alcanzada en la ciudad, toda vez que los demás contribuyentes continuarán bajo el esquema de pago a</w:t>
      </w:r>
      <w:r w:rsidRPr="004A5F31">
        <w:rPr>
          <w:rFonts w:ascii="Bookman Old Style" w:hAnsi="Bookman Old Style" w:cs="Arial"/>
          <w:bCs/>
          <w:color w:val="auto"/>
          <w:szCs w:val="24"/>
          <w:shd w:val="clear" w:color="auto" w:fill="FFFFFF"/>
          <w:lang w:val="es-CO"/>
        </w:rPr>
        <w:t>c</w:t>
      </w:r>
      <w:r w:rsidRPr="004A5F31">
        <w:rPr>
          <w:rFonts w:ascii="Bookman Old Style" w:hAnsi="Bookman Old Style" w:cs="Arial"/>
          <w:bCs/>
          <w:color w:val="auto"/>
          <w:szCs w:val="24"/>
          <w:shd w:val="clear" w:color="auto" w:fill="FFFFFF"/>
          <w:lang w:val="es-CO"/>
        </w:rPr>
        <w:t>tual.</w:t>
      </w:r>
    </w:p>
    <w:p w:rsidR="004A5F31" w:rsidRPr="004A5F31" w:rsidRDefault="004A5F31" w:rsidP="004A5F31">
      <w:pPr>
        <w:ind w:left="720"/>
        <w:contextualSpacing/>
        <w:jc w:val="center"/>
        <w:rPr>
          <w:rFonts w:ascii="Bookman Old Style" w:hAnsi="Bookman Old Style" w:cs="Arial"/>
          <w:bCs/>
          <w:color w:val="auto"/>
          <w:szCs w:val="24"/>
          <w:shd w:val="clear" w:color="auto" w:fill="FFFFFF"/>
          <w:lang w:val="es-CO"/>
        </w:rPr>
      </w:pPr>
    </w:p>
    <w:p w:rsidR="004A5F31" w:rsidRPr="004A5F31" w:rsidRDefault="004A5F31" w:rsidP="004A5F31">
      <w:pPr>
        <w:numPr>
          <w:ilvl w:val="0"/>
          <w:numId w:val="8"/>
        </w:numPr>
        <w:spacing w:line="259" w:lineRule="auto"/>
        <w:ind w:right="51"/>
        <w:contextualSpacing/>
        <w:jc w:val="both"/>
        <w:rPr>
          <w:rFonts w:ascii="Bookman Old Style" w:hAnsi="Bookman Old Style" w:cs="Arial"/>
          <w:bCs/>
          <w:color w:val="auto"/>
          <w:szCs w:val="24"/>
          <w:shd w:val="clear" w:color="auto" w:fill="FFFFFF"/>
          <w:lang w:val="es-CO"/>
        </w:rPr>
      </w:pPr>
      <w:r w:rsidRPr="004A5F31">
        <w:rPr>
          <w:rFonts w:ascii="Bookman Old Style" w:hAnsi="Bookman Old Style" w:cs="Arial"/>
          <w:bCs/>
          <w:color w:val="auto"/>
          <w:szCs w:val="24"/>
          <w:shd w:val="clear" w:color="auto" w:fill="FFFFFF"/>
          <w:lang w:val="es-CO"/>
        </w:rPr>
        <w:t>Para ninguno de los contribuyentes se elimina la opción y el de</w:t>
      </w:r>
      <w:r w:rsidRPr="004A5F31">
        <w:rPr>
          <w:rFonts w:ascii="Bookman Old Style" w:hAnsi="Bookman Old Style" w:cs="Arial"/>
          <w:bCs/>
          <w:color w:val="auto"/>
          <w:szCs w:val="24"/>
          <w:shd w:val="clear" w:color="auto" w:fill="FFFFFF"/>
          <w:lang w:val="es-CO"/>
        </w:rPr>
        <w:t>s</w:t>
      </w:r>
      <w:r w:rsidRPr="004A5F31">
        <w:rPr>
          <w:rFonts w:ascii="Bookman Old Style" w:hAnsi="Bookman Old Style" w:cs="Arial"/>
          <w:bCs/>
          <w:color w:val="auto"/>
          <w:szCs w:val="24"/>
          <w:shd w:val="clear" w:color="auto" w:fill="FFFFFF"/>
          <w:lang w:val="es-CO"/>
        </w:rPr>
        <w:t>cuento por pronto pago.</w:t>
      </w:r>
    </w:p>
    <w:p w:rsidR="004A5F31" w:rsidRPr="004A5F31" w:rsidRDefault="004A5F31" w:rsidP="004A5F31">
      <w:pPr>
        <w:ind w:left="708" w:right="51"/>
        <w:jc w:val="both"/>
        <w:rPr>
          <w:rFonts w:ascii="Bookman Old Style" w:hAnsi="Bookman Old Style" w:cs="Arial"/>
          <w:bCs/>
          <w:color w:val="auto"/>
          <w:szCs w:val="24"/>
          <w:shd w:val="clear" w:color="auto" w:fill="FFFFFF"/>
          <w:lang w:val="es-CO"/>
        </w:rPr>
      </w:pPr>
    </w:p>
    <w:p w:rsidR="004A5F31" w:rsidRPr="004A5F31" w:rsidRDefault="004A5F31" w:rsidP="004A5F31">
      <w:pPr>
        <w:tabs>
          <w:tab w:val="center" w:pos="4419"/>
          <w:tab w:val="right" w:pos="8838"/>
        </w:tabs>
        <w:jc w:val="both"/>
        <w:rPr>
          <w:rFonts w:ascii="Bookman Old Style" w:hAnsi="Bookman Old Style" w:cs="Arial"/>
          <w:b/>
          <w:color w:val="auto"/>
          <w:szCs w:val="24"/>
          <w:lang w:val="es-CO"/>
        </w:rPr>
      </w:pPr>
    </w:p>
    <w:p w:rsidR="004A5F31" w:rsidRPr="004A5F31" w:rsidRDefault="004A5F31" w:rsidP="004A5F31">
      <w:pPr>
        <w:numPr>
          <w:ilvl w:val="0"/>
          <w:numId w:val="6"/>
        </w:numPr>
        <w:spacing w:line="259" w:lineRule="auto"/>
        <w:ind w:right="51"/>
        <w:jc w:val="both"/>
        <w:rPr>
          <w:rFonts w:ascii="Bookman Old Style" w:hAnsi="Bookman Old Style"/>
          <w:b/>
          <w:szCs w:val="24"/>
          <w:lang w:val="es-CO"/>
        </w:rPr>
      </w:pPr>
      <w:r w:rsidRPr="004A5F31">
        <w:rPr>
          <w:rFonts w:ascii="Bookman Old Style" w:hAnsi="Bookman Old Style" w:cs="Arial"/>
          <w:b/>
          <w:bCs/>
          <w:color w:val="auto"/>
          <w:szCs w:val="24"/>
          <w:shd w:val="clear" w:color="auto" w:fill="FFFFFF"/>
          <w:lang w:val="es-CO"/>
        </w:rPr>
        <w:t>MARCO</w:t>
      </w:r>
      <w:r w:rsidRPr="004A5F31">
        <w:rPr>
          <w:rFonts w:ascii="Bookman Old Style" w:hAnsi="Bookman Old Style"/>
          <w:b/>
          <w:szCs w:val="24"/>
          <w:lang w:val="es-CO"/>
        </w:rPr>
        <w:t xml:space="preserve"> JURIDICO</w:t>
      </w:r>
    </w:p>
    <w:p w:rsidR="004A5F31" w:rsidRPr="004A5F31" w:rsidRDefault="004A5F31" w:rsidP="004A5F31">
      <w:pPr>
        <w:jc w:val="both"/>
        <w:rPr>
          <w:rFonts w:ascii="Bookman Old Style" w:hAnsi="Bookman Old Style"/>
          <w:b/>
          <w:szCs w:val="24"/>
          <w:lang w:val="es-CO"/>
        </w:rPr>
      </w:pPr>
    </w:p>
    <w:p w:rsidR="004A5F31" w:rsidRPr="004A5F31" w:rsidRDefault="004A5F31" w:rsidP="004A5F31">
      <w:pPr>
        <w:numPr>
          <w:ilvl w:val="1"/>
          <w:numId w:val="6"/>
        </w:numPr>
        <w:spacing w:line="259" w:lineRule="auto"/>
        <w:ind w:right="51"/>
        <w:jc w:val="both"/>
        <w:rPr>
          <w:rFonts w:ascii="Bookman Old Style" w:hAnsi="Bookman Old Style"/>
          <w:b/>
          <w:szCs w:val="24"/>
          <w:lang w:val="es-CO"/>
        </w:rPr>
      </w:pPr>
      <w:r w:rsidRPr="004A5F31">
        <w:rPr>
          <w:rFonts w:ascii="Bookman Old Style" w:hAnsi="Bookman Old Style"/>
          <w:b/>
          <w:szCs w:val="24"/>
          <w:lang w:val="es-CO"/>
        </w:rPr>
        <w:t>CONSTITUCION POLITICA</w:t>
      </w:r>
    </w:p>
    <w:p w:rsidR="004A5F31" w:rsidRPr="004A5F31" w:rsidRDefault="004A5F31" w:rsidP="004A5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Bookman Old Style" w:hAnsi="Bookman Old Style" w:cs="Arial"/>
          <w:b/>
          <w:szCs w:val="24"/>
          <w:lang w:val="es-CO" w:eastAsia="es-CO"/>
        </w:rPr>
      </w:pP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u w:val="single"/>
          <w:lang w:val="es-CO" w:eastAsia="es-CO"/>
        </w:rPr>
        <w:t>ARTÍCULO 1</w:t>
      </w:r>
      <w:r w:rsidRPr="004A5F31">
        <w:rPr>
          <w:rFonts w:ascii="Bookman Old Style" w:hAnsi="Bookman Old Style" w:cs="Arial"/>
          <w:szCs w:val="24"/>
          <w:lang w:val="es-CO" w:eastAsia="es-CO"/>
        </w:rPr>
        <w:t>. Colombia es un Estado social de derecho, organizado en forma de República unitaria, descentralizada, con autonomía de sus entidades territoriales, democrática, participativa y pluralista, fundada en el respeto de la dignidad humana, en el trabajo y la s</w:t>
      </w:r>
      <w:r w:rsidRPr="004A5F31">
        <w:rPr>
          <w:rFonts w:ascii="Bookman Old Style" w:hAnsi="Bookman Old Style" w:cs="Arial"/>
          <w:szCs w:val="24"/>
          <w:lang w:val="es-CO" w:eastAsia="es-CO"/>
        </w:rPr>
        <w:t>o</w:t>
      </w:r>
      <w:r w:rsidRPr="004A5F31">
        <w:rPr>
          <w:rFonts w:ascii="Bookman Old Style" w:hAnsi="Bookman Old Style" w:cs="Arial"/>
          <w:szCs w:val="24"/>
          <w:lang w:val="es-CO" w:eastAsia="es-CO"/>
        </w:rPr>
        <w:t>lidaridad de las personas que la integran y en la prevalencia del i</w:t>
      </w:r>
      <w:r w:rsidRPr="004A5F31">
        <w:rPr>
          <w:rFonts w:ascii="Bookman Old Style" w:hAnsi="Bookman Old Style" w:cs="Arial"/>
          <w:szCs w:val="24"/>
          <w:lang w:val="es-CO" w:eastAsia="es-CO"/>
        </w:rPr>
        <w:t>n</w:t>
      </w:r>
      <w:r w:rsidRPr="004A5F31">
        <w:rPr>
          <w:rFonts w:ascii="Bookman Old Style" w:hAnsi="Bookman Old Style" w:cs="Arial"/>
          <w:szCs w:val="24"/>
          <w:lang w:val="es-CO" w:eastAsia="es-CO"/>
        </w:rPr>
        <w:t>terés general.</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cs="Arial"/>
          <w:szCs w:val="24"/>
          <w:lang w:val="es-CO" w:eastAsia="es-CO"/>
        </w:rPr>
      </w:pP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u w:val="single"/>
          <w:lang w:val="es-CO" w:eastAsia="es-CO"/>
        </w:rPr>
        <w:t>ARTÍCULO 2</w:t>
      </w:r>
      <w:r w:rsidRPr="004A5F31">
        <w:rPr>
          <w:rFonts w:ascii="Bookman Old Style" w:hAnsi="Bookman Old Style" w:cs="Arial"/>
          <w:szCs w:val="24"/>
          <w:lang w:val="es-CO" w:eastAsia="es-CO"/>
        </w:rPr>
        <w:t>. Son fines esenciales del Estado: servir a la comun</w:t>
      </w:r>
      <w:r w:rsidRPr="004A5F31">
        <w:rPr>
          <w:rFonts w:ascii="Bookman Old Style" w:hAnsi="Bookman Old Style" w:cs="Arial"/>
          <w:szCs w:val="24"/>
          <w:lang w:val="es-CO" w:eastAsia="es-CO"/>
        </w:rPr>
        <w:t>i</w:t>
      </w:r>
      <w:r w:rsidRPr="004A5F31">
        <w:rPr>
          <w:rFonts w:ascii="Bookman Old Style" w:hAnsi="Bookman Old Style" w:cs="Arial"/>
          <w:szCs w:val="24"/>
          <w:lang w:val="es-CO" w:eastAsia="es-CO"/>
        </w:rPr>
        <w:t>dad, promover la prosperidad general y garantizar la efectividad de los principios, derechos y deberes consagrados en la Constitución; facilitar la participación de todos en las decisiones que los afectan y en la vida económica, política, administrativa y cultural de la N</w:t>
      </w:r>
      <w:r w:rsidRPr="004A5F31">
        <w:rPr>
          <w:rFonts w:ascii="Bookman Old Style" w:hAnsi="Bookman Old Style" w:cs="Arial"/>
          <w:szCs w:val="24"/>
          <w:lang w:val="es-CO" w:eastAsia="es-CO"/>
        </w:rPr>
        <w:t>a</w:t>
      </w:r>
      <w:r w:rsidRPr="004A5F31">
        <w:rPr>
          <w:rFonts w:ascii="Bookman Old Style" w:hAnsi="Bookman Old Style" w:cs="Arial"/>
          <w:szCs w:val="24"/>
          <w:lang w:val="es-CO" w:eastAsia="es-CO"/>
        </w:rPr>
        <w:t>ción; defender la independencia nacional, mantener la integridad territorial y asegurar la convivencia pacífica y la vigencia de un o</w:t>
      </w:r>
      <w:r w:rsidRPr="004A5F31">
        <w:rPr>
          <w:rFonts w:ascii="Bookman Old Style" w:hAnsi="Bookman Old Style" w:cs="Arial"/>
          <w:szCs w:val="24"/>
          <w:lang w:val="es-CO" w:eastAsia="es-CO"/>
        </w:rPr>
        <w:t>r</w:t>
      </w:r>
      <w:r w:rsidRPr="004A5F31">
        <w:rPr>
          <w:rFonts w:ascii="Bookman Old Style" w:hAnsi="Bookman Old Style" w:cs="Arial"/>
          <w:szCs w:val="24"/>
          <w:lang w:val="es-CO" w:eastAsia="es-CO"/>
        </w:rPr>
        <w:t>den justo.</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cs="Arial"/>
          <w:szCs w:val="24"/>
          <w:lang w:val="es-CO" w:eastAsia="es-CO"/>
        </w:rPr>
      </w:pP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cs="Arial"/>
          <w:szCs w:val="24"/>
          <w:lang w:val="es-CO" w:eastAsia="es-CO"/>
        </w:rPr>
      </w:pPr>
      <w:r w:rsidRPr="004A5F31">
        <w:rPr>
          <w:rFonts w:ascii="Bookman Old Style" w:hAnsi="Bookman Old Style" w:cs="Arial"/>
          <w:szCs w:val="24"/>
          <w:lang w:val="es-CO" w:eastAsia="es-CO"/>
        </w:rPr>
        <w:t>Las autoridades de la República están instituidas para proteger a todas las personas residentes en Colombia, en su vida, honra, bi</w:t>
      </w:r>
      <w:r w:rsidRPr="004A5F31">
        <w:rPr>
          <w:rFonts w:ascii="Bookman Old Style" w:hAnsi="Bookman Old Style" w:cs="Arial"/>
          <w:szCs w:val="24"/>
          <w:lang w:val="es-CO" w:eastAsia="es-CO"/>
        </w:rPr>
        <w:t>e</w:t>
      </w:r>
      <w:r w:rsidRPr="004A5F31">
        <w:rPr>
          <w:rFonts w:ascii="Bookman Old Style" w:hAnsi="Bookman Old Style" w:cs="Arial"/>
          <w:szCs w:val="24"/>
          <w:lang w:val="es-CO" w:eastAsia="es-CO"/>
        </w:rPr>
        <w:t>nes, creencias, y demás derechos y libertades, y para asegurar el cumplimiento de los deberes sociales del Estado y de los particul</w:t>
      </w:r>
      <w:r w:rsidRPr="004A5F31">
        <w:rPr>
          <w:rFonts w:ascii="Bookman Old Style" w:hAnsi="Bookman Old Style" w:cs="Arial"/>
          <w:szCs w:val="24"/>
          <w:lang w:val="es-CO" w:eastAsia="es-CO"/>
        </w:rPr>
        <w:t>a</w:t>
      </w:r>
      <w:r w:rsidRPr="004A5F31">
        <w:rPr>
          <w:rFonts w:ascii="Bookman Old Style" w:hAnsi="Bookman Old Style" w:cs="Arial"/>
          <w:szCs w:val="24"/>
          <w:lang w:val="es-CO" w:eastAsia="es-CO"/>
        </w:rPr>
        <w:t>res.</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szCs w:val="24"/>
          <w:u w:val="single"/>
          <w:lang w:eastAsia="es-CO"/>
        </w:rPr>
        <w:t>ARTÍCULO 286</w:t>
      </w:r>
      <w:r w:rsidRPr="004A5F31">
        <w:rPr>
          <w:rFonts w:ascii="Bookman Old Style" w:hAnsi="Bookman Old Style" w:cs="Arial"/>
          <w:szCs w:val="24"/>
          <w:lang w:eastAsia="es-CO"/>
        </w:rPr>
        <w:t>. Son entidades territoriales los departamentos, los distritos, los municipios y los territorios indígenas.</w:t>
      </w:r>
    </w:p>
    <w:p w:rsidR="004A5F31" w:rsidRPr="004A5F31" w:rsidRDefault="004A5F31" w:rsidP="004A5F31">
      <w:pPr>
        <w:tabs>
          <w:tab w:val="left" w:pos="1418"/>
        </w:tabs>
        <w:ind w:left="1418"/>
        <w:jc w:val="both"/>
        <w:rPr>
          <w:rFonts w:ascii="Bookman Old Style" w:hAnsi="Bookman Old Style" w:cs="Arial"/>
          <w:szCs w:val="24"/>
          <w:lang w:eastAsia="es-CO"/>
        </w:rPr>
      </w:pP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szCs w:val="24"/>
          <w:lang w:eastAsia="es-CO"/>
        </w:rPr>
        <w:t>La ley podrá darles el carácter de entidades territoriales a las regi</w:t>
      </w:r>
      <w:r w:rsidRPr="004A5F31">
        <w:rPr>
          <w:rFonts w:ascii="Bookman Old Style" w:hAnsi="Bookman Old Style" w:cs="Arial"/>
          <w:szCs w:val="24"/>
          <w:lang w:eastAsia="es-CO"/>
        </w:rPr>
        <w:t>o</w:t>
      </w:r>
      <w:r w:rsidRPr="004A5F31">
        <w:rPr>
          <w:rFonts w:ascii="Bookman Old Style" w:hAnsi="Bookman Old Style" w:cs="Arial"/>
          <w:szCs w:val="24"/>
          <w:lang w:eastAsia="es-CO"/>
        </w:rPr>
        <w:t>nes y provincias que se constituyan en los términos de la Constit</w:t>
      </w:r>
      <w:r w:rsidRPr="004A5F31">
        <w:rPr>
          <w:rFonts w:ascii="Bookman Old Style" w:hAnsi="Bookman Old Style" w:cs="Arial"/>
          <w:szCs w:val="24"/>
          <w:lang w:eastAsia="es-CO"/>
        </w:rPr>
        <w:t>u</w:t>
      </w:r>
      <w:r w:rsidRPr="004A5F31">
        <w:rPr>
          <w:rFonts w:ascii="Bookman Old Style" w:hAnsi="Bookman Old Style" w:cs="Arial"/>
          <w:szCs w:val="24"/>
          <w:lang w:eastAsia="es-CO"/>
        </w:rPr>
        <w:t>ción y de la ley.</w:t>
      </w:r>
    </w:p>
    <w:p w:rsidR="004A5F31" w:rsidRPr="004A5F31" w:rsidRDefault="004A5F31" w:rsidP="004A5F31">
      <w:pPr>
        <w:tabs>
          <w:tab w:val="left" w:pos="1418"/>
        </w:tabs>
        <w:ind w:left="1418"/>
        <w:jc w:val="both"/>
        <w:rPr>
          <w:rFonts w:ascii="Bookman Old Style" w:hAnsi="Bookman Old Style" w:cs="Arial"/>
          <w:bCs/>
          <w:szCs w:val="24"/>
          <w:lang w:val="es-CO" w:eastAsia="es-CO"/>
        </w:rPr>
      </w:pP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bCs/>
          <w:szCs w:val="24"/>
          <w:u w:val="single"/>
          <w:lang w:val="es-CO" w:eastAsia="es-CO"/>
        </w:rPr>
        <w:t>ARTÍCULO 287</w:t>
      </w:r>
      <w:r w:rsidRPr="004A5F31">
        <w:rPr>
          <w:rFonts w:ascii="Bookman Old Style" w:hAnsi="Bookman Old Style" w:cs="Arial"/>
          <w:bCs/>
          <w:szCs w:val="24"/>
          <w:lang w:val="es-CO" w:eastAsia="es-CO"/>
        </w:rPr>
        <w:t xml:space="preserve">. </w:t>
      </w:r>
      <w:r w:rsidRPr="004A5F31">
        <w:rPr>
          <w:rFonts w:ascii="Bookman Old Style" w:hAnsi="Bookman Old Style" w:cs="Arial"/>
          <w:szCs w:val="24"/>
          <w:lang w:val="es-CO" w:eastAsia="es-CO"/>
        </w:rPr>
        <w:t>Las entidades territoriales gozan de autonomía p</w:t>
      </w:r>
      <w:r w:rsidRPr="004A5F31">
        <w:rPr>
          <w:rFonts w:ascii="Bookman Old Style" w:hAnsi="Bookman Old Style" w:cs="Arial"/>
          <w:szCs w:val="24"/>
          <w:lang w:val="es-CO" w:eastAsia="es-CO"/>
        </w:rPr>
        <w:t>a</w:t>
      </w:r>
      <w:r w:rsidRPr="004A5F31">
        <w:rPr>
          <w:rFonts w:ascii="Bookman Old Style" w:hAnsi="Bookman Old Style" w:cs="Arial"/>
          <w:szCs w:val="24"/>
          <w:lang w:val="es-CO" w:eastAsia="es-CO"/>
        </w:rPr>
        <w:t>ra la gestión de sus intereses, y dentro de los límites de la Const</w:t>
      </w:r>
      <w:r w:rsidRPr="004A5F31">
        <w:rPr>
          <w:rFonts w:ascii="Bookman Old Style" w:hAnsi="Bookman Old Style" w:cs="Arial"/>
          <w:szCs w:val="24"/>
          <w:lang w:val="es-CO" w:eastAsia="es-CO"/>
        </w:rPr>
        <w:t>i</w:t>
      </w:r>
      <w:r w:rsidRPr="004A5F31">
        <w:rPr>
          <w:rFonts w:ascii="Bookman Old Style" w:hAnsi="Bookman Old Style" w:cs="Arial"/>
          <w:szCs w:val="24"/>
          <w:lang w:val="es-CO" w:eastAsia="es-CO"/>
        </w:rPr>
        <w:t>tución y la ley. En tal virtud tendrán los siguientes derechos:</w:t>
      </w: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i/>
          <w:szCs w:val="24"/>
          <w:lang w:val="es-CO" w:eastAsia="es-CO"/>
        </w:rPr>
        <w:t> </w:t>
      </w: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szCs w:val="24"/>
          <w:lang w:val="es-CO" w:eastAsia="es-CO"/>
        </w:rPr>
        <w:t>1. Gobernarse por autoridades propias.</w:t>
      </w: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szCs w:val="24"/>
          <w:lang w:val="es-CO" w:eastAsia="es-CO"/>
        </w:rPr>
        <w:t>2. Ejercer las competencias que les correspondan.</w:t>
      </w: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szCs w:val="24"/>
          <w:lang w:val="es-CO" w:eastAsia="es-CO"/>
        </w:rPr>
        <w:t>3. Administrar los recursos y establecer los tributos necesarios p</w:t>
      </w:r>
      <w:r w:rsidRPr="004A5F31">
        <w:rPr>
          <w:rFonts w:ascii="Bookman Old Style" w:hAnsi="Bookman Old Style" w:cs="Arial"/>
          <w:szCs w:val="24"/>
          <w:lang w:val="es-CO" w:eastAsia="es-CO"/>
        </w:rPr>
        <w:t>a</w:t>
      </w:r>
      <w:r w:rsidRPr="004A5F31">
        <w:rPr>
          <w:rFonts w:ascii="Bookman Old Style" w:hAnsi="Bookman Old Style" w:cs="Arial"/>
          <w:szCs w:val="24"/>
          <w:lang w:val="es-CO" w:eastAsia="es-CO"/>
        </w:rPr>
        <w:t>ra el cumplimiento de sus funciones.</w:t>
      </w: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s>
        <w:ind w:left="1418"/>
        <w:jc w:val="both"/>
        <w:rPr>
          <w:rFonts w:ascii="Bookman Old Style" w:hAnsi="Bookman Old Style" w:cs="Arial"/>
          <w:szCs w:val="24"/>
          <w:lang w:val="es-CO" w:eastAsia="es-CO"/>
        </w:rPr>
      </w:pPr>
      <w:r w:rsidRPr="004A5F31">
        <w:rPr>
          <w:rFonts w:ascii="Bookman Old Style" w:hAnsi="Bookman Old Style" w:cs="Arial"/>
          <w:szCs w:val="24"/>
          <w:lang w:val="es-CO" w:eastAsia="es-CO"/>
        </w:rPr>
        <w:t>4. Participar en las rentas nacionales.</w:t>
      </w:r>
    </w:p>
    <w:p w:rsidR="004A5F31" w:rsidRPr="004A5F31" w:rsidRDefault="004A5F31" w:rsidP="004A5F31">
      <w:pPr>
        <w:tabs>
          <w:tab w:val="left" w:pos="1418"/>
        </w:tabs>
        <w:ind w:left="1418"/>
        <w:jc w:val="both"/>
        <w:rPr>
          <w:rFonts w:ascii="Bookman Old Style" w:hAnsi="Bookman Old Style"/>
          <w:szCs w:val="24"/>
          <w:lang w:val="es-CO" w:eastAsia="es-CO"/>
        </w:rPr>
      </w:pP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jc w:val="both"/>
        <w:rPr>
          <w:rFonts w:ascii="Bookman Old Style" w:hAnsi="Bookman Old Style" w:cs="Arial"/>
          <w:bCs/>
          <w:i/>
          <w:szCs w:val="24"/>
          <w:lang w:val="es-CO" w:eastAsia="es-CO"/>
        </w:rPr>
      </w:pPr>
      <w:r w:rsidRPr="004A5F31">
        <w:rPr>
          <w:rFonts w:ascii="Bookman Old Style" w:hAnsi="Bookman Old Style" w:cs="Arial"/>
          <w:bCs/>
          <w:szCs w:val="24"/>
          <w:u w:val="single"/>
          <w:lang w:val="es-CO" w:eastAsia="es-CO"/>
        </w:rPr>
        <w:t>ARTÍCULO 294</w:t>
      </w:r>
      <w:r w:rsidRPr="004A5F31">
        <w:rPr>
          <w:rFonts w:ascii="Bookman Old Style" w:hAnsi="Bookman Old Style" w:cs="Arial"/>
          <w:bCs/>
          <w:szCs w:val="24"/>
          <w:lang w:val="es-CO" w:eastAsia="es-CO"/>
        </w:rPr>
        <w:t>. La ley no podrá conceder exenciones ni tratamie</w:t>
      </w:r>
      <w:r w:rsidRPr="004A5F31">
        <w:rPr>
          <w:rFonts w:ascii="Bookman Old Style" w:hAnsi="Bookman Old Style" w:cs="Arial"/>
          <w:bCs/>
          <w:szCs w:val="24"/>
          <w:lang w:val="es-CO" w:eastAsia="es-CO"/>
        </w:rPr>
        <w:t>n</w:t>
      </w:r>
      <w:r w:rsidRPr="004A5F31">
        <w:rPr>
          <w:rFonts w:ascii="Bookman Old Style" w:hAnsi="Bookman Old Style" w:cs="Arial"/>
          <w:bCs/>
          <w:szCs w:val="24"/>
          <w:lang w:val="es-CO" w:eastAsia="es-CO"/>
        </w:rPr>
        <w:t>tos preferenciales en relación con los tributos de propiedad de las entidades territoriales. Tampoco podrá imponer recargos sobre sus impuestos salvo lo dispuesto en el artículo 317.</w:t>
      </w:r>
      <w:r w:rsidRPr="004A5F31">
        <w:rPr>
          <w:rFonts w:ascii="Bookman Old Style" w:hAnsi="Bookman Old Style" w:cs="Arial"/>
          <w:bCs/>
          <w:i/>
          <w:szCs w:val="24"/>
          <w:lang w:val="es-CO" w:eastAsia="es-CO"/>
        </w:rPr>
        <w:t xml:space="preserve">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jc w:val="both"/>
        <w:rPr>
          <w:rFonts w:ascii="Bookman Old Style" w:hAnsi="Bookman Old Style" w:cs="Arial"/>
          <w:bCs/>
          <w:i/>
          <w:szCs w:val="24"/>
          <w:lang w:val="es-CO" w:eastAsia="es-CO"/>
        </w:rPr>
      </w:pP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jc w:val="both"/>
        <w:rPr>
          <w:rFonts w:ascii="Bookman Old Style" w:hAnsi="Bookman Old Style"/>
          <w:szCs w:val="24"/>
          <w:lang w:val="es-CO" w:eastAsia="es-CO"/>
        </w:rPr>
      </w:pPr>
      <w:r w:rsidRPr="004A5F31">
        <w:rPr>
          <w:rFonts w:ascii="Bookman Old Style" w:hAnsi="Bookman Old Style" w:cs="Arial"/>
          <w:szCs w:val="24"/>
          <w:u w:val="single"/>
          <w:lang w:val="es-CO" w:eastAsia="es-CO"/>
        </w:rPr>
        <w:t>ARTÍCULO 311</w:t>
      </w:r>
      <w:r w:rsidRPr="004A5F31">
        <w:rPr>
          <w:rFonts w:ascii="Bookman Old Style" w:hAnsi="Bookman Old Style" w:cs="Arial"/>
          <w:szCs w:val="24"/>
          <w:lang w:val="es-CO" w:eastAsia="es-CO"/>
        </w:rPr>
        <w:t>. Al municipio como entidad fundamental de la div</w:t>
      </w:r>
      <w:r w:rsidRPr="004A5F31">
        <w:rPr>
          <w:rFonts w:ascii="Bookman Old Style" w:hAnsi="Bookman Old Style" w:cs="Arial"/>
          <w:szCs w:val="24"/>
          <w:lang w:val="es-CO" w:eastAsia="es-CO"/>
        </w:rPr>
        <w:t>i</w:t>
      </w:r>
      <w:r w:rsidRPr="004A5F31">
        <w:rPr>
          <w:rFonts w:ascii="Bookman Old Style" w:hAnsi="Bookman Old Style" w:cs="Arial"/>
          <w:szCs w:val="24"/>
          <w:lang w:val="es-CO" w:eastAsia="es-CO"/>
        </w:rPr>
        <w:t>sión político</w:t>
      </w:r>
      <w:r w:rsidRPr="004A5F31">
        <w:rPr>
          <w:rFonts w:ascii="Bookman Old Style" w:hAnsi="Bookman Old Style" w:cs="Arial"/>
          <w:szCs w:val="24"/>
          <w:lang w:val="es-CO" w:eastAsia="es-CO"/>
        </w:rPr>
        <w:noBreakHyphen/>
        <w:t>administrativa del Estado le corresponde prestar los servicios públicos que determine la ley, construir las obras que d</w:t>
      </w:r>
      <w:r w:rsidRPr="004A5F31">
        <w:rPr>
          <w:rFonts w:ascii="Bookman Old Style" w:hAnsi="Bookman Old Style" w:cs="Arial"/>
          <w:szCs w:val="24"/>
          <w:lang w:val="es-CO" w:eastAsia="es-CO"/>
        </w:rPr>
        <w:t>e</w:t>
      </w:r>
      <w:r w:rsidRPr="004A5F31">
        <w:rPr>
          <w:rFonts w:ascii="Bookman Old Style" w:hAnsi="Bookman Old Style" w:cs="Arial"/>
          <w:szCs w:val="24"/>
          <w:lang w:val="es-CO" w:eastAsia="es-CO"/>
        </w:rPr>
        <w:t>mande el progreso local, ordenar el desarrollo de su territorio, pr</w:t>
      </w:r>
      <w:r w:rsidRPr="004A5F31">
        <w:rPr>
          <w:rFonts w:ascii="Bookman Old Style" w:hAnsi="Bookman Old Style" w:cs="Arial"/>
          <w:szCs w:val="24"/>
          <w:lang w:val="es-CO" w:eastAsia="es-CO"/>
        </w:rPr>
        <w:t>o</w:t>
      </w:r>
      <w:r w:rsidRPr="004A5F31">
        <w:rPr>
          <w:rFonts w:ascii="Bookman Old Style" w:hAnsi="Bookman Old Style" w:cs="Arial"/>
          <w:szCs w:val="24"/>
          <w:lang w:val="es-CO" w:eastAsia="es-CO"/>
        </w:rPr>
        <w:t>mover la participación comunitaria, el mejoramiento social y cult</w:t>
      </w:r>
      <w:r w:rsidRPr="004A5F31">
        <w:rPr>
          <w:rFonts w:ascii="Bookman Old Style" w:hAnsi="Bookman Old Style" w:cs="Arial"/>
          <w:szCs w:val="24"/>
          <w:lang w:val="es-CO" w:eastAsia="es-CO"/>
        </w:rPr>
        <w:t>u</w:t>
      </w:r>
      <w:r w:rsidRPr="004A5F31">
        <w:rPr>
          <w:rFonts w:ascii="Bookman Old Style" w:hAnsi="Bookman Old Style" w:cs="Arial"/>
          <w:szCs w:val="24"/>
          <w:lang w:val="es-CO" w:eastAsia="es-CO"/>
        </w:rPr>
        <w:t>ral de sus habitantes y cumplir las demás funciones que le asignen la Constitución y las leyes.</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 </w:t>
      </w:r>
      <w:r w:rsidRPr="004A5F31">
        <w:rPr>
          <w:rFonts w:ascii="Bookman Old Style" w:hAnsi="Bookman Old Style" w:cs="Arial"/>
          <w:szCs w:val="24"/>
          <w:u w:val="single"/>
          <w:lang w:val="es-CO" w:eastAsia="es-CO"/>
        </w:rPr>
        <w:t>ARTÍCULO 313</w:t>
      </w:r>
      <w:r w:rsidRPr="004A5F31">
        <w:rPr>
          <w:rFonts w:ascii="Bookman Old Style" w:hAnsi="Bookman Old Style" w:cs="Arial"/>
          <w:szCs w:val="24"/>
          <w:lang w:val="es-CO" w:eastAsia="es-CO"/>
        </w:rPr>
        <w:t xml:space="preserve">. Corresponde a los concejos: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cs="Arial"/>
          <w:szCs w:val="24"/>
          <w:lang w:val="es-CO" w:eastAsia="es-CO"/>
        </w:rPr>
      </w:pPr>
      <w:r w:rsidRPr="004A5F31">
        <w:rPr>
          <w:rFonts w:ascii="Bookman Old Style" w:hAnsi="Bookman Old Style" w:cs="Arial"/>
          <w:szCs w:val="24"/>
          <w:lang w:val="es-CO" w:eastAsia="es-CO"/>
        </w:rPr>
        <w:t>1. Reglamentar las funciones y la eficiente prestación de los serv</w:t>
      </w:r>
      <w:r w:rsidRPr="004A5F31">
        <w:rPr>
          <w:rFonts w:ascii="Bookman Old Style" w:hAnsi="Bookman Old Style" w:cs="Arial"/>
          <w:szCs w:val="24"/>
          <w:lang w:val="es-CO" w:eastAsia="es-CO"/>
        </w:rPr>
        <w:t>i</w:t>
      </w:r>
      <w:r w:rsidRPr="004A5F31">
        <w:rPr>
          <w:rFonts w:ascii="Bookman Old Style" w:hAnsi="Bookman Old Style" w:cs="Arial"/>
          <w:szCs w:val="24"/>
          <w:lang w:val="es-CO" w:eastAsia="es-CO"/>
        </w:rPr>
        <w:t xml:space="preserve">cios a cargo del municipio.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cs="Arial"/>
          <w:szCs w:val="24"/>
          <w:lang w:val="es-CO" w:eastAsia="es-CO"/>
        </w:rPr>
      </w:pPr>
      <w:r w:rsidRPr="004A5F31">
        <w:rPr>
          <w:rFonts w:ascii="Bookman Old Style" w:hAnsi="Bookman Old Style" w:cs="Arial"/>
          <w:szCs w:val="24"/>
          <w:lang w:val="es-CO" w:eastAsia="es-CO"/>
        </w:rPr>
        <w:t xml:space="preserve">2. Adoptar los correspondientes planes y programas de desarrollo económico y social y de obras públicas.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3. Autorizar al alcalde para celebrar contratos y ejercer pro temp</w:t>
      </w:r>
      <w:r w:rsidRPr="004A5F31">
        <w:rPr>
          <w:rFonts w:ascii="Bookman Old Style" w:hAnsi="Bookman Old Style" w:cs="Arial"/>
          <w:szCs w:val="24"/>
          <w:lang w:val="es-CO" w:eastAsia="es-CO"/>
        </w:rPr>
        <w:t>o</w:t>
      </w:r>
      <w:r w:rsidRPr="004A5F31">
        <w:rPr>
          <w:rFonts w:ascii="Bookman Old Style" w:hAnsi="Bookman Old Style" w:cs="Arial"/>
          <w:szCs w:val="24"/>
          <w:lang w:val="es-CO" w:eastAsia="es-CO"/>
        </w:rPr>
        <w:t xml:space="preserve">re precisas funciones de las que corresponden al Concejo.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 xml:space="preserve">4. Votar de conformidad con la Constitución y la ley los tributos y los gastos locales.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5. Dictar las normas orgánicas del presupuesto y expedir anua</w:t>
      </w:r>
      <w:r w:rsidRPr="004A5F31">
        <w:rPr>
          <w:rFonts w:ascii="Bookman Old Style" w:hAnsi="Bookman Old Style" w:cs="Arial"/>
          <w:szCs w:val="24"/>
          <w:lang w:val="es-CO" w:eastAsia="es-CO"/>
        </w:rPr>
        <w:t>l</w:t>
      </w:r>
      <w:r w:rsidRPr="004A5F31">
        <w:rPr>
          <w:rFonts w:ascii="Bookman Old Style" w:hAnsi="Bookman Old Style" w:cs="Arial"/>
          <w:szCs w:val="24"/>
          <w:lang w:val="es-CO" w:eastAsia="es-CO"/>
        </w:rPr>
        <w:t xml:space="preserve">mente el presupuesto de rentas y gastos.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6. Determinar la estructura de la administración municipal y las funciones de sus dependencias; las escalas de remuneración c</w:t>
      </w:r>
      <w:r w:rsidRPr="004A5F31">
        <w:rPr>
          <w:rFonts w:ascii="Bookman Old Style" w:hAnsi="Bookman Old Style" w:cs="Arial"/>
          <w:szCs w:val="24"/>
          <w:lang w:val="es-CO" w:eastAsia="es-CO"/>
        </w:rPr>
        <w:t>o</w:t>
      </w:r>
      <w:r w:rsidRPr="004A5F31">
        <w:rPr>
          <w:rFonts w:ascii="Bookman Old Style" w:hAnsi="Bookman Old Style" w:cs="Arial"/>
          <w:szCs w:val="24"/>
          <w:lang w:val="es-CO" w:eastAsia="es-CO"/>
        </w:rPr>
        <w:t>rrespondientes a las distintas categorías de empleos; crear, a in</w:t>
      </w:r>
      <w:r w:rsidRPr="004A5F31">
        <w:rPr>
          <w:rFonts w:ascii="Bookman Old Style" w:hAnsi="Bookman Old Style" w:cs="Arial"/>
          <w:szCs w:val="24"/>
          <w:lang w:val="es-CO" w:eastAsia="es-CO"/>
        </w:rPr>
        <w:t>i</w:t>
      </w:r>
      <w:r w:rsidRPr="004A5F31">
        <w:rPr>
          <w:rFonts w:ascii="Bookman Old Style" w:hAnsi="Bookman Old Style" w:cs="Arial"/>
          <w:szCs w:val="24"/>
          <w:lang w:val="es-CO" w:eastAsia="es-CO"/>
        </w:rPr>
        <w:t>ciativa del alcalde, establecimientos públicos y empresas industri</w:t>
      </w:r>
      <w:r w:rsidRPr="004A5F31">
        <w:rPr>
          <w:rFonts w:ascii="Bookman Old Style" w:hAnsi="Bookman Old Style" w:cs="Arial"/>
          <w:szCs w:val="24"/>
          <w:lang w:val="es-CO" w:eastAsia="es-CO"/>
        </w:rPr>
        <w:t>a</w:t>
      </w:r>
      <w:r w:rsidRPr="004A5F31">
        <w:rPr>
          <w:rFonts w:ascii="Bookman Old Style" w:hAnsi="Bookman Old Style" w:cs="Arial"/>
          <w:szCs w:val="24"/>
          <w:lang w:val="es-CO" w:eastAsia="es-CO"/>
        </w:rPr>
        <w:t>les o comerciales y autorizar la constitución de sociedades de ec</w:t>
      </w:r>
      <w:r w:rsidRPr="004A5F31">
        <w:rPr>
          <w:rFonts w:ascii="Bookman Old Style" w:hAnsi="Bookman Old Style" w:cs="Arial"/>
          <w:szCs w:val="24"/>
          <w:lang w:val="es-CO" w:eastAsia="es-CO"/>
        </w:rPr>
        <w:t>o</w:t>
      </w:r>
      <w:r w:rsidRPr="004A5F31">
        <w:rPr>
          <w:rFonts w:ascii="Bookman Old Style" w:hAnsi="Bookman Old Style" w:cs="Arial"/>
          <w:szCs w:val="24"/>
          <w:lang w:val="es-CO" w:eastAsia="es-CO"/>
        </w:rPr>
        <w:t xml:space="preserve">nomía mixta.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7. Reglamentar los usos del suelo y, dentro de los límites que fije la ley, vigilar y controlar las actividades relacionadas con la constru</w:t>
      </w:r>
      <w:r w:rsidRPr="004A5F31">
        <w:rPr>
          <w:rFonts w:ascii="Bookman Old Style" w:hAnsi="Bookman Old Style" w:cs="Arial"/>
          <w:szCs w:val="24"/>
          <w:lang w:val="es-CO" w:eastAsia="es-CO"/>
        </w:rPr>
        <w:t>c</w:t>
      </w:r>
      <w:r w:rsidRPr="004A5F31">
        <w:rPr>
          <w:rFonts w:ascii="Bookman Old Style" w:hAnsi="Bookman Old Style" w:cs="Arial"/>
          <w:szCs w:val="24"/>
          <w:lang w:val="es-CO" w:eastAsia="es-CO"/>
        </w:rPr>
        <w:t xml:space="preserve">ción y enajenación de inmuebles destinados a vivienda.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8. Elegir Personero para el período que fije la ley y los demás fu</w:t>
      </w:r>
      <w:r w:rsidRPr="004A5F31">
        <w:rPr>
          <w:rFonts w:ascii="Bookman Old Style" w:hAnsi="Bookman Old Style" w:cs="Arial"/>
          <w:szCs w:val="24"/>
          <w:lang w:val="es-CO" w:eastAsia="es-CO"/>
        </w:rPr>
        <w:t>n</w:t>
      </w:r>
      <w:r w:rsidRPr="004A5F31">
        <w:rPr>
          <w:rFonts w:ascii="Bookman Old Style" w:hAnsi="Bookman Old Style" w:cs="Arial"/>
          <w:szCs w:val="24"/>
          <w:lang w:val="es-CO" w:eastAsia="es-CO"/>
        </w:rPr>
        <w:t xml:space="preserve">cionarios que ésta determine.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 xml:space="preserve">9. Dictar las normas necesarias para el control, la preservación y defensa del patrimonio ecológico y cultural del municipio.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10. Las demás que la Constitución y la ley le asignen.</w:t>
      </w:r>
    </w:p>
    <w:p w:rsidR="004A5F31" w:rsidRPr="004A5F31" w:rsidRDefault="004A5F31" w:rsidP="004A5F31">
      <w:pPr>
        <w:tabs>
          <w:tab w:val="left" w:pos="1418"/>
        </w:tabs>
        <w:ind w:left="1418"/>
        <w:rPr>
          <w:rFonts w:ascii="Bookman Old Style" w:hAnsi="Bookman Old Style"/>
          <w:szCs w:val="24"/>
          <w:lang w:val="es-CO"/>
        </w:rPr>
      </w:pP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u w:val="single"/>
          <w:lang w:val="es-CO" w:eastAsia="es-CO"/>
        </w:rPr>
        <w:t>ARTÍCULO 317</w:t>
      </w:r>
      <w:r w:rsidRPr="004A5F31">
        <w:rPr>
          <w:rFonts w:ascii="Bookman Old Style" w:hAnsi="Bookman Old Style" w:cs="Arial"/>
          <w:szCs w:val="24"/>
          <w:lang w:val="es-CO" w:eastAsia="es-CO"/>
        </w:rPr>
        <w:t>. Solo los municipios podrán gravar la propiedad inmueble. Lo anterior no obsta para que otras entidades impongan contribución de valorización.</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7"/>
        <w:jc w:val="both"/>
        <w:rPr>
          <w:rFonts w:ascii="Bookman Old Style" w:hAnsi="Bookman Old Style"/>
          <w:szCs w:val="24"/>
          <w:lang w:val="es-CO" w:eastAsia="es-CO"/>
        </w:rPr>
      </w:pPr>
      <w:r w:rsidRPr="004A5F31">
        <w:rPr>
          <w:rFonts w:ascii="Bookman Old Style" w:hAnsi="Bookman Old Style" w:cs="Arial"/>
          <w:szCs w:val="24"/>
          <w:lang w:val="es-CO" w:eastAsia="es-CO"/>
        </w:rPr>
        <w:t> </w:t>
      </w:r>
    </w:p>
    <w:p w:rsidR="004A5F31" w:rsidRPr="004A5F31" w:rsidRDefault="004A5F31" w:rsidP="004A5F3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49"/>
        <w:jc w:val="both"/>
        <w:rPr>
          <w:rFonts w:ascii="Bookman Old Style" w:hAnsi="Bookman Old Style"/>
          <w:szCs w:val="24"/>
          <w:lang w:val="es-CO" w:eastAsia="es-CO"/>
        </w:rPr>
      </w:pPr>
      <w:r w:rsidRPr="004A5F31">
        <w:rPr>
          <w:rFonts w:ascii="Bookman Old Style" w:hAnsi="Bookman Old Style" w:cs="Arial"/>
          <w:szCs w:val="24"/>
          <w:lang w:val="es-CO" w:eastAsia="es-CO"/>
        </w:rPr>
        <w:t>La ley destinará un porcentaje de estos tributos, que no podrá e</w:t>
      </w:r>
      <w:r w:rsidRPr="004A5F31">
        <w:rPr>
          <w:rFonts w:ascii="Bookman Old Style" w:hAnsi="Bookman Old Style" w:cs="Arial"/>
          <w:szCs w:val="24"/>
          <w:lang w:val="es-CO" w:eastAsia="es-CO"/>
        </w:rPr>
        <w:t>x</w:t>
      </w:r>
      <w:r w:rsidRPr="004A5F31">
        <w:rPr>
          <w:rFonts w:ascii="Bookman Old Style" w:hAnsi="Bookman Old Style" w:cs="Arial"/>
          <w:szCs w:val="24"/>
          <w:lang w:val="es-CO" w:eastAsia="es-CO"/>
        </w:rPr>
        <w:t>ceder del promedio de las sobretasas existentes, a las entidades encargadas del manejo y conservación del ambiente y de los recu</w:t>
      </w:r>
      <w:r w:rsidRPr="004A5F31">
        <w:rPr>
          <w:rFonts w:ascii="Bookman Old Style" w:hAnsi="Bookman Old Style" w:cs="Arial"/>
          <w:szCs w:val="24"/>
          <w:lang w:val="es-CO" w:eastAsia="es-CO"/>
        </w:rPr>
        <w:t>r</w:t>
      </w:r>
      <w:r w:rsidRPr="004A5F31">
        <w:rPr>
          <w:rFonts w:ascii="Bookman Old Style" w:hAnsi="Bookman Old Style" w:cs="Arial"/>
          <w:szCs w:val="24"/>
          <w:lang w:val="es-CO" w:eastAsia="es-CO"/>
        </w:rPr>
        <w:t>sos naturales renovables, de acuerdo con los planes de desarrollo de los municipios del área de su jurisdicción.</w:t>
      </w:r>
    </w:p>
    <w:p w:rsidR="004A5F31" w:rsidRPr="004A5F31" w:rsidRDefault="004A5F31" w:rsidP="004A5F31">
      <w:pPr>
        <w:tabs>
          <w:tab w:val="left" w:pos="1418"/>
        </w:tabs>
        <w:ind w:left="1418"/>
        <w:rPr>
          <w:rFonts w:ascii="Bookman Old Style" w:hAnsi="Bookman Old Style"/>
          <w:szCs w:val="24"/>
          <w:lang w:val="es-CO"/>
        </w:rPr>
      </w:pP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szCs w:val="24"/>
          <w:u w:val="single"/>
          <w:lang w:val="es-CO" w:eastAsia="es-CO"/>
        </w:rPr>
        <w:t>ARTÍCULO 322</w:t>
      </w:r>
      <w:r w:rsidRPr="004A5F31">
        <w:rPr>
          <w:rFonts w:ascii="Bookman Old Style" w:hAnsi="Bookman Old Style" w:cs="Arial"/>
          <w:bCs/>
          <w:szCs w:val="24"/>
          <w:lang w:val="es-CO" w:eastAsia="es-CO"/>
        </w:rPr>
        <w:t xml:space="preserve">. </w:t>
      </w:r>
      <w:r w:rsidRPr="004A5F31">
        <w:rPr>
          <w:rFonts w:ascii="Bookman Old Style" w:hAnsi="Bookman Old Style" w:cs="Arial"/>
          <w:bCs/>
          <w:i/>
          <w:szCs w:val="24"/>
          <w:lang w:val="es-CO" w:eastAsia="es-CO"/>
        </w:rPr>
        <w:t xml:space="preserve">Modificado por el Acto Legislativo </w:t>
      </w:r>
      <w:r w:rsidRPr="004A5F31">
        <w:rPr>
          <w:rFonts w:ascii="Bookman Old Style" w:hAnsi="Bookman Old Style" w:cs="Arial"/>
          <w:i/>
          <w:szCs w:val="24"/>
          <w:lang w:val="es-CO" w:eastAsia="es-CO"/>
        </w:rPr>
        <w:t>01 de 2000. El nuevo texto es el siguiente</w:t>
      </w:r>
      <w:r w:rsidRPr="004A5F31">
        <w:rPr>
          <w:rFonts w:ascii="Bookman Old Style" w:hAnsi="Bookman Old Style" w:cs="Arial"/>
          <w:szCs w:val="24"/>
          <w:lang w:val="es-CO" w:eastAsia="es-CO"/>
        </w:rPr>
        <w:t>. Bogotá, Capital de la República y el D</w:t>
      </w:r>
      <w:r w:rsidRPr="004A5F31">
        <w:rPr>
          <w:rFonts w:ascii="Bookman Old Style" w:hAnsi="Bookman Old Style" w:cs="Arial"/>
          <w:szCs w:val="24"/>
          <w:lang w:val="es-CO" w:eastAsia="es-CO"/>
        </w:rPr>
        <w:t>e</w:t>
      </w:r>
      <w:r w:rsidRPr="004A5F31">
        <w:rPr>
          <w:rFonts w:ascii="Bookman Old Style" w:hAnsi="Bookman Old Style" w:cs="Arial"/>
          <w:szCs w:val="24"/>
          <w:lang w:val="es-CO" w:eastAsia="es-CO"/>
        </w:rPr>
        <w:t>partamento de Cundinamarca, se organiza como Distrito Capital.</w:t>
      </w:r>
    </w:p>
    <w:p w:rsidR="004A5F31" w:rsidRPr="004A5F31" w:rsidRDefault="004A5F31" w:rsidP="004A5F31">
      <w:pPr>
        <w:tabs>
          <w:tab w:val="left" w:pos="1418"/>
        </w:tabs>
        <w:ind w:left="1418"/>
        <w:jc w:val="both"/>
        <w:rPr>
          <w:rFonts w:ascii="Bookman Old Style" w:hAnsi="Bookman Old Style" w:cs="Arial"/>
          <w:szCs w:val="24"/>
          <w:lang w:eastAsia="es-CO"/>
        </w:rPr>
      </w:pP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szCs w:val="24"/>
          <w:lang w:eastAsia="es-CO"/>
        </w:rPr>
        <w:t>Su régimen político, fiscal y administrativo será el que determinen la Constitución, las leyes especiales que para el mismo se dicten y las disposiciones vigentes para los municipios.</w:t>
      </w:r>
    </w:p>
    <w:p w:rsidR="004A5F31" w:rsidRPr="004A5F31" w:rsidRDefault="004A5F31" w:rsidP="004A5F31">
      <w:pPr>
        <w:tabs>
          <w:tab w:val="left" w:pos="1418"/>
        </w:tabs>
        <w:ind w:left="1418"/>
        <w:jc w:val="both"/>
        <w:rPr>
          <w:rFonts w:ascii="Bookman Old Style" w:hAnsi="Bookman Old Style" w:cs="Arial"/>
          <w:szCs w:val="24"/>
          <w:lang w:eastAsia="es-CO"/>
        </w:rPr>
      </w:pPr>
    </w:p>
    <w:p w:rsidR="004A5F31" w:rsidRPr="004A5F31" w:rsidRDefault="004A5F31" w:rsidP="004A5F31">
      <w:pPr>
        <w:tabs>
          <w:tab w:val="left" w:pos="1418"/>
        </w:tabs>
        <w:ind w:left="1418"/>
        <w:jc w:val="both"/>
        <w:rPr>
          <w:rFonts w:ascii="Bookman Old Style" w:hAnsi="Bookman Old Style"/>
          <w:szCs w:val="24"/>
          <w:lang w:val="es-CO" w:eastAsia="es-CO"/>
        </w:rPr>
      </w:pPr>
      <w:r w:rsidRPr="004A5F31">
        <w:rPr>
          <w:rFonts w:ascii="Bookman Old Style" w:hAnsi="Bookman Old Style" w:cs="Arial"/>
          <w:szCs w:val="24"/>
          <w:lang w:eastAsia="es-CO"/>
        </w:rPr>
        <w:t>Con base en las normas generales que establezca la ley, el concejo a iniciativa del alcalde, dividirá el territorio distrital en localidades, de acuerdo con las características sociales de sus habitantes, y h</w:t>
      </w:r>
      <w:r w:rsidRPr="004A5F31">
        <w:rPr>
          <w:rFonts w:ascii="Bookman Old Style" w:hAnsi="Bookman Old Style" w:cs="Arial"/>
          <w:szCs w:val="24"/>
          <w:lang w:eastAsia="es-CO"/>
        </w:rPr>
        <w:t>a</w:t>
      </w:r>
      <w:r w:rsidRPr="004A5F31">
        <w:rPr>
          <w:rFonts w:ascii="Bookman Old Style" w:hAnsi="Bookman Old Style" w:cs="Arial"/>
          <w:szCs w:val="24"/>
          <w:lang w:eastAsia="es-CO"/>
        </w:rPr>
        <w:t>rá el correspondiente reparto de competencias y funciones admini</w:t>
      </w:r>
      <w:r w:rsidRPr="004A5F31">
        <w:rPr>
          <w:rFonts w:ascii="Bookman Old Style" w:hAnsi="Bookman Old Style" w:cs="Arial"/>
          <w:szCs w:val="24"/>
          <w:lang w:eastAsia="es-CO"/>
        </w:rPr>
        <w:t>s</w:t>
      </w:r>
      <w:r w:rsidRPr="004A5F31">
        <w:rPr>
          <w:rFonts w:ascii="Bookman Old Style" w:hAnsi="Bookman Old Style" w:cs="Arial"/>
          <w:szCs w:val="24"/>
          <w:lang w:eastAsia="es-CO"/>
        </w:rPr>
        <w:t>trativas.</w:t>
      </w:r>
    </w:p>
    <w:p w:rsidR="004A5F31" w:rsidRPr="004A5F31" w:rsidRDefault="004A5F31" w:rsidP="004A5F31">
      <w:pPr>
        <w:tabs>
          <w:tab w:val="left" w:pos="1418"/>
        </w:tabs>
        <w:ind w:left="1418"/>
        <w:jc w:val="both"/>
        <w:rPr>
          <w:rFonts w:ascii="Bookman Old Style" w:hAnsi="Bookman Old Style" w:cs="Arial"/>
          <w:szCs w:val="24"/>
          <w:lang w:eastAsia="es-CO"/>
        </w:rPr>
      </w:pPr>
    </w:p>
    <w:p w:rsidR="004A5F31" w:rsidRPr="004A5F31" w:rsidRDefault="004A5F31" w:rsidP="004A5F31">
      <w:pPr>
        <w:tabs>
          <w:tab w:val="left" w:pos="1418"/>
        </w:tabs>
        <w:ind w:left="1418"/>
        <w:jc w:val="both"/>
        <w:rPr>
          <w:rFonts w:ascii="Bookman Old Style" w:hAnsi="Bookman Old Style" w:cs="Arial"/>
          <w:szCs w:val="24"/>
          <w:lang w:eastAsia="es-CO"/>
        </w:rPr>
      </w:pPr>
      <w:r w:rsidRPr="004A5F31">
        <w:rPr>
          <w:rFonts w:ascii="Bookman Old Style" w:hAnsi="Bookman Old Style" w:cs="Arial"/>
          <w:szCs w:val="24"/>
          <w:lang w:eastAsia="es-CO"/>
        </w:rPr>
        <w:t>A las autoridades distritales corresponderá garantizar el desarrollo armónico e integrado de la ciudad y la eficiente prestación de los servicios a cargo del Distrito; a las locales, la gestión de los asuntos propios de su territorio.</w:t>
      </w:r>
    </w:p>
    <w:p w:rsidR="004A5F31" w:rsidRPr="004A5F31" w:rsidRDefault="004A5F31" w:rsidP="004A5F31">
      <w:pPr>
        <w:tabs>
          <w:tab w:val="left" w:pos="1418"/>
        </w:tabs>
        <w:ind w:left="1418"/>
        <w:jc w:val="both"/>
        <w:rPr>
          <w:rFonts w:ascii="Bookman Old Style" w:hAnsi="Bookman Old Style" w:cs="Arial"/>
          <w:szCs w:val="24"/>
          <w:lang w:eastAsia="es-CO"/>
        </w:rPr>
      </w:pPr>
    </w:p>
    <w:p w:rsidR="004A5F31" w:rsidRPr="004A5F31" w:rsidRDefault="004A5F31" w:rsidP="004A5F31">
      <w:pPr>
        <w:tabs>
          <w:tab w:val="left" w:pos="1418"/>
        </w:tabs>
        <w:ind w:left="1418"/>
        <w:jc w:val="both"/>
        <w:rPr>
          <w:rFonts w:ascii="Bookman Old Style" w:hAnsi="Bookman Old Style" w:cs="Arial"/>
          <w:szCs w:val="24"/>
          <w:lang w:eastAsia="es-CO"/>
        </w:rPr>
      </w:pPr>
      <w:r w:rsidRPr="004A5F31">
        <w:rPr>
          <w:rFonts w:ascii="Bookman Old Style" w:hAnsi="Bookman Old Style" w:cs="Arial"/>
          <w:szCs w:val="24"/>
          <w:u w:val="single"/>
          <w:lang w:eastAsia="es-CO"/>
        </w:rPr>
        <w:t>ARTICULO   338</w:t>
      </w:r>
      <w:r w:rsidRPr="004A5F31">
        <w:rPr>
          <w:rFonts w:ascii="Bookman Old Style" w:hAnsi="Bookman Old Style" w:cs="Arial"/>
          <w:szCs w:val="24"/>
          <w:lang w:eastAsia="es-CO"/>
        </w:rPr>
        <w:t>. En tiempo de paz, solamente el Congreso, las asambleas departamentales y los concejos distritales y municipales podrán imponer contribuciones fiscales o parafiscales. La ley, las ordenanzas y los acuerdos deben fijar, directamente, los sujetos a</w:t>
      </w:r>
      <w:r w:rsidRPr="004A5F31">
        <w:rPr>
          <w:rFonts w:ascii="Bookman Old Style" w:hAnsi="Bookman Old Style" w:cs="Arial"/>
          <w:szCs w:val="24"/>
          <w:lang w:eastAsia="es-CO"/>
        </w:rPr>
        <w:t>c</w:t>
      </w:r>
      <w:r w:rsidRPr="004A5F31">
        <w:rPr>
          <w:rFonts w:ascii="Bookman Old Style" w:hAnsi="Bookman Old Style" w:cs="Arial"/>
          <w:szCs w:val="24"/>
          <w:lang w:eastAsia="es-CO"/>
        </w:rPr>
        <w:t>tivos y pasivos, los hechos y las bases gravables, y las tarifas de los impuestos.</w:t>
      </w:r>
    </w:p>
    <w:p w:rsidR="004A5F31" w:rsidRPr="004A5F31" w:rsidRDefault="004A5F31" w:rsidP="004A5F31">
      <w:pPr>
        <w:tabs>
          <w:tab w:val="left" w:pos="1418"/>
        </w:tabs>
        <w:ind w:left="1418"/>
        <w:jc w:val="both"/>
        <w:rPr>
          <w:rFonts w:ascii="Bookman Old Style" w:hAnsi="Bookman Old Style" w:cs="Arial"/>
          <w:szCs w:val="24"/>
          <w:lang w:eastAsia="es-CO"/>
        </w:rPr>
      </w:pPr>
    </w:p>
    <w:p w:rsidR="004A5F31" w:rsidRPr="004A5F31" w:rsidRDefault="004A5F31" w:rsidP="004A5F31">
      <w:pPr>
        <w:tabs>
          <w:tab w:val="left" w:pos="1418"/>
        </w:tabs>
        <w:ind w:left="1418"/>
        <w:jc w:val="both"/>
        <w:rPr>
          <w:rFonts w:ascii="Bookman Old Style" w:hAnsi="Bookman Old Style" w:cs="Arial"/>
          <w:szCs w:val="24"/>
          <w:lang w:eastAsia="es-CO"/>
        </w:rPr>
      </w:pPr>
      <w:r w:rsidRPr="004A5F31">
        <w:rPr>
          <w:rFonts w:ascii="Bookman Old Style" w:hAnsi="Bookman Old Style" w:cs="Arial"/>
          <w:szCs w:val="24"/>
          <w:lang w:eastAsia="es-CO"/>
        </w:rPr>
        <w:t>La ley, las ordenanzas y los acuerdos pueden permitir que las aut</w:t>
      </w:r>
      <w:r w:rsidRPr="004A5F31">
        <w:rPr>
          <w:rFonts w:ascii="Bookman Old Style" w:hAnsi="Bookman Old Style" w:cs="Arial"/>
          <w:szCs w:val="24"/>
          <w:lang w:eastAsia="es-CO"/>
        </w:rPr>
        <w:t>o</w:t>
      </w:r>
      <w:r w:rsidRPr="004A5F31">
        <w:rPr>
          <w:rFonts w:ascii="Bookman Old Style" w:hAnsi="Bookman Old Style" w:cs="Arial"/>
          <w:szCs w:val="24"/>
          <w:lang w:eastAsia="es-CO"/>
        </w:rPr>
        <w:t>ridades fijen la tarifa de las tasas y contribuciones que cobren a los contribuyentes, como recuperación de los costos de los servicios que les presten o participación en los beneficios que les proporci</w:t>
      </w:r>
      <w:r w:rsidRPr="004A5F31">
        <w:rPr>
          <w:rFonts w:ascii="Bookman Old Style" w:hAnsi="Bookman Old Style" w:cs="Arial"/>
          <w:szCs w:val="24"/>
          <w:lang w:eastAsia="es-CO"/>
        </w:rPr>
        <w:t>o</w:t>
      </w:r>
      <w:r w:rsidRPr="004A5F31">
        <w:rPr>
          <w:rFonts w:ascii="Bookman Old Style" w:hAnsi="Bookman Old Style" w:cs="Arial"/>
          <w:szCs w:val="24"/>
          <w:lang w:eastAsia="es-CO"/>
        </w:rPr>
        <w:t>nen; pero el sistema y el método para definir tales costos y benef</w:t>
      </w:r>
      <w:r w:rsidRPr="004A5F31">
        <w:rPr>
          <w:rFonts w:ascii="Bookman Old Style" w:hAnsi="Bookman Old Style" w:cs="Arial"/>
          <w:szCs w:val="24"/>
          <w:lang w:eastAsia="es-CO"/>
        </w:rPr>
        <w:t>i</w:t>
      </w:r>
      <w:r w:rsidRPr="004A5F31">
        <w:rPr>
          <w:rFonts w:ascii="Bookman Old Style" w:hAnsi="Bookman Old Style" w:cs="Arial"/>
          <w:szCs w:val="24"/>
          <w:lang w:eastAsia="es-CO"/>
        </w:rPr>
        <w:t>cios, y la forma de hacer su reparto, deben ser fijados por la ley, las ordenanzas o los acuerdos.</w:t>
      </w:r>
    </w:p>
    <w:p w:rsidR="004A5F31" w:rsidRPr="004A5F31" w:rsidRDefault="004A5F31" w:rsidP="004A5F31">
      <w:pPr>
        <w:tabs>
          <w:tab w:val="left" w:pos="1418"/>
        </w:tabs>
        <w:ind w:left="1418"/>
        <w:jc w:val="both"/>
        <w:rPr>
          <w:rFonts w:ascii="Bookman Old Style" w:hAnsi="Bookman Old Style" w:cs="Arial"/>
          <w:szCs w:val="24"/>
          <w:lang w:eastAsia="es-CO"/>
        </w:rPr>
      </w:pPr>
    </w:p>
    <w:p w:rsidR="004A5F31" w:rsidRPr="004A5F31" w:rsidRDefault="004A5F31" w:rsidP="004A5F31">
      <w:pPr>
        <w:tabs>
          <w:tab w:val="left" w:pos="1418"/>
        </w:tabs>
        <w:ind w:left="1418"/>
        <w:jc w:val="both"/>
        <w:rPr>
          <w:rFonts w:ascii="Bookman Old Style" w:hAnsi="Bookman Old Style" w:cs="Arial"/>
          <w:szCs w:val="24"/>
          <w:lang w:eastAsia="es-CO"/>
        </w:rPr>
      </w:pPr>
      <w:r w:rsidRPr="004A5F31">
        <w:rPr>
          <w:rFonts w:ascii="Bookman Old Style" w:hAnsi="Bookman Old Style" w:cs="Arial"/>
          <w:szCs w:val="24"/>
          <w:lang w:eastAsia="es-CO"/>
        </w:rPr>
        <w:t>Las leyes, ordenanzas o acuerdos que regulen contribuciones en las que la base sea el resultado de hechos ocurridos durante un perí</w:t>
      </w:r>
      <w:r w:rsidRPr="004A5F31">
        <w:rPr>
          <w:rFonts w:ascii="Bookman Old Style" w:hAnsi="Bookman Old Style" w:cs="Arial"/>
          <w:szCs w:val="24"/>
          <w:lang w:eastAsia="es-CO"/>
        </w:rPr>
        <w:t>o</w:t>
      </w:r>
      <w:r w:rsidRPr="004A5F31">
        <w:rPr>
          <w:rFonts w:ascii="Bookman Old Style" w:hAnsi="Bookman Old Style" w:cs="Arial"/>
          <w:szCs w:val="24"/>
          <w:lang w:eastAsia="es-CO"/>
        </w:rPr>
        <w:t>do determinado, no pueden aplicarse sino a partir del período que comience después de iniciar la vigencia de la respectiva ley, ord</w:t>
      </w:r>
      <w:r w:rsidRPr="004A5F31">
        <w:rPr>
          <w:rFonts w:ascii="Bookman Old Style" w:hAnsi="Bookman Old Style" w:cs="Arial"/>
          <w:szCs w:val="24"/>
          <w:lang w:eastAsia="es-CO"/>
        </w:rPr>
        <w:t>e</w:t>
      </w:r>
      <w:r w:rsidRPr="004A5F31">
        <w:rPr>
          <w:rFonts w:ascii="Bookman Old Style" w:hAnsi="Bookman Old Style" w:cs="Arial"/>
          <w:szCs w:val="24"/>
          <w:lang w:eastAsia="es-CO"/>
        </w:rPr>
        <w:t>nanza o acuerdo.</w:t>
      </w:r>
    </w:p>
    <w:p w:rsidR="004A5F31" w:rsidRPr="004A5F31" w:rsidRDefault="004A5F31" w:rsidP="004A5F31">
      <w:pPr>
        <w:tabs>
          <w:tab w:val="left" w:pos="1418"/>
        </w:tabs>
        <w:ind w:left="1418"/>
        <w:jc w:val="both"/>
        <w:rPr>
          <w:rFonts w:ascii="Bookman Old Style" w:hAnsi="Bookman Old Style" w:cs="Arial"/>
          <w:szCs w:val="24"/>
          <w:lang w:eastAsia="es-CO"/>
        </w:rPr>
      </w:pPr>
      <w:r w:rsidRPr="004A5F31">
        <w:rPr>
          <w:rFonts w:ascii="Bookman Old Style" w:hAnsi="Bookman Old Style" w:cs="Arial"/>
          <w:szCs w:val="24"/>
          <w:u w:val="single"/>
          <w:lang w:eastAsia="es-CO"/>
        </w:rPr>
        <w:t>ARTICULO  363</w:t>
      </w:r>
      <w:r w:rsidRPr="004A5F31">
        <w:rPr>
          <w:rFonts w:ascii="Bookman Old Style" w:hAnsi="Bookman Old Style" w:cs="Arial"/>
          <w:szCs w:val="24"/>
          <w:lang w:eastAsia="es-CO"/>
        </w:rPr>
        <w:t>. El sistema tributario se funda en los principios de equidad, eficiencia y progresividad.</w:t>
      </w:r>
    </w:p>
    <w:p w:rsidR="004A5F31" w:rsidRPr="004A5F31" w:rsidRDefault="004A5F31" w:rsidP="004A5F31">
      <w:pPr>
        <w:tabs>
          <w:tab w:val="left" w:pos="1418"/>
        </w:tabs>
        <w:ind w:left="1418"/>
        <w:jc w:val="both"/>
        <w:rPr>
          <w:rFonts w:ascii="Bookman Old Style" w:hAnsi="Bookman Old Style" w:cs="Arial"/>
          <w:szCs w:val="24"/>
          <w:lang w:eastAsia="es-CO"/>
        </w:rPr>
      </w:pPr>
    </w:p>
    <w:p w:rsidR="004A5F31" w:rsidRPr="004A5F31" w:rsidRDefault="004A5F31" w:rsidP="004A5F31">
      <w:pPr>
        <w:tabs>
          <w:tab w:val="left" w:pos="1418"/>
        </w:tabs>
        <w:ind w:left="1418"/>
        <w:jc w:val="both"/>
        <w:rPr>
          <w:rFonts w:ascii="Bookman Old Style" w:hAnsi="Bookman Old Style" w:cs="Arial"/>
          <w:szCs w:val="24"/>
          <w:lang w:eastAsia="es-CO"/>
        </w:rPr>
      </w:pPr>
      <w:r w:rsidRPr="004A5F31">
        <w:rPr>
          <w:rFonts w:ascii="Bookman Old Style" w:hAnsi="Bookman Old Style" w:cs="Arial"/>
          <w:szCs w:val="24"/>
          <w:lang w:eastAsia="es-CO"/>
        </w:rPr>
        <w:t>Las leyes tributarias no se aplicarán con retroactividad.</w:t>
      </w:r>
    </w:p>
    <w:p w:rsidR="004A5F31" w:rsidRPr="004A5F31" w:rsidRDefault="004A5F31" w:rsidP="004A5F31">
      <w:pPr>
        <w:ind w:left="708"/>
        <w:jc w:val="both"/>
        <w:rPr>
          <w:rFonts w:ascii="Bookman Old Style" w:hAnsi="Bookman Old Style" w:cs="Arial"/>
          <w:szCs w:val="24"/>
          <w:lang w:eastAsia="es-CO"/>
        </w:rPr>
      </w:pPr>
    </w:p>
    <w:p w:rsidR="004A5F31" w:rsidRPr="004A5F31" w:rsidRDefault="004A5F31" w:rsidP="004A5F31">
      <w:pPr>
        <w:ind w:left="708"/>
        <w:jc w:val="both"/>
        <w:rPr>
          <w:rFonts w:ascii="Bookman Old Style" w:hAnsi="Bookman Old Style" w:cs="Arial"/>
          <w:szCs w:val="24"/>
          <w:lang w:eastAsia="es-CO"/>
        </w:rPr>
      </w:pPr>
    </w:p>
    <w:p w:rsidR="004A5F31" w:rsidRPr="004A5F31" w:rsidRDefault="004A5F31" w:rsidP="004A5F31">
      <w:pPr>
        <w:numPr>
          <w:ilvl w:val="1"/>
          <w:numId w:val="6"/>
        </w:numPr>
        <w:spacing w:line="259" w:lineRule="auto"/>
        <w:ind w:right="51"/>
        <w:jc w:val="both"/>
        <w:rPr>
          <w:rFonts w:ascii="Bookman Old Style" w:hAnsi="Bookman Old Style" w:cs="Arial"/>
          <w:b/>
          <w:szCs w:val="24"/>
          <w:lang w:eastAsia="es-CO"/>
        </w:rPr>
      </w:pPr>
      <w:r w:rsidRPr="004A5F31">
        <w:rPr>
          <w:rFonts w:ascii="Bookman Old Style" w:hAnsi="Bookman Old Style" w:cs="Arial"/>
          <w:b/>
          <w:szCs w:val="24"/>
          <w:lang w:eastAsia="es-CO"/>
        </w:rPr>
        <w:t>LEYES</w:t>
      </w:r>
    </w:p>
    <w:p w:rsidR="004A5F31" w:rsidRPr="004A5F31" w:rsidRDefault="004A5F31" w:rsidP="004A5F31">
      <w:pPr>
        <w:ind w:left="708"/>
        <w:jc w:val="both"/>
        <w:rPr>
          <w:rFonts w:ascii="Bookman Old Style" w:hAnsi="Bookman Old Style" w:cs="Arial"/>
          <w:b/>
          <w:bCs/>
          <w:szCs w:val="24"/>
        </w:rPr>
      </w:pPr>
    </w:p>
    <w:p w:rsidR="004A5F31" w:rsidRPr="004A5F31" w:rsidRDefault="004A5F31" w:rsidP="004A5F31">
      <w:pPr>
        <w:numPr>
          <w:ilvl w:val="0"/>
          <w:numId w:val="9"/>
        </w:numPr>
        <w:spacing w:line="259" w:lineRule="auto"/>
        <w:contextualSpacing/>
        <w:jc w:val="both"/>
        <w:rPr>
          <w:rFonts w:ascii="Bookman Old Style" w:hAnsi="Bookman Old Style" w:cs="Arial"/>
          <w:b/>
          <w:bCs/>
          <w:szCs w:val="24"/>
        </w:rPr>
      </w:pPr>
      <w:r w:rsidRPr="004A5F31">
        <w:rPr>
          <w:rFonts w:ascii="Bookman Old Style" w:hAnsi="Bookman Old Style" w:cs="Arial"/>
          <w:b/>
          <w:bCs/>
          <w:szCs w:val="24"/>
        </w:rPr>
        <w:t xml:space="preserve">Ley 14 de 1983 </w:t>
      </w:r>
      <w:r w:rsidRPr="004A5F31">
        <w:rPr>
          <w:rFonts w:ascii="Bookman Old Style" w:hAnsi="Bookman Old Style" w:cs="Arial"/>
          <w:bCs/>
          <w:szCs w:val="24"/>
          <w:lang w:val="es-CO"/>
        </w:rPr>
        <w:t>Por la cual se fortalecen los fiscos de las entidades territoriales y se dictan otras disposiciones</w:t>
      </w:r>
    </w:p>
    <w:p w:rsidR="004A5F31" w:rsidRPr="004A5F31" w:rsidRDefault="004A5F31" w:rsidP="004A5F31">
      <w:pPr>
        <w:ind w:left="708"/>
        <w:jc w:val="both"/>
        <w:rPr>
          <w:rFonts w:ascii="Bookman Old Style" w:hAnsi="Bookman Old Style" w:cs="Arial"/>
          <w:b/>
          <w:bCs/>
          <w:szCs w:val="24"/>
        </w:rPr>
      </w:pPr>
    </w:p>
    <w:p w:rsidR="004A5F31" w:rsidRPr="004A5F31" w:rsidRDefault="004A5F31" w:rsidP="004A5F31">
      <w:pPr>
        <w:numPr>
          <w:ilvl w:val="0"/>
          <w:numId w:val="9"/>
        </w:numPr>
        <w:spacing w:line="259" w:lineRule="auto"/>
        <w:contextualSpacing/>
        <w:jc w:val="both"/>
        <w:rPr>
          <w:rFonts w:ascii="Bookman Old Style" w:hAnsi="Bookman Old Style" w:cs="Arial"/>
          <w:b/>
          <w:bCs/>
          <w:szCs w:val="24"/>
        </w:rPr>
      </w:pPr>
      <w:r w:rsidRPr="004A5F31">
        <w:rPr>
          <w:rFonts w:ascii="Bookman Old Style" w:hAnsi="Bookman Old Style" w:cs="Arial"/>
          <w:b/>
          <w:bCs/>
          <w:szCs w:val="24"/>
        </w:rPr>
        <w:t xml:space="preserve">Ley 44 de 1990 </w:t>
      </w:r>
      <w:r w:rsidRPr="004A5F31">
        <w:rPr>
          <w:rFonts w:ascii="Bookman Old Style" w:hAnsi="Bookman Old Style" w:cs="Arial"/>
          <w:bCs/>
          <w:szCs w:val="24"/>
        </w:rPr>
        <w:t>P</w:t>
      </w:r>
      <w:proofErr w:type="spellStart"/>
      <w:r w:rsidRPr="004A5F31">
        <w:rPr>
          <w:rFonts w:ascii="Bookman Old Style" w:hAnsi="Bookman Old Style" w:cs="Arial"/>
          <w:bCs/>
          <w:szCs w:val="24"/>
          <w:lang w:val="es-CO"/>
        </w:rPr>
        <w:t>or</w:t>
      </w:r>
      <w:proofErr w:type="spellEnd"/>
      <w:r w:rsidRPr="004A5F31">
        <w:rPr>
          <w:rFonts w:ascii="Bookman Old Style" w:hAnsi="Bookman Old Style" w:cs="Arial"/>
          <w:bCs/>
          <w:szCs w:val="24"/>
          <w:lang w:val="es-CO"/>
        </w:rPr>
        <w:t xml:space="preserve"> la cual se dictan normas sobre catastro e i</w:t>
      </w:r>
      <w:r w:rsidRPr="004A5F31">
        <w:rPr>
          <w:rFonts w:ascii="Bookman Old Style" w:hAnsi="Bookman Old Style" w:cs="Arial"/>
          <w:bCs/>
          <w:szCs w:val="24"/>
          <w:lang w:val="es-CO"/>
        </w:rPr>
        <w:t>m</w:t>
      </w:r>
      <w:r w:rsidRPr="004A5F31">
        <w:rPr>
          <w:rFonts w:ascii="Bookman Old Style" w:hAnsi="Bookman Old Style" w:cs="Arial"/>
          <w:bCs/>
          <w:szCs w:val="24"/>
          <w:lang w:val="es-CO"/>
        </w:rPr>
        <w:t>puestos sobre la propiedad raíz, se dictan otras disposiciones de carácter tributario, y se conceden unas facultades extraordinarias.</w:t>
      </w:r>
    </w:p>
    <w:p w:rsidR="004A5F31" w:rsidRPr="004A5F31" w:rsidRDefault="004A5F31" w:rsidP="004A5F31">
      <w:pPr>
        <w:ind w:left="708"/>
        <w:jc w:val="both"/>
        <w:rPr>
          <w:rFonts w:ascii="Bookman Old Style" w:hAnsi="Bookman Old Style" w:cs="Arial"/>
          <w:b/>
          <w:bCs/>
          <w:szCs w:val="24"/>
        </w:rPr>
      </w:pPr>
    </w:p>
    <w:p w:rsidR="004A5F31" w:rsidRPr="004A5F31" w:rsidRDefault="004A5F31" w:rsidP="004A5F31">
      <w:pPr>
        <w:numPr>
          <w:ilvl w:val="0"/>
          <w:numId w:val="9"/>
        </w:numPr>
        <w:spacing w:line="259" w:lineRule="auto"/>
        <w:contextualSpacing/>
        <w:jc w:val="both"/>
        <w:rPr>
          <w:rFonts w:ascii="Bookman Old Style" w:hAnsi="Bookman Old Style"/>
          <w:szCs w:val="24"/>
          <w:lang w:val="es-CO"/>
        </w:rPr>
      </w:pPr>
      <w:r w:rsidRPr="004A5F31">
        <w:rPr>
          <w:rFonts w:ascii="Bookman Old Style" w:hAnsi="Bookman Old Style" w:cs="Arial"/>
          <w:b/>
          <w:bCs/>
          <w:szCs w:val="24"/>
        </w:rPr>
        <w:t xml:space="preserve">Decreto-Ley 1421 de 1993. </w:t>
      </w:r>
      <w:r w:rsidRPr="004A5F31">
        <w:rPr>
          <w:rFonts w:ascii="Bookman Old Style" w:hAnsi="Bookman Old Style"/>
          <w:szCs w:val="24"/>
          <w:lang w:val="es-CO"/>
        </w:rPr>
        <w:t>"Por el cual se dicta el régimen esp</w:t>
      </w:r>
      <w:r w:rsidRPr="004A5F31">
        <w:rPr>
          <w:rFonts w:ascii="Bookman Old Style" w:hAnsi="Bookman Old Style"/>
          <w:szCs w:val="24"/>
          <w:lang w:val="es-CO"/>
        </w:rPr>
        <w:t>e</w:t>
      </w:r>
      <w:r w:rsidRPr="004A5F31">
        <w:rPr>
          <w:rFonts w:ascii="Bookman Old Style" w:hAnsi="Bookman Old Style"/>
          <w:szCs w:val="24"/>
          <w:lang w:val="es-CO"/>
        </w:rPr>
        <w:t>cial para el Distrito Capital de Santafé de Bogotá"</w:t>
      </w:r>
    </w:p>
    <w:p w:rsidR="004A5F31" w:rsidRPr="004A5F31" w:rsidRDefault="004A5F31" w:rsidP="004A5F31">
      <w:pPr>
        <w:ind w:left="708"/>
        <w:jc w:val="both"/>
        <w:rPr>
          <w:rFonts w:ascii="Bookman Old Style" w:hAnsi="Bookman Old Style"/>
          <w:szCs w:val="24"/>
          <w:lang w:val="es-CO"/>
        </w:rPr>
      </w:pPr>
    </w:p>
    <w:p w:rsidR="004A5F31" w:rsidRPr="004A5F31" w:rsidRDefault="004A5F31" w:rsidP="004A5F31">
      <w:pPr>
        <w:numPr>
          <w:ilvl w:val="0"/>
          <w:numId w:val="9"/>
        </w:numPr>
        <w:spacing w:line="259" w:lineRule="auto"/>
        <w:contextualSpacing/>
        <w:jc w:val="both"/>
        <w:rPr>
          <w:rFonts w:ascii="Bookman Old Style" w:hAnsi="Bookman Old Style"/>
          <w:szCs w:val="24"/>
          <w:lang w:val="es-CO"/>
        </w:rPr>
      </w:pPr>
      <w:r w:rsidRPr="004A5F31">
        <w:rPr>
          <w:rFonts w:ascii="Bookman Old Style" w:hAnsi="Bookman Old Style"/>
          <w:b/>
          <w:szCs w:val="24"/>
          <w:lang w:val="es-CO"/>
        </w:rPr>
        <w:t>Ley 388 de 1997</w:t>
      </w:r>
      <w:r w:rsidRPr="004A5F31">
        <w:rPr>
          <w:rFonts w:ascii="Bookman Old Style" w:hAnsi="Bookman Old Style"/>
          <w:szCs w:val="24"/>
          <w:lang w:val="es-CO"/>
        </w:rPr>
        <w:t xml:space="preserve"> Ley de Desarrollo Territorial.</w:t>
      </w:r>
    </w:p>
    <w:p w:rsidR="004A5F31" w:rsidRPr="004A5F31" w:rsidRDefault="004A5F31" w:rsidP="004A5F31">
      <w:pPr>
        <w:ind w:left="708"/>
        <w:jc w:val="both"/>
        <w:rPr>
          <w:rFonts w:ascii="Bookman Old Style" w:hAnsi="Bookman Old Style"/>
          <w:szCs w:val="24"/>
          <w:lang w:val="es-CO"/>
        </w:rPr>
      </w:pPr>
    </w:p>
    <w:p w:rsidR="004A5F31" w:rsidRPr="004A5F31" w:rsidRDefault="004A5F31" w:rsidP="004A5F31">
      <w:pPr>
        <w:numPr>
          <w:ilvl w:val="0"/>
          <w:numId w:val="9"/>
        </w:numPr>
        <w:spacing w:line="259" w:lineRule="auto"/>
        <w:contextualSpacing/>
        <w:jc w:val="both"/>
        <w:rPr>
          <w:rFonts w:ascii="Bookman Old Style" w:hAnsi="Bookman Old Style"/>
          <w:szCs w:val="24"/>
          <w:lang w:val="es-CO"/>
        </w:rPr>
      </w:pPr>
      <w:r w:rsidRPr="004A5F31">
        <w:rPr>
          <w:rFonts w:ascii="Bookman Old Style" w:hAnsi="Bookman Old Style"/>
          <w:b/>
          <w:szCs w:val="24"/>
          <w:lang w:val="es-CO"/>
        </w:rPr>
        <w:t>Ley 1454 de 2011</w:t>
      </w:r>
      <w:r w:rsidRPr="004A5F31">
        <w:rPr>
          <w:rFonts w:ascii="Bookman Old Style" w:hAnsi="Bookman Old Style"/>
          <w:szCs w:val="24"/>
          <w:lang w:val="es-CO"/>
        </w:rPr>
        <w:t xml:space="preserve"> Ley Orgánica de Ordenamiento Territorial.</w:t>
      </w:r>
    </w:p>
    <w:p w:rsidR="004A5F31" w:rsidRPr="004A5F31" w:rsidRDefault="004A5F31" w:rsidP="004A5F31">
      <w:pPr>
        <w:ind w:left="708"/>
        <w:jc w:val="both"/>
        <w:rPr>
          <w:rFonts w:ascii="Bookman Old Style" w:hAnsi="Bookman Old Style"/>
          <w:szCs w:val="24"/>
          <w:lang w:val="es-CO"/>
        </w:rPr>
      </w:pPr>
    </w:p>
    <w:p w:rsidR="004A5F31" w:rsidRPr="004A5F31" w:rsidRDefault="004A5F31" w:rsidP="004A5F31">
      <w:pPr>
        <w:ind w:left="708"/>
        <w:jc w:val="both"/>
        <w:rPr>
          <w:rFonts w:ascii="Bookman Old Style" w:hAnsi="Bookman Old Style"/>
          <w:szCs w:val="24"/>
          <w:lang w:val="es-CO"/>
        </w:rPr>
      </w:pPr>
    </w:p>
    <w:p w:rsidR="004A5F31" w:rsidRPr="004A5F31" w:rsidRDefault="004A5F31" w:rsidP="004A5F31">
      <w:pPr>
        <w:numPr>
          <w:ilvl w:val="1"/>
          <w:numId w:val="6"/>
        </w:numPr>
        <w:spacing w:line="259" w:lineRule="auto"/>
        <w:ind w:right="51"/>
        <w:jc w:val="both"/>
        <w:rPr>
          <w:rFonts w:ascii="Bookman Old Style" w:hAnsi="Bookman Old Style"/>
          <w:b/>
          <w:szCs w:val="24"/>
          <w:lang w:val="es-CO"/>
        </w:rPr>
      </w:pPr>
      <w:r w:rsidRPr="004A5F31">
        <w:rPr>
          <w:rFonts w:ascii="Bookman Old Style" w:hAnsi="Bookman Old Style"/>
          <w:b/>
          <w:szCs w:val="24"/>
          <w:lang w:val="es-CO"/>
        </w:rPr>
        <w:t>ACUERDOS.</w:t>
      </w:r>
    </w:p>
    <w:p w:rsidR="004A5F31" w:rsidRPr="004A5F31" w:rsidRDefault="004A5F31" w:rsidP="004A5F31">
      <w:pPr>
        <w:ind w:right="51"/>
        <w:jc w:val="both"/>
        <w:rPr>
          <w:rFonts w:ascii="Bookman Old Style" w:hAnsi="Bookman Old Style"/>
          <w:b/>
          <w:szCs w:val="24"/>
          <w:lang w:val="es-CO"/>
        </w:rPr>
      </w:pPr>
    </w:p>
    <w:p w:rsidR="004A5F31" w:rsidRPr="004A5F31" w:rsidRDefault="004A5F31" w:rsidP="004A5F31">
      <w:pPr>
        <w:numPr>
          <w:ilvl w:val="0"/>
          <w:numId w:val="10"/>
        </w:numPr>
        <w:spacing w:line="259" w:lineRule="auto"/>
        <w:ind w:left="1418" w:right="51"/>
        <w:contextualSpacing/>
        <w:jc w:val="both"/>
        <w:rPr>
          <w:rFonts w:ascii="Bookman Old Style" w:hAnsi="Bookman Old Style"/>
          <w:szCs w:val="24"/>
          <w:lang w:val="es-CO"/>
        </w:rPr>
      </w:pPr>
      <w:r w:rsidRPr="004A5F31">
        <w:rPr>
          <w:rFonts w:ascii="Bookman Old Style" w:hAnsi="Bookman Old Style"/>
          <w:b/>
          <w:szCs w:val="24"/>
          <w:lang w:val="es-CO"/>
        </w:rPr>
        <w:t>Acuerdo 77 de 2002</w:t>
      </w:r>
      <w:r w:rsidRPr="004A5F31">
        <w:rPr>
          <w:rFonts w:ascii="Bookman Old Style" w:hAnsi="Bookman Old Style"/>
          <w:szCs w:val="24"/>
          <w:lang w:val="es-CO"/>
        </w:rPr>
        <w:t>. “Por el cual se modifica el Sistema de Ben</w:t>
      </w:r>
      <w:r w:rsidRPr="004A5F31">
        <w:rPr>
          <w:rFonts w:ascii="Bookman Old Style" w:hAnsi="Bookman Old Style"/>
          <w:szCs w:val="24"/>
          <w:lang w:val="es-CO"/>
        </w:rPr>
        <w:t>e</w:t>
      </w:r>
      <w:r w:rsidRPr="004A5F31">
        <w:rPr>
          <w:rFonts w:ascii="Bookman Old Style" w:hAnsi="Bookman Old Style"/>
          <w:szCs w:val="24"/>
          <w:lang w:val="es-CO"/>
        </w:rPr>
        <w:t>ficios Tributarios del Impuesto Predial Unificado y del Impuesto Sobre Vehículos Automotores "</w:t>
      </w:r>
    </w:p>
    <w:p w:rsidR="004A5F31" w:rsidRPr="004A5F31" w:rsidRDefault="004A5F31" w:rsidP="004A5F31">
      <w:pPr>
        <w:ind w:left="1418" w:right="51"/>
        <w:jc w:val="both"/>
        <w:rPr>
          <w:rFonts w:ascii="Bookman Old Style" w:hAnsi="Bookman Old Style"/>
          <w:szCs w:val="24"/>
          <w:lang w:val="es-CO"/>
        </w:rPr>
      </w:pPr>
    </w:p>
    <w:p w:rsidR="004A5F31" w:rsidRPr="004A5F31" w:rsidRDefault="004A5F31" w:rsidP="004A5F31">
      <w:pPr>
        <w:numPr>
          <w:ilvl w:val="0"/>
          <w:numId w:val="10"/>
        </w:numPr>
        <w:spacing w:line="259" w:lineRule="auto"/>
        <w:ind w:left="1418" w:right="51"/>
        <w:contextualSpacing/>
        <w:jc w:val="both"/>
        <w:rPr>
          <w:rFonts w:ascii="Bookman Old Style" w:eastAsia="Calibri" w:hAnsi="Bookman Old Style"/>
          <w:color w:val="auto"/>
          <w:szCs w:val="24"/>
          <w:lang w:val="es-CO" w:eastAsia="en-US"/>
        </w:rPr>
      </w:pPr>
      <w:r w:rsidRPr="004A5F31">
        <w:rPr>
          <w:rFonts w:ascii="Bookman Old Style" w:hAnsi="Bookman Old Style"/>
          <w:b/>
          <w:szCs w:val="24"/>
          <w:lang w:val="es-CO"/>
        </w:rPr>
        <w:t>Acuerdo 105 de 2003</w:t>
      </w:r>
      <w:r w:rsidRPr="004A5F31">
        <w:rPr>
          <w:rFonts w:ascii="Bookman Old Style" w:hAnsi="Bookman Old Style"/>
          <w:szCs w:val="24"/>
          <w:lang w:val="es-CO"/>
        </w:rPr>
        <w:t>. "Por el cual se adecuan las categorías tar</w:t>
      </w:r>
      <w:r w:rsidRPr="004A5F31">
        <w:rPr>
          <w:rFonts w:ascii="Bookman Old Style" w:hAnsi="Bookman Old Style"/>
          <w:szCs w:val="24"/>
          <w:lang w:val="es-CO"/>
        </w:rPr>
        <w:t>i</w:t>
      </w:r>
      <w:r w:rsidRPr="004A5F31">
        <w:rPr>
          <w:rFonts w:ascii="Bookman Old Style" w:hAnsi="Bookman Old Style"/>
          <w:szCs w:val="24"/>
          <w:lang w:val="es-CO"/>
        </w:rPr>
        <w:t>farias del impuesto predial unificado al Plan de Ordenamiento T</w:t>
      </w:r>
      <w:r w:rsidRPr="004A5F31">
        <w:rPr>
          <w:rFonts w:ascii="Bookman Old Style" w:hAnsi="Bookman Old Style"/>
          <w:szCs w:val="24"/>
          <w:lang w:val="es-CO"/>
        </w:rPr>
        <w:t>e</w:t>
      </w:r>
      <w:r w:rsidRPr="004A5F31">
        <w:rPr>
          <w:rFonts w:ascii="Bookman Old Style" w:hAnsi="Bookman Old Style"/>
          <w:szCs w:val="24"/>
          <w:lang w:val="es-CO"/>
        </w:rPr>
        <w:t>rritorial y se establecen y racionalizan algunos incentivos".</w:t>
      </w:r>
      <w:r w:rsidRPr="004A5F31">
        <w:rPr>
          <w:rFonts w:ascii="Bookman Old Style" w:eastAsia="Calibri" w:hAnsi="Bookman Old Style"/>
          <w:color w:val="auto"/>
          <w:szCs w:val="24"/>
          <w:lang w:val="es-CO" w:eastAsia="en-US"/>
        </w:rPr>
        <w:t xml:space="preserve"> </w:t>
      </w:r>
    </w:p>
    <w:p w:rsidR="004A5F31" w:rsidRPr="004A5F31" w:rsidRDefault="004A5F31" w:rsidP="004A5F31">
      <w:pPr>
        <w:ind w:left="1418" w:right="51"/>
        <w:jc w:val="both"/>
        <w:rPr>
          <w:rFonts w:ascii="Bookman Old Style" w:eastAsia="Calibri" w:hAnsi="Bookman Old Style"/>
          <w:color w:val="auto"/>
          <w:szCs w:val="24"/>
          <w:lang w:val="es-CO" w:eastAsia="en-US"/>
        </w:rPr>
      </w:pPr>
    </w:p>
    <w:p w:rsidR="004A5F31" w:rsidRPr="004A5F31" w:rsidRDefault="004A5F31" w:rsidP="004A5F31">
      <w:pPr>
        <w:numPr>
          <w:ilvl w:val="0"/>
          <w:numId w:val="10"/>
        </w:numPr>
        <w:spacing w:line="259" w:lineRule="auto"/>
        <w:ind w:left="1418" w:right="51"/>
        <w:contextualSpacing/>
        <w:jc w:val="both"/>
        <w:rPr>
          <w:rFonts w:ascii="Bookman Old Style" w:hAnsi="Bookman Old Style"/>
          <w:szCs w:val="24"/>
          <w:lang w:val="es-CO"/>
        </w:rPr>
      </w:pPr>
      <w:r w:rsidRPr="004A5F31">
        <w:rPr>
          <w:rFonts w:ascii="Bookman Old Style" w:hAnsi="Bookman Old Style"/>
          <w:b/>
          <w:szCs w:val="24"/>
          <w:lang w:val="es-CO"/>
        </w:rPr>
        <w:t>Acuerdo 185 de 2005</w:t>
      </w:r>
      <w:r w:rsidRPr="004A5F31">
        <w:rPr>
          <w:rFonts w:ascii="Bookman Old Style" w:hAnsi="Bookman Old Style"/>
          <w:szCs w:val="24"/>
          <w:lang w:val="es-CO"/>
        </w:rPr>
        <w:t>. "por el cual se realizan unas modificaci</w:t>
      </w:r>
      <w:r w:rsidRPr="004A5F31">
        <w:rPr>
          <w:rFonts w:ascii="Bookman Old Style" w:hAnsi="Bookman Old Style"/>
          <w:szCs w:val="24"/>
          <w:lang w:val="es-CO"/>
        </w:rPr>
        <w:t>o</w:t>
      </w:r>
      <w:r w:rsidRPr="004A5F31">
        <w:rPr>
          <w:rFonts w:ascii="Bookman Old Style" w:hAnsi="Bookman Old Style"/>
          <w:szCs w:val="24"/>
          <w:lang w:val="es-CO"/>
        </w:rPr>
        <w:t>nes al Acuerdo 105 de 2003."</w:t>
      </w:r>
    </w:p>
    <w:p w:rsidR="004A5F31" w:rsidRPr="004A5F31" w:rsidRDefault="004A5F31" w:rsidP="004A5F31">
      <w:pPr>
        <w:spacing w:line="259" w:lineRule="auto"/>
        <w:ind w:left="720"/>
        <w:contextualSpacing/>
        <w:jc w:val="center"/>
        <w:rPr>
          <w:rFonts w:ascii="Bookman Old Style" w:hAnsi="Bookman Old Style"/>
          <w:szCs w:val="24"/>
          <w:lang w:val="es-CO"/>
        </w:rPr>
      </w:pPr>
    </w:p>
    <w:p w:rsidR="004A5F31" w:rsidRPr="004A5F31" w:rsidRDefault="004A5F31" w:rsidP="004A5F31">
      <w:pPr>
        <w:numPr>
          <w:ilvl w:val="0"/>
          <w:numId w:val="10"/>
        </w:numPr>
        <w:spacing w:line="259" w:lineRule="auto"/>
        <w:ind w:left="1418" w:right="51"/>
        <w:contextualSpacing/>
        <w:jc w:val="both"/>
        <w:rPr>
          <w:rFonts w:ascii="Bookman Old Style" w:hAnsi="Bookman Old Style"/>
          <w:szCs w:val="24"/>
          <w:lang w:val="es-CO"/>
        </w:rPr>
      </w:pPr>
      <w:r w:rsidRPr="004A5F31">
        <w:rPr>
          <w:rFonts w:ascii="Bookman Old Style" w:hAnsi="Bookman Old Style"/>
          <w:b/>
          <w:szCs w:val="24"/>
          <w:lang w:val="es-CO"/>
        </w:rPr>
        <w:t>Acuerdo 469 de 2011</w:t>
      </w:r>
      <w:r w:rsidRPr="004A5F31">
        <w:rPr>
          <w:rFonts w:ascii="Bookman Old Style" w:hAnsi="Bookman Old Style"/>
          <w:szCs w:val="24"/>
          <w:lang w:val="es-CO"/>
        </w:rPr>
        <w:t>. "Por el cual se establecen medidas especi</w:t>
      </w:r>
      <w:r w:rsidRPr="004A5F31">
        <w:rPr>
          <w:rFonts w:ascii="Bookman Old Style" w:hAnsi="Bookman Old Style"/>
          <w:szCs w:val="24"/>
          <w:lang w:val="es-CO"/>
        </w:rPr>
        <w:t>a</w:t>
      </w:r>
      <w:r w:rsidRPr="004A5F31">
        <w:rPr>
          <w:rFonts w:ascii="Bookman Old Style" w:hAnsi="Bookman Old Style"/>
          <w:szCs w:val="24"/>
          <w:lang w:val="es-CO"/>
        </w:rPr>
        <w:t>les de Pago de Tributos en el Distrito Capital y se dictan otras di</w:t>
      </w:r>
      <w:r w:rsidRPr="004A5F31">
        <w:rPr>
          <w:rFonts w:ascii="Bookman Old Style" w:hAnsi="Bookman Old Style"/>
          <w:szCs w:val="24"/>
          <w:lang w:val="es-CO"/>
        </w:rPr>
        <w:t>s</w:t>
      </w:r>
      <w:r w:rsidRPr="004A5F31">
        <w:rPr>
          <w:rFonts w:ascii="Bookman Old Style" w:hAnsi="Bookman Old Style"/>
          <w:szCs w:val="24"/>
          <w:lang w:val="es-CO"/>
        </w:rPr>
        <w:t>posiciones"</w:t>
      </w:r>
    </w:p>
    <w:p w:rsidR="004A5F31" w:rsidRPr="004A5F31" w:rsidRDefault="004A5F31" w:rsidP="004A5F31">
      <w:pPr>
        <w:ind w:right="51"/>
        <w:jc w:val="both"/>
        <w:rPr>
          <w:rFonts w:ascii="Bookman Old Style" w:hAnsi="Bookman Old Style"/>
          <w:szCs w:val="24"/>
          <w:lang w:val="es-CO"/>
        </w:rPr>
      </w:pPr>
    </w:p>
    <w:p w:rsidR="004A5F31" w:rsidRPr="004A5F31" w:rsidRDefault="004A5F31" w:rsidP="004A5F31">
      <w:pPr>
        <w:ind w:right="51"/>
        <w:jc w:val="both"/>
        <w:rPr>
          <w:rFonts w:ascii="Bookman Old Style" w:hAnsi="Bookman Old Style"/>
          <w:szCs w:val="24"/>
          <w:lang w:val="es-CO"/>
        </w:rPr>
      </w:pPr>
    </w:p>
    <w:p w:rsidR="004A5F31" w:rsidRPr="004A5F31" w:rsidRDefault="004A5F31" w:rsidP="004A5F31">
      <w:pPr>
        <w:ind w:right="51"/>
        <w:jc w:val="both"/>
        <w:rPr>
          <w:rFonts w:ascii="Bookman Old Style" w:hAnsi="Bookman Old Style"/>
          <w:szCs w:val="24"/>
          <w:lang w:val="es-CO"/>
        </w:rPr>
      </w:pPr>
    </w:p>
    <w:p w:rsidR="004A5F31" w:rsidRPr="004A5F31" w:rsidRDefault="004A5F31" w:rsidP="004A5F31">
      <w:pPr>
        <w:ind w:right="51"/>
        <w:jc w:val="both"/>
        <w:rPr>
          <w:rFonts w:ascii="Bookman Old Style" w:hAnsi="Bookman Old Style"/>
          <w:szCs w:val="24"/>
          <w:lang w:val="es-CO"/>
        </w:rPr>
      </w:pPr>
    </w:p>
    <w:p w:rsidR="004A5F31" w:rsidRPr="004A5F31" w:rsidRDefault="004A5F31" w:rsidP="004A5F31">
      <w:pPr>
        <w:numPr>
          <w:ilvl w:val="1"/>
          <w:numId w:val="6"/>
        </w:numPr>
        <w:spacing w:line="259" w:lineRule="auto"/>
        <w:ind w:right="51"/>
        <w:jc w:val="both"/>
        <w:rPr>
          <w:rFonts w:ascii="Bookman Old Style" w:hAnsi="Bookman Old Style" w:cs="Arial"/>
          <w:b/>
          <w:szCs w:val="24"/>
          <w:lang w:val="es-CO" w:eastAsia="es-CO"/>
        </w:rPr>
      </w:pPr>
      <w:r w:rsidRPr="004A5F31">
        <w:rPr>
          <w:rFonts w:ascii="Bookman Old Style" w:hAnsi="Bookman Old Style" w:cs="Arial"/>
          <w:b/>
          <w:szCs w:val="24"/>
          <w:lang w:val="es-CO" w:eastAsia="es-CO"/>
        </w:rPr>
        <w:t>DECRETOS DISTRITALES</w:t>
      </w:r>
    </w:p>
    <w:p w:rsidR="004A5F31" w:rsidRPr="004A5F31" w:rsidRDefault="004A5F31" w:rsidP="004A5F31">
      <w:pPr>
        <w:ind w:right="51"/>
        <w:jc w:val="both"/>
        <w:rPr>
          <w:rFonts w:ascii="Bookman Old Style" w:hAnsi="Bookman Old Style" w:cs="Arial"/>
          <w:b/>
          <w:szCs w:val="24"/>
          <w:lang w:val="es-CO" w:eastAsia="es-CO"/>
        </w:rPr>
      </w:pPr>
    </w:p>
    <w:p w:rsidR="004A5F31" w:rsidRPr="004A5F31" w:rsidRDefault="004A5F31" w:rsidP="004A5F31">
      <w:pPr>
        <w:numPr>
          <w:ilvl w:val="0"/>
          <w:numId w:val="11"/>
        </w:numPr>
        <w:spacing w:line="259" w:lineRule="auto"/>
        <w:ind w:left="1418" w:right="51"/>
        <w:contextualSpacing/>
        <w:jc w:val="both"/>
        <w:rPr>
          <w:rFonts w:ascii="Bookman Old Style" w:hAnsi="Bookman Old Style" w:cs="Arial"/>
          <w:szCs w:val="24"/>
          <w:lang w:val="es-CO" w:eastAsia="es-CO"/>
        </w:rPr>
      </w:pPr>
      <w:r w:rsidRPr="004A5F31">
        <w:rPr>
          <w:rFonts w:ascii="Bookman Old Style" w:hAnsi="Bookman Old Style" w:cs="Arial"/>
          <w:b/>
          <w:szCs w:val="24"/>
          <w:lang w:val="es-CO" w:eastAsia="es-CO"/>
        </w:rPr>
        <w:t>Decreto 352 de 2002</w:t>
      </w:r>
      <w:r w:rsidRPr="004A5F31">
        <w:rPr>
          <w:rFonts w:ascii="Bookman Old Style" w:hAnsi="Bookman Old Style" w:cs="Arial"/>
          <w:szCs w:val="24"/>
          <w:lang w:val="es-CO" w:eastAsia="es-CO"/>
        </w:rPr>
        <w:t xml:space="preserve"> "Por el cual se compila y actualiza la norm</w:t>
      </w:r>
      <w:r w:rsidRPr="004A5F31">
        <w:rPr>
          <w:rFonts w:ascii="Bookman Old Style" w:hAnsi="Bookman Old Style" w:cs="Arial"/>
          <w:szCs w:val="24"/>
          <w:lang w:val="es-CO" w:eastAsia="es-CO"/>
        </w:rPr>
        <w:t>a</w:t>
      </w:r>
      <w:r w:rsidRPr="004A5F31">
        <w:rPr>
          <w:rFonts w:ascii="Bookman Old Style" w:hAnsi="Bookman Old Style" w:cs="Arial"/>
          <w:szCs w:val="24"/>
          <w:lang w:val="es-CO" w:eastAsia="es-CO"/>
        </w:rPr>
        <w:t>tiva sustantiva tributaria vigente, incluyendo las modificaciones generadas por la aplicación de nuevas normas nacionales que se deban aplicar a los tributos del Distrito Capital, y las generadas por acuerdos del orden distrital".</w:t>
      </w:r>
    </w:p>
    <w:p w:rsidR="004A5F31" w:rsidRPr="004A5F31" w:rsidRDefault="004A5F31" w:rsidP="004A5F31">
      <w:pPr>
        <w:ind w:right="51"/>
        <w:jc w:val="both"/>
        <w:rPr>
          <w:rFonts w:ascii="Bookman Old Style" w:hAnsi="Bookman Old Style" w:cs="Arial"/>
          <w:b/>
          <w:szCs w:val="24"/>
          <w:lang w:val="es-CO" w:eastAsia="es-CO"/>
        </w:rPr>
      </w:pPr>
    </w:p>
    <w:p w:rsidR="004A5F31" w:rsidRPr="004A5F31" w:rsidRDefault="004A5F31" w:rsidP="004A5F31">
      <w:pPr>
        <w:ind w:right="51"/>
        <w:jc w:val="both"/>
        <w:rPr>
          <w:rFonts w:ascii="Bookman Old Style" w:hAnsi="Bookman Old Style" w:cs="Arial"/>
          <w:b/>
          <w:szCs w:val="24"/>
          <w:lang w:val="es-CO" w:eastAsia="es-CO"/>
        </w:rPr>
      </w:pPr>
    </w:p>
    <w:p w:rsidR="004A5F31" w:rsidRPr="004A5F31" w:rsidRDefault="004A5F31" w:rsidP="004A5F31">
      <w:pPr>
        <w:numPr>
          <w:ilvl w:val="1"/>
          <w:numId w:val="6"/>
        </w:numPr>
        <w:spacing w:line="259" w:lineRule="auto"/>
        <w:ind w:right="51"/>
        <w:jc w:val="both"/>
        <w:rPr>
          <w:rFonts w:ascii="Bookman Old Style" w:hAnsi="Bookman Old Style" w:cs="Arial"/>
          <w:b/>
          <w:szCs w:val="24"/>
          <w:lang w:val="es-CO" w:eastAsia="es-CO"/>
        </w:rPr>
      </w:pPr>
      <w:r w:rsidRPr="004A5F31">
        <w:rPr>
          <w:rFonts w:ascii="Bookman Old Style" w:hAnsi="Bookman Old Style" w:cs="Arial"/>
          <w:b/>
          <w:szCs w:val="24"/>
          <w:lang w:val="es-CO" w:eastAsia="es-CO"/>
        </w:rPr>
        <w:t>COMPETENCIA DEL CONCEJO DE BOGOTÁ</w:t>
      </w:r>
    </w:p>
    <w:p w:rsidR="004A5F31" w:rsidRPr="004A5F31" w:rsidRDefault="004A5F31" w:rsidP="004A5F31">
      <w:pPr>
        <w:ind w:left="708"/>
        <w:jc w:val="both"/>
        <w:rPr>
          <w:rFonts w:ascii="Bookman Old Style" w:hAnsi="Bookman Old Style"/>
          <w:b/>
          <w:szCs w:val="24"/>
          <w:lang w:val="es-CO"/>
        </w:rPr>
      </w:pPr>
    </w:p>
    <w:p w:rsidR="004A5F31" w:rsidRPr="004A5F31" w:rsidRDefault="004A5F31" w:rsidP="004A5F31">
      <w:pPr>
        <w:jc w:val="both"/>
        <w:rPr>
          <w:rFonts w:ascii="Bookman Old Style" w:hAnsi="Bookman Old Style"/>
          <w:szCs w:val="24"/>
          <w:lang w:val="es-CO"/>
        </w:rPr>
      </w:pPr>
      <w:r w:rsidRPr="004A5F31">
        <w:rPr>
          <w:rFonts w:ascii="Bookman Old Style" w:hAnsi="Bookman Old Style"/>
          <w:szCs w:val="24"/>
          <w:lang w:val="es-CO"/>
        </w:rPr>
        <w:t>El Decreto Ley 1421 de 1993, establece en el artículo12 sobre las atribuciones del Concejo Distrital, que le corresponde, de conformidad con la Constitución y a la ley:</w:t>
      </w:r>
    </w:p>
    <w:p w:rsidR="004A5F31" w:rsidRPr="004A5F31" w:rsidRDefault="004A5F31" w:rsidP="004A5F31">
      <w:pPr>
        <w:jc w:val="both"/>
        <w:rPr>
          <w:rFonts w:ascii="Bookman Old Style" w:hAnsi="Bookman Old Style"/>
          <w:szCs w:val="24"/>
          <w:lang w:val="es-CO"/>
        </w:rPr>
      </w:pPr>
    </w:p>
    <w:p w:rsidR="004A5F31" w:rsidRPr="004A5F31" w:rsidRDefault="004A5F31" w:rsidP="004A5F31">
      <w:pPr>
        <w:jc w:val="both"/>
        <w:rPr>
          <w:rFonts w:ascii="Bookman Old Style" w:hAnsi="Bookman Old Style"/>
          <w:i/>
          <w:szCs w:val="24"/>
          <w:lang w:val="es-CO"/>
        </w:rPr>
      </w:pPr>
      <w:r w:rsidRPr="004A5F31">
        <w:rPr>
          <w:rFonts w:ascii="Bookman Old Style" w:hAnsi="Bookman Old Style"/>
          <w:i/>
          <w:szCs w:val="24"/>
          <w:lang w:val="es-CO"/>
        </w:rPr>
        <w:t>“…1.  Dictar las normas necesarias para garantizar el adecuado cumplimiento de las funciones y la eficiente prestación de los servicios a cargo del Distrito.</w:t>
      </w:r>
    </w:p>
    <w:p w:rsidR="004A5F31" w:rsidRPr="004A5F31" w:rsidRDefault="004A5F31" w:rsidP="004A5F31">
      <w:pPr>
        <w:jc w:val="both"/>
        <w:rPr>
          <w:rFonts w:ascii="Bookman Old Style" w:hAnsi="Bookman Old Style"/>
          <w:i/>
          <w:szCs w:val="24"/>
          <w:lang w:val="es-CO"/>
        </w:rPr>
      </w:pPr>
    </w:p>
    <w:p w:rsidR="004A5F31" w:rsidRPr="004A5F31" w:rsidRDefault="004A5F31" w:rsidP="004A5F31">
      <w:pPr>
        <w:jc w:val="both"/>
        <w:rPr>
          <w:rFonts w:ascii="Bookman Old Style" w:hAnsi="Bookman Old Style"/>
          <w:i/>
          <w:szCs w:val="24"/>
          <w:lang w:val="es-CO"/>
        </w:rPr>
      </w:pPr>
      <w:r w:rsidRPr="004A5F31">
        <w:rPr>
          <w:rFonts w:ascii="Bookman Old Style" w:hAnsi="Bookman Old Style"/>
          <w:i/>
          <w:szCs w:val="24"/>
          <w:lang w:val="es-CO"/>
        </w:rPr>
        <w:t>2. Adoptar el Plan General de Desarrollo Económico y Social y de Obras Públicas. El plan de inversiones, que hace parte del Plan General de Desarrollo, contendrá los presupuestos plurianuales de los principales programas y proyectos y la d</w:t>
      </w:r>
      <w:r w:rsidRPr="004A5F31">
        <w:rPr>
          <w:rFonts w:ascii="Bookman Old Style" w:hAnsi="Bookman Old Style"/>
          <w:i/>
          <w:szCs w:val="24"/>
          <w:lang w:val="es-CO"/>
        </w:rPr>
        <w:t>e</w:t>
      </w:r>
      <w:r w:rsidRPr="004A5F31">
        <w:rPr>
          <w:rFonts w:ascii="Bookman Old Style" w:hAnsi="Bookman Old Style"/>
          <w:i/>
          <w:szCs w:val="24"/>
          <w:lang w:val="es-CO"/>
        </w:rPr>
        <w:t>terminación de los recursos financieros requeridos para su ejecución.</w:t>
      </w:r>
    </w:p>
    <w:p w:rsidR="004A5F31" w:rsidRPr="004A5F31" w:rsidRDefault="004A5F31" w:rsidP="004A5F31">
      <w:pPr>
        <w:jc w:val="both"/>
        <w:rPr>
          <w:rFonts w:ascii="Bookman Old Style" w:hAnsi="Bookman Old Style"/>
          <w:i/>
          <w:szCs w:val="24"/>
          <w:lang w:val="es-CO"/>
        </w:rPr>
      </w:pPr>
    </w:p>
    <w:p w:rsidR="004A5F31" w:rsidRPr="004A5F31" w:rsidRDefault="004A5F31" w:rsidP="004A5F31">
      <w:pPr>
        <w:jc w:val="both"/>
        <w:rPr>
          <w:rFonts w:ascii="Bookman Old Style" w:hAnsi="Bookman Old Style"/>
          <w:i/>
          <w:szCs w:val="24"/>
          <w:lang w:val="es-CO"/>
        </w:rPr>
      </w:pPr>
      <w:r w:rsidRPr="004A5F31">
        <w:rPr>
          <w:rFonts w:ascii="Bookman Old Style" w:hAnsi="Bookman Old Style"/>
          <w:i/>
          <w:szCs w:val="24"/>
          <w:lang w:val="es-CO"/>
        </w:rPr>
        <w:t>3. Establecer, reformar o eliminar tributos, contribuciones, impuestos y sobret</w:t>
      </w:r>
      <w:r w:rsidRPr="004A5F31">
        <w:rPr>
          <w:rFonts w:ascii="Bookman Old Style" w:hAnsi="Bookman Old Style"/>
          <w:i/>
          <w:szCs w:val="24"/>
          <w:lang w:val="es-CO"/>
        </w:rPr>
        <w:t>a</w:t>
      </w:r>
      <w:r w:rsidRPr="004A5F31">
        <w:rPr>
          <w:rFonts w:ascii="Bookman Old Style" w:hAnsi="Bookman Old Style"/>
          <w:i/>
          <w:szCs w:val="24"/>
          <w:lang w:val="es-CO"/>
        </w:rPr>
        <w:t>sas: ordenar exenciones tributarias y establecer sistemas de retención y antic</w:t>
      </w:r>
      <w:r w:rsidRPr="004A5F31">
        <w:rPr>
          <w:rFonts w:ascii="Bookman Old Style" w:hAnsi="Bookman Old Style"/>
          <w:i/>
          <w:szCs w:val="24"/>
          <w:lang w:val="es-CO"/>
        </w:rPr>
        <w:t>i</w:t>
      </w:r>
      <w:r w:rsidRPr="004A5F31">
        <w:rPr>
          <w:rFonts w:ascii="Bookman Old Style" w:hAnsi="Bookman Old Style"/>
          <w:i/>
          <w:szCs w:val="24"/>
          <w:lang w:val="es-CO"/>
        </w:rPr>
        <w:t>pos con el fin de garantizar el efectivo recaudo de aquéllos….”</w:t>
      </w:r>
    </w:p>
    <w:p w:rsidR="004A5F31" w:rsidRPr="004A5F31" w:rsidRDefault="004A5F31" w:rsidP="004A5F31">
      <w:pPr>
        <w:jc w:val="both"/>
        <w:rPr>
          <w:rFonts w:ascii="Bookman Old Style" w:hAnsi="Bookman Old Style"/>
          <w:szCs w:val="24"/>
          <w:lang w:val="es-CO"/>
        </w:rPr>
      </w:pPr>
    </w:p>
    <w:p w:rsidR="004A5F31" w:rsidRPr="004A5F31" w:rsidRDefault="004A5F31" w:rsidP="004A5F31">
      <w:pPr>
        <w:jc w:val="both"/>
        <w:rPr>
          <w:rFonts w:ascii="Bookman Old Style" w:hAnsi="Bookman Old Style"/>
          <w:i/>
          <w:szCs w:val="24"/>
          <w:lang w:val="es-CO"/>
        </w:rPr>
      </w:pPr>
      <w:r w:rsidRPr="004A5F31">
        <w:rPr>
          <w:rFonts w:ascii="Bookman Old Style" w:hAnsi="Bookman Old Style"/>
          <w:szCs w:val="24"/>
          <w:lang w:val="es-CO"/>
        </w:rPr>
        <w:t xml:space="preserve">De igual forma, determina en el artículo 13 la iniciativa de los proyectos de acuerdo, así; </w:t>
      </w:r>
      <w:r w:rsidRPr="004A5F31">
        <w:rPr>
          <w:rFonts w:ascii="Bookman Old Style" w:hAnsi="Bookman Old Style"/>
          <w:i/>
          <w:szCs w:val="24"/>
          <w:lang w:val="es-CO"/>
        </w:rPr>
        <w:t>“…Los proyectos de acuerdo pueden ser presentados por los conc</w:t>
      </w:r>
      <w:r w:rsidRPr="004A5F31">
        <w:rPr>
          <w:rFonts w:ascii="Bookman Old Style" w:hAnsi="Bookman Old Style"/>
          <w:i/>
          <w:szCs w:val="24"/>
          <w:lang w:val="es-CO"/>
        </w:rPr>
        <w:t>e</w:t>
      </w:r>
      <w:r w:rsidRPr="004A5F31">
        <w:rPr>
          <w:rFonts w:ascii="Bookman Old Style" w:hAnsi="Bookman Old Style"/>
          <w:i/>
          <w:szCs w:val="24"/>
          <w:lang w:val="es-CO"/>
        </w:rPr>
        <w:t>jales y el alcalde mayor por conducto de sus secretarios, jefes de departamento administrativo o representantes legales de las entidades descentralizadas. El personero, el contralor y las juntas administradoras los pueden presentar en m</w:t>
      </w:r>
      <w:r w:rsidRPr="004A5F31">
        <w:rPr>
          <w:rFonts w:ascii="Bookman Old Style" w:hAnsi="Bookman Old Style"/>
          <w:i/>
          <w:szCs w:val="24"/>
          <w:lang w:val="es-CO"/>
        </w:rPr>
        <w:t>a</w:t>
      </w:r>
      <w:r w:rsidRPr="004A5F31">
        <w:rPr>
          <w:rFonts w:ascii="Bookman Old Style" w:hAnsi="Bookman Old Style"/>
          <w:i/>
          <w:szCs w:val="24"/>
          <w:lang w:val="es-CO"/>
        </w:rPr>
        <w:t>terias relacionadas con sus atribuciones. De conformidad con la respectiva ley estatutaria, los ciudadanos y las organizaciones sociales podrán presentar pr</w:t>
      </w:r>
      <w:r w:rsidRPr="004A5F31">
        <w:rPr>
          <w:rFonts w:ascii="Bookman Old Style" w:hAnsi="Bookman Old Style"/>
          <w:i/>
          <w:szCs w:val="24"/>
          <w:lang w:val="es-CO"/>
        </w:rPr>
        <w:t>o</w:t>
      </w:r>
      <w:r w:rsidRPr="004A5F31">
        <w:rPr>
          <w:rFonts w:ascii="Bookman Old Style" w:hAnsi="Bookman Old Style"/>
          <w:i/>
          <w:szCs w:val="24"/>
          <w:lang w:val="es-CO"/>
        </w:rPr>
        <w:t>yectos de acuerdo sobre temas de interés comunitario.</w:t>
      </w:r>
    </w:p>
    <w:p w:rsidR="004A5F31" w:rsidRPr="004A5F31" w:rsidRDefault="004A5F31" w:rsidP="004A5F31">
      <w:pPr>
        <w:jc w:val="both"/>
        <w:rPr>
          <w:rFonts w:ascii="Bookman Old Style" w:hAnsi="Bookman Old Style"/>
          <w:i/>
          <w:szCs w:val="24"/>
          <w:lang w:val="es-CO"/>
        </w:rPr>
      </w:pPr>
    </w:p>
    <w:p w:rsidR="004A5F31" w:rsidRPr="004A5F31" w:rsidRDefault="004A5F31" w:rsidP="004A5F31">
      <w:pPr>
        <w:jc w:val="both"/>
        <w:rPr>
          <w:rFonts w:ascii="Bookman Old Style" w:hAnsi="Bookman Old Style"/>
          <w:i/>
          <w:szCs w:val="24"/>
          <w:lang w:val="es-CO"/>
        </w:rPr>
      </w:pPr>
      <w:r w:rsidRPr="004A5F31">
        <w:rPr>
          <w:rFonts w:ascii="Bookman Old Style" w:hAnsi="Bookman Old Style"/>
          <w:i/>
          <w:szCs w:val="24"/>
          <w:lang w:val="es-CO"/>
        </w:rPr>
        <w:t>Sólo podrán ser dictados o reformados a iniciativa del alcalde los acuerdos a que se refieren los ordinales 2°, 3°, 4°, 5°, 8°, 9°, 14, 16, 17 y 21 del artículo anterior. Igualmente, sólo podrán ser dictados o reformados a iniciativa del alcalde los acuerdos que decreten inversiones, ordenen servicios a cargo del Distrito, autor</w:t>
      </w:r>
      <w:r w:rsidRPr="004A5F31">
        <w:rPr>
          <w:rFonts w:ascii="Bookman Old Style" w:hAnsi="Bookman Old Style"/>
          <w:i/>
          <w:szCs w:val="24"/>
          <w:lang w:val="es-CO"/>
        </w:rPr>
        <w:t>i</w:t>
      </w:r>
      <w:r w:rsidRPr="004A5F31">
        <w:rPr>
          <w:rFonts w:ascii="Bookman Old Style" w:hAnsi="Bookman Old Style"/>
          <w:i/>
          <w:szCs w:val="24"/>
          <w:lang w:val="es-CO"/>
        </w:rPr>
        <w:t>cen enajenar sus bienes y dispongan exenciones tributarias o cedan sus rentas. El Concejo podrá introducir modificaciones a los proyectos presentados por el A</w:t>
      </w:r>
      <w:r w:rsidRPr="004A5F31">
        <w:rPr>
          <w:rFonts w:ascii="Bookman Old Style" w:hAnsi="Bookman Old Style"/>
          <w:i/>
          <w:szCs w:val="24"/>
          <w:lang w:val="es-CO"/>
        </w:rPr>
        <w:t>l</w:t>
      </w:r>
      <w:r w:rsidRPr="004A5F31">
        <w:rPr>
          <w:rFonts w:ascii="Bookman Old Style" w:hAnsi="Bookman Old Style"/>
          <w:i/>
          <w:szCs w:val="24"/>
          <w:lang w:val="es-CO"/>
        </w:rPr>
        <w:t>calde…”</w:t>
      </w:r>
    </w:p>
    <w:p w:rsidR="004A5F31" w:rsidRPr="004A5F31" w:rsidRDefault="004A5F31" w:rsidP="004A5F31">
      <w:pPr>
        <w:jc w:val="both"/>
        <w:rPr>
          <w:rFonts w:ascii="Bookman Old Style" w:hAnsi="Bookman Old Style"/>
          <w:szCs w:val="24"/>
          <w:lang w:val="es-CO"/>
        </w:rPr>
      </w:pPr>
    </w:p>
    <w:p w:rsidR="004A5F31" w:rsidRPr="004A5F31" w:rsidRDefault="004A5F31" w:rsidP="004A5F31">
      <w:pPr>
        <w:jc w:val="both"/>
        <w:rPr>
          <w:rFonts w:ascii="Bookman Old Style" w:hAnsi="Bookman Old Style"/>
          <w:szCs w:val="24"/>
          <w:lang w:val="es-CO"/>
        </w:rPr>
      </w:pPr>
      <w:r w:rsidRPr="004A5F31">
        <w:rPr>
          <w:rFonts w:ascii="Bookman Old Style" w:hAnsi="Bookman Old Style"/>
          <w:szCs w:val="24"/>
          <w:lang w:val="es-CO"/>
        </w:rPr>
        <w:t>Como bien se colige del marco normativo vigente, es claro que la materia de e</w:t>
      </w:r>
      <w:r w:rsidRPr="004A5F31">
        <w:rPr>
          <w:rFonts w:ascii="Bookman Old Style" w:hAnsi="Bookman Old Style"/>
          <w:szCs w:val="24"/>
          <w:lang w:val="es-CO"/>
        </w:rPr>
        <w:t>s</w:t>
      </w:r>
      <w:r w:rsidRPr="004A5F31">
        <w:rPr>
          <w:rFonts w:ascii="Bookman Old Style" w:hAnsi="Bookman Old Style"/>
          <w:szCs w:val="24"/>
          <w:lang w:val="es-CO"/>
        </w:rPr>
        <w:t xml:space="preserve">te proyecto es de iniciativa exclusiva de la administración, y por ende para su trámite es necesario contar con el aval expreso de ella, razón por la cual de manera respetuosa invito al señor Alcalde Mayor y la Secretaria de Hacienda Distrital que analicen con serenidad esta propuesta, que introduce elementos novedosos, puntuales y concretos tendientes a garantizar la efectividad de los principios de equidad y progresividad en materia tributaria respecto al </w:t>
      </w:r>
      <w:r w:rsidRPr="004A5F31">
        <w:rPr>
          <w:rFonts w:ascii="Bookman Old Style" w:hAnsi="Bookman Old Style"/>
          <w:i/>
          <w:szCs w:val="24"/>
          <w:lang w:val="es-CO"/>
        </w:rPr>
        <w:t>impuesto predial unificado</w:t>
      </w:r>
      <w:r w:rsidRPr="004A5F31">
        <w:rPr>
          <w:rFonts w:ascii="Bookman Old Style" w:hAnsi="Bookman Old Style"/>
          <w:szCs w:val="24"/>
          <w:lang w:val="es-CO"/>
        </w:rPr>
        <w:t xml:space="preserve"> para aquellos contribuyentes </w:t>
      </w:r>
      <w:r w:rsidRPr="004A5F31">
        <w:rPr>
          <w:rFonts w:ascii="Bookman Old Style" w:hAnsi="Bookman Old Style" w:cs="Arial"/>
          <w:bCs/>
          <w:color w:val="auto"/>
          <w:szCs w:val="24"/>
          <w:shd w:val="clear" w:color="auto" w:fill="FFFFFF"/>
          <w:lang w:val="es-CO"/>
        </w:rPr>
        <w:t>cuyo único predio tiene como f</w:t>
      </w:r>
      <w:r w:rsidRPr="004A5F31">
        <w:rPr>
          <w:rFonts w:ascii="Bookman Old Style" w:hAnsi="Bookman Old Style" w:cs="Arial"/>
          <w:bCs/>
          <w:color w:val="auto"/>
          <w:szCs w:val="24"/>
          <w:shd w:val="clear" w:color="auto" w:fill="FFFFFF"/>
          <w:lang w:val="es-CO"/>
        </w:rPr>
        <w:t>i</w:t>
      </w:r>
      <w:r w:rsidRPr="004A5F31">
        <w:rPr>
          <w:rFonts w:ascii="Bookman Old Style" w:hAnsi="Bookman Old Style" w:cs="Arial"/>
          <w:bCs/>
          <w:color w:val="auto"/>
          <w:szCs w:val="24"/>
          <w:shd w:val="clear" w:color="auto" w:fill="FFFFFF"/>
          <w:lang w:val="es-CO"/>
        </w:rPr>
        <w:t>nalidad, no la renta, sino la vivienda familiar habitual, que por lo general c</w:t>
      </w:r>
      <w:r w:rsidRPr="004A5F31">
        <w:rPr>
          <w:rFonts w:ascii="Bookman Old Style" w:hAnsi="Bookman Old Style" w:cs="Arial"/>
          <w:bCs/>
          <w:color w:val="auto"/>
          <w:szCs w:val="24"/>
          <w:shd w:val="clear" w:color="auto" w:fill="FFFFFF"/>
          <w:lang w:val="es-CO"/>
        </w:rPr>
        <w:t>o</w:t>
      </w:r>
      <w:r w:rsidRPr="004A5F31">
        <w:rPr>
          <w:rFonts w:ascii="Bookman Old Style" w:hAnsi="Bookman Old Style" w:cs="Arial"/>
          <w:bCs/>
          <w:color w:val="auto"/>
          <w:szCs w:val="24"/>
          <w:shd w:val="clear" w:color="auto" w:fill="FFFFFF"/>
          <w:lang w:val="es-CO"/>
        </w:rPr>
        <w:t>rresponde a personas asalariadas o pensionadas.</w:t>
      </w:r>
    </w:p>
    <w:p w:rsidR="004A5F31" w:rsidRPr="004A5F31" w:rsidRDefault="004A5F31" w:rsidP="004A5F31">
      <w:pPr>
        <w:jc w:val="both"/>
        <w:rPr>
          <w:rFonts w:ascii="Bookman Old Style" w:hAnsi="Bookman Old Style"/>
          <w:szCs w:val="24"/>
          <w:lang w:val="es-CO"/>
        </w:rPr>
      </w:pPr>
    </w:p>
    <w:p w:rsidR="004A5F31" w:rsidRPr="004A5F31" w:rsidRDefault="004A5F31" w:rsidP="004A5F31">
      <w:pPr>
        <w:jc w:val="both"/>
        <w:rPr>
          <w:rFonts w:ascii="Bookman Old Style" w:hAnsi="Bookman Old Style"/>
          <w:szCs w:val="24"/>
          <w:lang w:val="es-CO"/>
        </w:rPr>
      </w:pPr>
      <w:r w:rsidRPr="004A5F31">
        <w:rPr>
          <w:rFonts w:ascii="Bookman Old Style" w:hAnsi="Bookman Old Style"/>
          <w:szCs w:val="24"/>
          <w:lang w:val="es-CO"/>
        </w:rPr>
        <w:t>De igual forma, extiendo esta invitación a los miembros de la bancada del pa</w:t>
      </w:r>
      <w:r w:rsidRPr="004A5F31">
        <w:rPr>
          <w:rFonts w:ascii="Bookman Old Style" w:hAnsi="Bookman Old Style"/>
          <w:szCs w:val="24"/>
          <w:lang w:val="es-CO"/>
        </w:rPr>
        <w:t>r</w:t>
      </w:r>
      <w:r w:rsidRPr="004A5F31">
        <w:rPr>
          <w:rFonts w:ascii="Bookman Old Style" w:hAnsi="Bookman Old Style"/>
          <w:szCs w:val="24"/>
          <w:lang w:val="es-CO"/>
        </w:rPr>
        <w:t>tido liberal, para que si están de acuerdo con la misma la suscriban en calidad de coautores.</w:t>
      </w:r>
    </w:p>
    <w:p w:rsidR="004A5F31" w:rsidRPr="004A5F31" w:rsidRDefault="004A5F31" w:rsidP="004A5F31">
      <w:pPr>
        <w:ind w:left="708"/>
        <w:jc w:val="both"/>
        <w:rPr>
          <w:rFonts w:ascii="Bookman Old Style" w:hAnsi="Bookman Old Style"/>
          <w:szCs w:val="24"/>
          <w:lang w:val="es-CO"/>
        </w:rPr>
      </w:pPr>
    </w:p>
    <w:p w:rsidR="004A5F31" w:rsidRPr="004A5F31" w:rsidRDefault="004A5F31" w:rsidP="004A5F31">
      <w:pPr>
        <w:numPr>
          <w:ilvl w:val="0"/>
          <w:numId w:val="6"/>
        </w:numPr>
        <w:spacing w:line="259" w:lineRule="auto"/>
        <w:ind w:right="51"/>
        <w:jc w:val="both"/>
        <w:rPr>
          <w:rFonts w:ascii="Bookman Old Style" w:hAnsi="Bookman Old Style"/>
          <w:szCs w:val="24"/>
          <w:lang w:val="es-CO"/>
        </w:rPr>
      </w:pPr>
      <w:r w:rsidRPr="004A5F31">
        <w:rPr>
          <w:rFonts w:ascii="Bookman Old Style" w:hAnsi="Bookman Old Style"/>
          <w:b/>
          <w:szCs w:val="24"/>
          <w:lang w:val="es-CO"/>
        </w:rPr>
        <w:t>IMPACTO FISCAL</w:t>
      </w:r>
      <w:r w:rsidRPr="004A5F31">
        <w:rPr>
          <w:rFonts w:ascii="Bookman Old Style" w:hAnsi="Bookman Old Style"/>
          <w:szCs w:val="24"/>
          <w:lang w:val="es-CO"/>
        </w:rPr>
        <w:t xml:space="preserve"> </w:t>
      </w:r>
    </w:p>
    <w:p w:rsidR="004A5F31" w:rsidRPr="004A5F31" w:rsidRDefault="004A5F31" w:rsidP="004A5F31">
      <w:pPr>
        <w:jc w:val="both"/>
        <w:rPr>
          <w:rFonts w:ascii="Bookman Old Style" w:hAnsi="Bookman Old Style"/>
          <w:szCs w:val="24"/>
          <w:lang w:val="es-CO"/>
        </w:rPr>
      </w:pPr>
    </w:p>
    <w:p w:rsidR="004A5F31" w:rsidRPr="004A5F31" w:rsidRDefault="004A5F31" w:rsidP="004A5F31">
      <w:pPr>
        <w:jc w:val="both"/>
        <w:rPr>
          <w:rFonts w:ascii="Bookman Old Style" w:hAnsi="Bookman Old Style"/>
          <w:szCs w:val="24"/>
          <w:lang w:val="es-CO"/>
        </w:rPr>
      </w:pPr>
      <w:r w:rsidRPr="004A5F31">
        <w:rPr>
          <w:rFonts w:ascii="Bookman Old Style" w:hAnsi="Bookman Old Style"/>
          <w:szCs w:val="24"/>
          <w:lang w:val="es-CO"/>
        </w:rPr>
        <w:t>Teniendo en cuenta lo establecido en el artículo 7 de la ley 819 de 2003, el pr</w:t>
      </w:r>
      <w:r w:rsidRPr="004A5F31">
        <w:rPr>
          <w:rFonts w:ascii="Bookman Old Style" w:hAnsi="Bookman Old Style"/>
          <w:szCs w:val="24"/>
          <w:lang w:val="es-CO"/>
        </w:rPr>
        <w:t>e</w:t>
      </w:r>
      <w:r w:rsidRPr="004A5F31">
        <w:rPr>
          <w:rFonts w:ascii="Bookman Old Style" w:hAnsi="Bookman Old Style"/>
          <w:szCs w:val="24"/>
          <w:lang w:val="es-CO"/>
        </w:rPr>
        <w:t>sente proyecto de acuerdo no genera impacto fiscal, ni gastos en el presupuesto de la presente anualidad o futuras vigencias, muy por el contrario, de acuerdo con proyecciones preliminares se estima que la modificación propuesta puede generar un balance de suma mayor a cero frente al recaudo actual.</w:t>
      </w:r>
    </w:p>
    <w:p w:rsidR="004A5F31" w:rsidRPr="004A5F31" w:rsidRDefault="004A5F31" w:rsidP="004A5F31">
      <w:pPr>
        <w:ind w:left="360"/>
        <w:jc w:val="both"/>
        <w:rPr>
          <w:rFonts w:ascii="Bookman Old Style" w:hAnsi="Bookman Old Style"/>
          <w:szCs w:val="24"/>
          <w:lang w:val="es-CO"/>
        </w:rPr>
      </w:pPr>
    </w:p>
    <w:p w:rsidR="004A5F31" w:rsidRPr="004A5F31" w:rsidRDefault="004A5F31" w:rsidP="004A5F31">
      <w:pPr>
        <w:jc w:val="both"/>
        <w:rPr>
          <w:rFonts w:ascii="Bookman Old Style" w:hAnsi="Bookman Old Style"/>
          <w:szCs w:val="24"/>
          <w:lang w:val="es-CO"/>
        </w:rPr>
      </w:pPr>
      <w:r w:rsidRPr="004A5F31">
        <w:rPr>
          <w:rFonts w:ascii="Bookman Old Style" w:hAnsi="Bookman Old Style"/>
          <w:szCs w:val="24"/>
          <w:lang w:val="es-CO"/>
        </w:rPr>
        <w:t xml:space="preserve">Cordialmente, </w:t>
      </w:r>
    </w:p>
    <w:p w:rsidR="004A5F31" w:rsidRPr="004A5F31" w:rsidRDefault="004A5F31" w:rsidP="004A5F31">
      <w:pPr>
        <w:tabs>
          <w:tab w:val="center" w:pos="4419"/>
          <w:tab w:val="right" w:pos="8838"/>
        </w:tabs>
        <w:jc w:val="both"/>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r w:rsidRPr="004A5F31">
        <w:rPr>
          <w:rFonts w:ascii="Bookman Old Style" w:hAnsi="Bookman Old Style" w:cs="Arial"/>
          <w:b/>
          <w:color w:val="auto"/>
          <w:szCs w:val="24"/>
          <w:lang w:val="es-CO"/>
        </w:rPr>
        <w:t>MARIA VICTORIA VARGAS SILVA</w:t>
      </w:r>
    </w:p>
    <w:p w:rsidR="004A5F31" w:rsidRPr="004A5F31" w:rsidRDefault="004A5F31" w:rsidP="004A5F31">
      <w:pPr>
        <w:tabs>
          <w:tab w:val="center" w:pos="4419"/>
          <w:tab w:val="right" w:pos="8838"/>
        </w:tabs>
        <w:jc w:val="center"/>
        <w:rPr>
          <w:rFonts w:ascii="Bookman Old Style" w:hAnsi="Bookman Old Style" w:cs="Arial"/>
          <w:color w:val="auto"/>
          <w:szCs w:val="24"/>
          <w:lang w:val="es-CO"/>
        </w:rPr>
      </w:pPr>
      <w:r w:rsidRPr="004A5F31">
        <w:rPr>
          <w:rFonts w:ascii="Bookman Old Style" w:hAnsi="Bookman Old Style" w:cs="Arial"/>
          <w:color w:val="auto"/>
          <w:szCs w:val="24"/>
          <w:lang w:val="es-CO"/>
        </w:rPr>
        <w:t>CONCEJAL DE BOGOTA</w:t>
      </w:r>
    </w:p>
    <w:p w:rsidR="004A5F31" w:rsidRPr="004A5F31" w:rsidRDefault="004A5F31" w:rsidP="004A5F31">
      <w:pPr>
        <w:tabs>
          <w:tab w:val="center" w:pos="4419"/>
          <w:tab w:val="right" w:pos="8838"/>
        </w:tabs>
        <w:jc w:val="center"/>
        <w:rPr>
          <w:rFonts w:ascii="Bookman Old Style" w:hAnsi="Bookman Old Style" w:cs="Arial"/>
          <w:color w:val="auto"/>
          <w:szCs w:val="24"/>
          <w:lang w:val="es-CO"/>
        </w:rPr>
      </w:pPr>
      <w:r w:rsidRPr="004A5F31">
        <w:rPr>
          <w:rFonts w:ascii="Bookman Old Style" w:hAnsi="Bookman Old Style" w:cs="Arial"/>
          <w:color w:val="auto"/>
          <w:szCs w:val="24"/>
          <w:lang w:val="es-CO"/>
        </w:rPr>
        <w:t>PARTIDO LIBERAL COLOMBIANO</w:t>
      </w: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4A5F31" w:rsidRPr="004A5F31" w:rsidRDefault="004A5F31" w:rsidP="004A5F31">
      <w:pPr>
        <w:tabs>
          <w:tab w:val="center" w:pos="4419"/>
          <w:tab w:val="right" w:pos="8838"/>
        </w:tabs>
        <w:jc w:val="center"/>
        <w:rPr>
          <w:rFonts w:ascii="Bookman Old Style" w:hAnsi="Bookman Old Style" w:cs="Arial"/>
          <w:b/>
          <w:color w:val="auto"/>
          <w:szCs w:val="24"/>
          <w:lang w:val="es-CO"/>
        </w:rPr>
      </w:pPr>
    </w:p>
    <w:p w:rsidR="00291CAA" w:rsidRDefault="00291CAA" w:rsidP="00291CAA">
      <w:pPr>
        <w:tabs>
          <w:tab w:val="center" w:pos="4419"/>
          <w:tab w:val="right" w:pos="8838"/>
        </w:tabs>
        <w:jc w:val="center"/>
        <w:rPr>
          <w:rFonts w:ascii="Bookman Old Style" w:hAnsi="Bookman Old Style" w:cs="Arial"/>
          <w:b/>
          <w:color w:val="auto"/>
          <w:szCs w:val="24"/>
          <w:lang w:val="es-CO"/>
        </w:rPr>
      </w:pPr>
      <w:r w:rsidRPr="004A5F31">
        <w:rPr>
          <w:rFonts w:ascii="Bookman Old Style" w:hAnsi="Bookman Old Style" w:cs="Arial"/>
          <w:b/>
          <w:color w:val="auto"/>
          <w:szCs w:val="24"/>
          <w:lang w:val="es-CO"/>
        </w:rPr>
        <w:t>PROYECTO DE ACUERDO No.          DE 2016</w:t>
      </w:r>
    </w:p>
    <w:p w:rsidR="008A2C42" w:rsidRPr="004A5F31" w:rsidRDefault="008A2C42" w:rsidP="00291CAA">
      <w:pPr>
        <w:tabs>
          <w:tab w:val="center" w:pos="4419"/>
          <w:tab w:val="right" w:pos="8838"/>
        </w:tabs>
        <w:jc w:val="center"/>
        <w:rPr>
          <w:rFonts w:ascii="Bookman Old Style" w:hAnsi="Bookman Old Style" w:cs="Arial"/>
          <w:b/>
          <w:color w:val="auto"/>
          <w:szCs w:val="24"/>
          <w:lang w:val="es-CO"/>
        </w:rPr>
      </w:pPr>
      <w:bookmarkStart w:id="1" w:name="_GoBack"/>
      <w:bookmarkEnd w:id="1"/>
    </w:p>
    <w:p w:rsidR="00291CAA" w:rsidRPr="004A5F31" w:rsidRDefault="00291CAA" w:rsidP="00291CAA">
      <w:pPr>
        <w:tabs>
          <w:tab w:val="right" w:pos="8838"/>
        </w:tabs>
        <w:jc w:val="center"/>
        <w:rPr>
          <w:rFonts w:ascii="Bookman Old Style" w:hAnsi="Bookman Old Style" w:cs="Arial"/>
          <w:color w:val="auto"/>
          <w:szCs w:val="24"/>
          <w:lang w:val="es-CO"/>
        </w:rPr>
      </w:pPr>
      <w:r w:rsidRPr="004A5F31">
        <w:rPr>
          <w:rFonts w:ascii="Bookman Old Style" w:hAnsi="Bookman Old Style" w:cs="Arial"/>
          <w:color w:val="auto"/>
          <w:szCs w:val="24"/>
          <w:lang w:val="es-CO"/>
        </w:rPr>
        <w:t>“</w:t>
      </w:r>
      <w:r w:rsidRPr="004A5F31">
        <w:rPr>
          <w:rFonts w:ascii="Bookman Old Style" w:hAnsi="Bookman Old Style" w:cs="Arial"/>
          <w:i/>
          <w:color w:val="auto"/>
          <w:szCs w:val="24"/>
          <w:lang w:val="es-CO"/>
        </w:rPr>
        <w:t>Por medio del cual se modifica parcialmente el Acuerdo 469 de 2011 en cuanto a la clasificación de los sujetos pasivos del impuesto predial unificado en Bogotá D.C., y el Acuerdo 105 de 2003 en cuanto a las tarifas del impuesto predial unif</w:t>
      </w:r>
      <w:r w:rsidRPr="004A5F31">
        <w:rPr>
          <w:rFonts w:ascii="Bookman Old Style" w:hAnsi="Bookman Old Style" w:cs="Arial"/>
          <w:i/>
          <w:color w:val="auto"/>
          <w:szCs w:val="24"/>
          <w:lang w:val="es-CO"/>
        </w:rPr>
        <w:t>i</w:t>
      </w:r>
      <w:r w:rsidRPr="004A5F31">
        <w:rPr>
          <w:rFonts w:ascii="Bookman Old Style" w:hAnsi="Bookman Old Style" w:cs="Arial"/>
          <w:i/>
          <w:color w:val="auto"/>
          <w:szCs w:val="24"/>
          <w:lang w:val="es-CO"/>
        </w:rPr>
        <w:t>cado en Bogotá D.C., y se dictan otras disposiciones</w:t>
      </w:r>
      <w:r w:rsidRPr="004A5F31">
        <w:rPr>
          <w:rFonts w:ascii="Bookman Old Style" w:hAnsi="Bookman Old Style" w:cs="Arial"/>
          <w:color w:val="auto"/>
          <w:szCs w:val="24"/>
          <w:lang w:val="es-CO"/>
        </w:rPr>
        <w:t>”</w:t>
      </w:r>
    </w:p>
    <w:p w:rsidR="00291CAA" w:rsidRPr="00291CAA" w:rsidRDefault="00291CAA" w:rsidP="00291CAA">
      <w:pPr>
        <w:tabs>
          <w:tab w:val="center" w:pos="4419"/>
          <w:tab w:val="right" w:pos="8838"/>
        </w:tabs>
        <w:jc w:val="center"/>
        <w:rPr>
          <w:rFonts w:ascii="Bookman Old Style" w:hAnsi="Bookman Old Style" w:cs="Arial"/>
          <w:b/>
          <w:color w:val="auto"/>
          <w:szCs w:val="24"/>
          <w:lang w:val="es-CO"/>
        </w:rPr>
      </w:pPr>
    </w:p>
    <w:p w:rsidR="004A5F31" w:rsidRDefault="004A5F31" w:rsidP="004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rial"/>
          <w:bCs/>
          <w:color w:val="auto"/>
          <w:szCs w:val="24"/>
        </w:rPr>
      </w:pPr>
    </w:p>
    <w:p w:rsidR="004A5F31" w:rsidRPr="004A5F31" w:rsidRDefault="004A5F31" w:rsidP="004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rial"/>
          <w:color w:val="auto"/>
          <w:szCs w:val="24"/>
        </w:rPr>
      </w:pPr>
      <w:r w:rsidRPr="004A5F31">
        <w:rPr>
          <w:rFonts w:ascii="Bookman Old Style" w:hAnsi="Bookman Old Style" w:cs="Arial"/>
          <w:bCs/>
          <w:color w:val="auto"/>
          <w:szCs w:val="24"/>
        </w:rPr>
        <w:t>El Concejo de Bogotá, Distrito Capital, e</w:t>
      </w:r>
      <w:r w:rsidRPr="004A5F31">
        <w:rPr>
          <w:rFonts w:ascii="Bookman Old Style" w:hAnsi="Bookman Old Style" w:cs="Arial"/>
          <w:color w:val="auto"/>
          <w:szCs w:val="24"/>
        </w:rPr>
        <w:t>n uso de sus atribuciones constituci</w:t>
      </w:r>
      <w:r w:rsidRPr="004A5F31">
        <w:rPr>
          <w:rFonts w:ascii="Bookman Old Style" w:hAnsi="Bookman Old Style" w:cs="Arial"/>
          <w:color w:val="auto"/>
          <w:szCs w:val="24"/>
        </w:rPr>
        <w:t>o</w:t>
      </w:r>
      <w:r w:rsidRPr="004A5F31">
        <w:rPr>
          <w:rFonts w:ascii="Bookman Old Style" w:hAnsi="Bookman Old Style" w:cs="Arial"/>
          <w:color w:val="auto"/>
          <w:szCs w:val="24"/>
        </w:rPr>
        <w:t xml:space="preserve">nales y legales, especialmente de las contenidas en el artículo 12, numerales 1 y 3 del Decreto 1421 de 1993, </w:t>
      </w:r>
    </w:p>
    <w:p w:rsidR="004A5F31" w:rsidRPr="004A5F31" w:rsidRDefault="004A5F31" w:rsidP="004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rial"/>
          <w:b/>
          <w:bCs/>
          <w:color w:val="auto"/>
          <w:szCs w:val="24"/>
        </w:rPr>
      </w:pPr>
    </w:p>
    <w:p w:rsidR="004A5F31" w:rsidRDefault="004A5F31" w:rsidP="004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rial"/>
          <w:b/>
          <w:bCs/>
          <w:color w:val="auto"/>
          <w:szCs w:val="24"/>
        </w:rPr>
      </w:pPr>
      <w:r w:rsidRPr="004A5F31">
        <w:rPr>
          <w:rFonts w:ascii="Bookman Old Style" w:hAnsi="Bookman Old Style" w:cs="Arial"/>
          <w:b/>
          <w:bCs/>
          <w:color w:val="auto"/>
          <w:szCs w:val="24"/>
        </w:rPr>
        <w:t>ACUERDA:</w:t>
      </w:r>
    </w:p>
    <w:p w:rsidR="004A5F31" w:rsidRDefault="004A5F31" w:rsidP="004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rial"/>
          <w:b/>
          <w:bCs/>
          <w:color w:val="auto"/>
          <w:szCs w:val="24"/>
        </w:rPr>
      </w:pPr>
    </w:p>
    <w:p w:rsidR="004A5F31" w:rsidRPr="004A5F31" w:rsidRDefault="004A5F31" w:rsidP="004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rial"/>
          <w:b/>
          <w:bCs/>
          <w:color w:val="auto"/>
          <w:szCs w:val="24"/>
        </w:rPr>
      </w:pPr>
    </w:p>
    <w:p w:rsidR="004A5F31" w:rsidRPr="004A5F31" w:rsidRDefault="004A5F31" w:rsidP="004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rial"/>
          <w:b/>
          <w:bCs/>
          <w:color w:val="auto"/>
          <w:szCs w:val="24"/>
        </w:rPr>
      </w:pPr>
    </w:p>
    <w:p w:rsidR="004A5F31" w:rsidRPr="004A5F31" w:rsidRDefault="004A5F31" w:rsidP="004A5F31">
      <w:pPr>
        <w:shd w:val="clear" w:color="auto" w:fill="FFFFFF"/>
        <w:jc w:val="both"/>
        <w:rPr>
          <w:rFonts w:ascii="Bookman Old Style" w:hAnsi="Bookman Old Style" w:cs="Arial"/>
          <w:bCs/>
          <w:color w:val="auto"/>
          <w:szCs w:val="24"/>
          <w:lang w:val="es-CO" w:eastAsia="es-CO"/>
        </w:rPr>
      </w:pPr>
      <w:r w:rsidRPr="004A5F31">
        <w:rPr>
          <w:rFonts w:ascii="Bookman Old Style" w:hAnsi="Bookman Old Style" w:cs="Arial"/>
          <w:b/>
          <w:bCs/>
          <w:color w:val="auto"/>
          <w:szCs w:val="24"/>
          <w:lang w:val="es-CO" w:eastAsia="es-CO"/>
        </w:rPr>
        <w:t>ARTICULO 1.</w:t>
      </w:r>
      <w:r w:rsidRPr="004A5F31">
        <w:rPr>
          <w:rFonts w:ascii="Bookman Old Style" w:hAnsi="Bookman Old Style" w:cs="Arial"/>
          <w:bCs/>
          <w:color w:val="auto"/>
          <w:szCs w:val="24"/>
          <w:lang w:val="es-CO" w:eastAsia="es-CO"/>
        </w:rPr>
        <w:t xml:space="preserve"> Adiciónese el artículo 8 del Acuerdo 469 de 2011, el cual qued</w:t>
      </w:r>
      <w:r w:rsidRPr="004A5F31">
        <w:rPr>
          <w:rFonts w:ascii="Bookman Old Style" w:hAnsi="Bookman Old Style" w:cs="Arial"/>
          <w:bCs/>
          <w:color w:val="auto"/>
          <w:szCs w:val="24"/>
          <w:lang w:val="es-CO" w:eastAsia="es-CO"/>
        </w:rPr>
        <w:t>a</w:t>
      </w:r>
      <w:r w:rsidRPr="004A5F31">
        <w:rPr>
          <w:rFonts w:ascii="Bookman Old Style" w:hAnsi="Bookman Old Style" w:cs="Arial"/>
          <w:bCs/>
          <w:color w:val="auto"/>
          <w:szCs w:val="24"/>
          <w:lang w:val="es-CO" w:eastAsia="es-CO"/>
        </w:rPr>
        <w:t>rá así:</w:t>
      </w:r>
    </w:p>
    <w:p w:rsidR="004A5F31" w:rsidRPr="004A5F31" w:rsidRDefault="004A5F31" w:rsidP="004A5F31">
      <w:pPr>
        <w:shd w:val="clear" w:color="auto" w:fill="FFFFFF"/>
        <w:jc w:val="both"/>
        <w:rPr>
          <w:rFonts w:ascii="Bookman Old Style" w:hAnsi="Bookman Old Style" w:cs="Arial"/>
          <w:bCs/>
          <w:color w:val="auto"/>
          <w:szCs w:val="24"/>
          <w:lang w:val="es-CO" w:eastAsia="es-CO"/>
        </w:rPr>
      </w:pP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r w:rsidRPr="004A5F31">
        <w:rPr>
          <w:rFonts w:ascii="Bookman Old Style" w:hAnsi="Bookman Old Style" w:cs="Arial"/>
          <w:bCs/>
          <w:i/>
          <w:color w:val="auto"/>
          <w:szCs w:val="24"/>
          <w:lang w:val="es-CO" w:eastAsia="es-CO"/>
        </w:rPr>
        <w:t>“…ARTÍCULO  8° Sujeto pasivo. Es sujeto pasivo del impuesto predial un</w:t>
      </w:r>
      <w:r w:rsidRPr="004A5F31">
        <w:rPr>
          <w:rFonts w:ascii="Bookman Old Style" w:hAnsi="Bookman Old Style" w:cs="Arial"/>
          <w:bCs/>
          <w:i/>
          <w:color w:val="auto"/>
          <w:szCs w:val="24"/>
          <w:lang w:val="es-CO" w:eastAsia="es-CO"/>
        </w:rPr>
        <w:t>i</w:t>
      </w:r>
      <w:r w:rsidRPr="004A5F31">
        <w:rPr>
          <w:rFonts w:ascii="Bookman Old Style" w:hAnsi="Bookman Old Style" w:cs="Arial"/>
          <w:bCs/>
          <w:i/>
          <w:color w:val="auto"/>
          <w:szCs w:val="24"/>
          <w:lang w:val="es-CO" w:eastAsia="es-CO"/>
        </w:rPr>
        <w:t>ficado, el propietario o poseedor de predios ubicados en la jurisdicción de Bogotá Distrito Capital. Responderán solidariamente por el pago del i</w:t>
      </w:r>
      <w:r w:rsidRPr="004A5F31">
        <w:rPr>
          <w:rFonts w:ascii="Bookman Old Style" w:hAnsi="Bookman Old Style" w:cs="Arial"/>
          <w:bCs/>
          <w:i/>
          <w:color w:val="auto"/>
          <w:szCs w:val="24"/>
          <w:lang w:val="es-CO" w:eastAsia="es-CO"/>
        </w:rPr>
        <w:t>m</w:t>
      </w:r>
      <w:r w:rsidRPr="004A5F31">
        <w:rPr>
          <w:rFonts w:ascii="Bookman Old Style" w:hAnsi="Bookman Old Style" w:cs="Arial"/>
          <w:bCs/>
          <w:i/>
          <w:color w:val="auto"/>
          <w:szCs w:val="24"/>
          <w:lang w:val="es-CO" w:eastAsia="es-CO"/>
        </w:rPr>
        <w:t>puesto, el propietario y el poseedor del predio.</w:t>
      </w: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p>
    <w:p w:rsidR="004A5F31" w:rsidRPr="004A5F31" w:rsidRDefault="004A5F31" w:rsidP="004A5F31">
      <w:pPr>
        <w:shd w:val="clear" w:color="auto" w:fill="FFFFFF"/>
        <w:ind w:left="851"/>
        <w:jc w:val="both"/>
        <w:rPr>
          <w:rFonts w:ascii="Bookman Old Style" w:hAnsi="Bookman Old Style" w:cs="Arial"/>
          <w:bCs/>
          <w:i/>
          <w:color w:val="auto"/>
          <w:szCs w:val="24"/>
          <w:u w:val="single"/>
          <w:lang w:val="es-CO" w:eastAsia="es-CO"/>
        </w:rPr>
      </w:pPr>
      <w:r w:rsidRPr="004A5F31">
        <w:rPr>
          <w:rFonts w:ascii="Bookman Old Style" w:hAnsi="Bookman Old Style" w:cs="Arial"/>
          <w:bCs/>
          <w:i/>
          <w:color w:val="auto"/>
          <w:szCs w:val="24"/>
          <w:u w:val="single"/>
          <w:lang w:val="es-CO" w:eastAsia="es-CO"/>
        </w:rPr>
        <w:t xml:space="preserve">El sujeto pasivo se clasifica en </w:t>
      </w:r>
      <w:proofErr w:type="spellStart"/>
      <w:r w:rsidRPr="004A5F31">
        <w:rPr>
          <w:rFonts w:ascii="Bookman Old Style" w:hAnsi="Bookman Old Style" w:cs="Arial"/>
          <w:bCs/>
          <w:i/>
          <w:color w:val="auto"/>
          <w:szCs w:val="24"/>
          <w:u w:val="single"/>
          <w:lang w:val="es-CO" w:eastAsia="es-CO"/>
        </w:rPr>
        <w:t>monopropietario</w:t>
      </w:r>
      <w:proofErr w:type="spellEnd"/>
      <w:r w:rsidRPr="004A5F31">
        <w:rPr>
          <w:rFonts w:ascii="Bookman Old Style" w:hAnsi="Bookman Old Style" w:cs="Arial"/>
          <w:bCs/>
          <w:i/>
          <w:color w:val="auto"/>
          <w:szCs w:val="24"/>
          <w:u w:val="single"/>
          <w:lang w:val="es-CO" w:eastAsia="es-CO"/>
        </w:rPr>
        <w:t xml:space="preserve"> o </w:t>
      </w:r>
      <w:proofErr w:type="spellStart"/>
      <w:r w:rsidRPr="004A5F31">
        <w:rPr>
          <w:rFonts w:ascii="Bookman Old Style" w:hAnsi="Bookman Old Style" w:cs="Arial"/>
          <w:bCs/>
          <w:i/>
          <w:color w:val="auto"/>
          <w:szCs w:val="24"/>
          <w:u w:val="single"/>
          <w:lang w:val="es-CO" w:eastAsia="es-CO"/>
        </w:rPr>
        <w:t>monoposeedor</w:t>
      </w:r>
      <w:proofErr w:type="spellEnd"/>
      <w:r w:rsidRPr="004A5F31">
        <w:rPr>
          <w:rFonts w:ascii="Bookman Old Style" w:hAnsi="Bookman Old Style" w:cs="Arial"/>
          <w:bCs/>
          <w:i/>
          <w:color w:val="auto"/>
          <w:szCs w:val="24"/>
          <w:u w:val="single"/>
          <w:lang w:val="es-CO" w:eastAsia="es-CO"/>
        </w:rPr>
        <w:t xml:space="preserve"> y </w:t>
      </w:r>
      <w:proofErr w:type="spellStart"/>
      <w:r w:rsidRPr="004A5F31">
        <w:rPr>
          <w:rFonts w:ascii="Bookman Old Style" w:hAnsi="Bookman Old Style" w:cs="Arial"/>
          <w:bCs/>
          <w:i/>
          <w:color w:val="auto"/>
          <w:szCs w:val="24"/>
          <w:u w:val="single"/>
          <w:lang w:val="es-CO" w:eastAsia="es-CO"/>
        </w:rPr>
        <w:t>mult</w:t>
      </w:r>
      <w:r w:rsidRPr="004A5F31">
        <w:rPr>
          <w:rFonts w:ascii="Bookman Old Style" w:hAnsi="Bookman Old Style" w:cs="Arial"/>
          <w:bCs/>
          <w:i/>
          <w:color w:val="auto"/>
          <w:szCs w:val="24"/>
          <w:u w:val="single"/>
          <w:lang w:val="es-CO" w:eastAsia="es-CO"/>
        </w:rPr>
        <w:t>i</w:t>
      </w:r>
      <w:r w:rsidRPr="004A5F31">
        <w:rPr>
          <w:rFonts w:ascii="Bookman Old Style" w:hAnsi="Bookman Old Style" w:cs="Arial"/>
          <w:bCs/>
          <w:i/>
          <w:color w:val="auto"/>
          <w:szCs w:val="24"/>
          <w:u w:val="single"/>
          <w:lang w:val="es-CO" w:eastAsia="es-CO"/>
        </w:rPr>
        <w:t>propietario</w:t>
      </w:r>
      <w:proofErr w:type="spellEnd"/>
      <w:r w:rsidRPr="004A5F31">
        <w:rPr>
          <w:rFonts w:ascii="Bookman Old Style" w:hAnsi="Bookman Old Style" w:cs="Arial"/>
          <w:bCs/>
          <w:i/>
          <w:color w:val="auto"/>
          <w:szCs w:val="24"/>
          <w:u w:val="single"/>
          <w:lang w:val="es-CO" w:eastAsia="es-CO"/>
        </w:rPr>
        <w:t xml:space="preserve"> o </w:t>
      </w:r>
      <w:proofErr w:type="spellStart"/>
      <w:r w:rsidRPr="004A5F31">
        <w:rPr>
          <w:rFonts w:ascii="Bookman Old Style" w:hAnsi="Bookman Old Style" w:cs="Arial"/>
          <w:bCs/>
          <w:i/>
          <w:color w:val="auto"/>
          <w:szCs w:val="24"/>
          <w:u w:val="single"/>
          <w:lang w:val="es-CO" w:eastAsia="es-CO"/>
        </w:rPr>
        <w:t>multiposeedor</w:t>
      </w:r>
      <w:proofErr w:type="spellEnd"/>
      <w:r w:rsidRPr="004A5F31">
        <w:rPr>
          <w:rFonts w:ascii="Bookman Old Style" w:hAnsi="Bookman Old Style" w:cs="Arial"/>
          <w:bCs/>
          <w:i/>
          <w:color w:val="auto"/>
          <w:szCs w:val="24"/>
          <w:u w:val="single"/>
          <w:lang w:val="es-CO" w:eastAsia="es-CO"/>
        </w:rPr>
        <w:t xml:space="preserve">. </w:t>
      </w:r>
    </w:p>
    <w:p w:rsidR="004A5F31" w:rsidRPr="004A5F31" w:rsidRDefault="004A5F31" w:rsidP="004A5F31">
      <w:pPr>
        <w:shd w:val="clear" w:color="auto" w:fill="FFFFFF"/>
        <w:ind w:left="851"/>
        <w:jc w:val="both"/>
        <w:rPr>
          <w:rFonts w:ascii="Bookman Old Style" w:hAnsi="Bookman Old Style" w:cs="Arial"/>
          <w:bCs/>
          <w:i/>
          <w:color w:val="auto"/>
          <w:szCs w:val="24"/>
          <w:u w:val="single"/>
          <w:lang w:val="es-CO" w:eastAsia="es-CO"/>
        </w:rPr>
      </w:pP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r w:rsidRPr="004A5F31">
        <w:rPr>
          <w:rFonts w:ascii="Bookman Old Style" w:hAnsi="Bookman Old Style" w:cs="Arial"/>
          <w:bCs/>
          <w:i/>
          <w:color w:val="auto"/>
          <w:szCs w:val="24"/>
          <w:u w:val="single"/>
          <w:lang w:val="es-CO" w:eastAsia="es-CO"/>
        </w:rPr>
        <w:t>Entiéndase por los primeros, aquellos contribuyentes que figuran en la base catastral del Distrito Capital con un solo predio a su nombre. Y los segundos, aquellos contribuyentes con dos o más predios, independie</w:t>
      </w:r>
      <w:r w:rsidRPr="004A5F31">
        <w:rPr>
          <w:rFonts w:ascii="Bookman Old Style" w:hAnsi="Bookman Old Style" w:cs="Arial"/>
          <w:bCs/>
          <w:i/>
          <w:color w:val="auto"/>
          <w:szCs w:val="24"/>
          <w:u w:val="single"/>
          <w:lang w:val="es-CO" w:eastAsia="es-CO"/>
        </w:rPr>
        <w:t>n</w:t>
      </w:r>
      <w:r w:rsidRPr="004A5F31">
        <w:rPr>
          <w:rFonts w:ascii="Bookman Old Style" w:hAnsi="Bookman Old Style" w:cs="Arial"/>
          <w:bCs/>
          <w:i/>
          <w:color w:val="auto"/>
          <w:szCs w:val="24"/>
          <w:u w:val="single"/>
          <w:lang w:val="es-CO" w:eastAsia="es-CO"/>
        </w:rPr>
        <w:t>temente de su categoría, excepto los correspondientes a “Depósitos y pa</w:t>
      </w:r>
      <w:r w:rsidRPr="004A5F31">
        <w:rPr>
          <w:rFonts w:ascii="Bookman Old Style" w:hAnsi="Bookman Old Style" w:cs="Arial"/>
          <w:bCs/>
          <w:i/>
          <w:color w:val="auto"/>
          <w:szCs w:val="24"/>
          <w:u w:val="single"/>
          <w:lang w:val="es-CO" w:eastAsia="es-CO"/>
        </w:rPr>
        <w:t>r</w:t>
      </w:r>
      <w:r w:rsidRPr="004A5F31">
        <w:rPr>
          <w:rFonts w:ascii="Bookman Old Style" w:hAnsi="Bookman Old Style" w:cs="Arial"/>
          <w:bCs/>
          <w:i/>
          <w:color w:val="auto"/>
          <w:szCs w:val="24"/>
          <w:u w:val="single"/>
          <w:lang w:val="es-CO" w:eastAsia="es-CO"/>
        </w:rPr>
        <w:t>queaderos” de predios residenciales</w:t>
      </w:r>
      <w:r w:rsidRPr="004A5F31">
        <w:rPr>
          <w:rFonts w:ascii="Bookman Old Style" w:hAnsi="Bookman Old Style" w:cs="Arial"/>
          <w:bCs/>
          <w:i/>
          <w:color w:val="auto"/>
          <w:szCs w:val="24"/>
          <w:lang w:val="es-CO" w:eastAsia="es-CO"/>
        </w:rPr>
        <w:t>.</w:t>
      </w: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r w:rsidRPr="004A5F31">
        <w:rPr>
          <w:rFonts w:ascii="Bookman Old Style" w:hAnsi="Bookman Old Style" w:cs="Arial"/>
          <w:bCs/>
          <w:i/>
          <w:color w:val="auto"/>
          <w:szCs w:val="24"/>
          <w:lang w:val="es-CO" w:eastAsia="es-CO"/>
        </w:rPr>
        <w:t>De acuerdo con el artículo 54 de la Ley 1430 de 2010, son sujetos pasivos del impuesto predial los tenedores a título de concesión, de inmuebles p</w:t>
      </w:r>
      <w:r w:rsidRPr="004A5F31">
        <w:rPr>
          <w:rFonts w:ascii="Bookman Old Style" w:hAnsi="Bookman Old Style" w:cs="Arial"/>
          <w:bCs/>
          <w:i/>
          <w:color w:val="auto"/>
          <w:szCs w:val="24"/>
          <w:lang w:val="es-CO" w:eastAsia="es-CO"/>
        </w:rPr>
        <w:t>ú</w:t>
      </w:r>
      <w:r w:rsidRPr="004A5F31">
        <w:rPr>
          <w:rFonts w:ascii="Bookman Old Style" w:hAnsi="Bookman Old Style" w:cs="Arial"/>
          <w:bCs/>
          <w:i/>
          <w:color w:val="auto"/>
          <w:szCs w:val="24"/>
          <w:lang w:val="es-CO" w:eastAsia="es-CO"/>
        </w:rPr>
        <w:t>blicos.</w:t>
      </w: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r w:rsidRPr="004A5F31">
        <w:rPr>
          <w:rFonts w:ascii="Bookman Old Style" w:hAnsi="Bookman Old Style" w:cs="Arial"/>
          <w:bCs/>
          <w:i/>
          <w:color w:val="auto"/>
          <w:szCs w:val="24"/>
          <w:lang w:val="es-CO" w:eastAsia="es-CO"/>
        </w:rPr>
        <w:t>Cuando se trate de predios sometidos al régimen de comunidad serán s</w:t>
      </w:r>
      <w:r w:rsidRPr="004A5F31">
        <w:rPr>
          <w:rFonts w:ascii="Bookman Old Style" w:hAnsi="Bookman Old Style" w:cs="Arial"/>
          <w:bCs/>
          <w:i/>
          <w:color w:val="auto"/>
          <w:szCs w:val="24"/>
          <w:lang w:val="es-CO" w:eastAsia="es-CO"/>
        </w:rPr>
        <w:t>u</w:t>
      </w:r>
      <w:r w:rsidRPr="004A5F31">
        <w:rPr>
          <w:rFonts w:ascii="Bookman Old Style" w:hAnsi="Bookman Old Style" w:cs="Arial"/>
          <w:bCs/>
          <w:i/>
          <w:color w:val="auto"/>
          <w:szCs w:val="24"/>
          <w:lang w:val="es-CO" w:eastAsia="es-CO"/>
        </w:rPr>
        <w:t>jetos pasivos del gravamen los respectivos propietarios, cada cual en pr</w:t>
      </w:r>
      <w:r w:rsidRPr="004A5F31">
        <w:rPr>
          <w:rFonts w:ascii="Bookman Old Style" w:hAnsi="Bookman Old Style" w:cs="Arial"/>
          <w:bCs/>
          <w:i/>
          <w:color w:val="auto"/>
          <w:szCs w:val="24"/>
          <w:lang w:val="es-CO" w:eastAsia="es-CO"/>
        </w:rPr>
        <w:t>o</w:t>
      </w:r>
      <w:r w:rsidRPr="004A5F31">
        <w:rPr>
          <w:rFonts w:ascii="Bookman Old Style" w:hAnsi="Bookman Old Style" w:cs="Arial"/>
          <w:bCs/>
          <w:i/>
          <w:color w:val="auto"/>
          <w:szCs w:val="24"/>
          <w:lang w:val="es-CO" w:eastAsia="es-CO"/>
        </w:rPr>
        <w:t>porción a su cuota, acción o derecho del bien indiviso.</w:t>
      </w: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r w:rsidRPr="004A5F31">
        <w:rPr>
          <w:rFonts w:ascii="Bookman Old Style" w:hAnsi="Bookman Old Style" w:cs="Arial"/>
          <w:bCs/>
          <w:i/>
          <w:color w:val="auto"/>
          <w:szCs w:val="24"/>
          <w:lang w:val="es-CO" w:eastAsia="es-CO"/>
        </w:rPr>
        <w:t>Cuando se trate de predios vinculados y/o constitutivos de un patrimonio autónomo serán sujetos pasivos del gravamen los respectivos fideicom</w:t>
      </w:r>
      <w:r w:rsidRPr="004A5F31">
        <w:rPr>
          <w:rFonts w:ascii="Bookman Old Style" w:hAnsi="Bookman Old Style" w:cs="Arial"/>
          <w:bCs/>
          <w:i/>
          <w:color w:val="auto"/>
          <w:szCs w:val="24"/>
          <w:lang w:val="es-CO" w:eastAsia="es-CO"/>
        </w:rPr>
        <w:t>i</w:t>
      </w:r>
      <w:r w:rsidRPr="004A5F31">
        <w:rPr>
          <w:rFonts w:ascii="Bookman Old Style" w:hAnsi="Bookman Old Style" w:cs="Arial"/>
          <w:bCs/>
          <w:i/>
          <w:color w:val="auto"/>
          <w:szCs w:val="24"/>
          <w:lang w:val="es-CO" w:eastAsia="es-CO"/>
        </w:rPr>
        <w:t>tentes y/o beneficiarios del respectivo patrimonio.</w:t>
      </w: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r w:rsidRPr="004A5F31">
        <w:rPr>
          <w:rFonts w:ascii="Bookman Old Style" w:hAnsi="Bookman Old Style" w:cs="Arial"/>
          <w:bCs/>
          <w:i/>
          <w:color w:val="auto"/>
          <w:szCs w:val="24"/>
          <w:lang w:val="es-CO" w:eastAsia="es-CO"/>
        </w:rPr>
        <w:t>Si el dominio del predio estuviere desmembrado por el usufructo, la carga tributaria será satisfecha por el usufructuario…”</w:t>
      </w: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p>
    <w:p w:rsidR="004A5F31" w:rsidRPr="004A5F31" w:rsidRDefault="004A5F31" w:rsidP="004A5F31">
      <w:pPr>
        <w:shd w:val="clear" w:color="auto" w:fill="FFFFFF"/>
        <w:ind w:left="851"/>
        <w:jc w:val="both"/>
        <w:rPr>
          <w:rFonts w:ascii="Bookman Old Style" w:hAnsi="Bookman Old Style" w:cs="Arial"/>
          <w:bCs/>
          <w:i/>
          <w:color w:val="auto"/>
          <w:szCs w:val="24"/>
          <w:lang w:val="es-CO" w:eastAsia="es-CO"/>
        </w:rPr>
      </w:pPr>
    </w:p>
    <w:p w:rsidR="004A5F31" w:rsidRPr="004A5F31" w:rsidRDefault="004A5F31" w:rsidP="004A5F31">
      <w:pPr>
        <w:shd w:val="clear" w:color="auto" w:fill="FFFFFF"/>
        <w:jc w:val="both"/>
        <w:rPr>
          <w:rFonts w:ascii="Bookman Old Style" w:hAnsi="Bookman Old Style" w:cs="Arial"/>
          <w:bCs/>
          <w:color w:val="auto"/>
          <w:szCs w:val="24"/>
          <w:lang w:val="es-CO" w:eastAsia="es-CO"/>
        </w:rPr>
      </w:pPr>
      <w:r w:rsidRPr="004A5F31">
        <w:rPr>
          <w:rFonts w:ascii="Bookman Old Style" w:hAnsi="Bookman Old Style" w:cs="Arial"/>
          <w:b/>
          <w:bCs/>
          <w:color w:val="auto"/>
          <w:szCs w:val="24"/>
          <w:lang w:val="es-CO" w:eastAsia="es-CO"/>
        </w:rPr>
        <w:t>ARTICULO 2.</w:t>
      </w:r>
      <w:r w:rsidRPr="004A5F31">
        <w:rPr>
          <w:rFonts w:ascii="Bookman Old Style" w:hAnsi="Bookman Old Style" w:cs="Arial"/>
          <w:bCs/>
          <w:color w:val="auto"/>
          <w:szCs w:val="24"/>
          <w:lang w:val="es-CO" w:eastAsia="es-CO"/>
        </w:rPr>
        <w:t xml:space="preserve"> Adiciónese tres parágrafos al artículo 2 del Acuerdo 105 de 2003, así:</w:t>
      </w:r>
    </w:p>
    <w:p w:rsidR="004A5F31" w:rsidRPr="004A5F31" w:rsidRDefault="004A5F31" w:rsidP="004A5F31">
      <w:pPr>
        <w:shd w:val="clear" w:color="auto" w:fill="FFFFFF"/>
        <w:jc w:val="both"/>
        <w:rPr>
          <w:rFonts w:ascii="Bookman Old Style" w:hAnsi="Bookman Old Style" w:cs="Arial"/>
          <w:bCs/>
          <w:color w:val="auto"/>
          <w:szCs w:val="24"/>
          <w:lang w:val="es-CO" w:eastAsia="es-CO"/>
        </w:rPr>
      </w:pPr>
    </w:p>
    <w:p w:rsidR="004A5F31" w:rsidRPr="004A5F31" w:rsidRDefault="004A5F31" w:rsidP="004A5F31">
      <w:pPr>
        <w:shd w:val="clear" w:color="auto" w:fill="FFFFFF"/>
        <w:jc w:val="both"/>
        <w:rPr>
          <w:rFonts w:ascii="Bookman Old Style" w:hAnsi="Bookman Old Style" w:cs="Arial"/>
          <w:color w:val="auto"/>
          <w:szCs w:val="24"/>
          <w:lang w:val="es-CO" w:eastAsia="es-CO"/>
        </w:rPr>
      </w:pPr>
    </w:p>
    <w:p w:rsidR="004A5F31" w:rsidRPr="004A5F31" w:rsidRDefault="004A5F31" w:rsidP="004A5F31">
      <w:pPr>
        <w:shd w:val="clear" w:color="auto" w:fill="FFFFFF"/>
        <w:ind w:left="360"/>
        <w:jc w:val="both"/>
        <w:rPr>
          <w:rFonts w:ascii="Bookman Old Style" w:eastAsia="Calibri" w:hAnsi="Bookman Old Style" w:cs="Arial"/>
          <w:i/>
          <w:szCs w:val="24"/>
          <w:shd w:val="clear" w:color="auto" w:fill="FFFFFF"/>
          <w:lang w:val="es-CO" w:eastAsia="en-US"/>
        </w:rPr>
      </w:pPr>
      <w:r w:rsidRPr="004A5F31">
        <w:rPr>
          <w:rFonts w:ascii="Bookman Old Style" w:eastAsia="Calibri" w:hAnsi="Bookman Old Style" w:cs="Arial"/>
          <w:bCs/>
          <w:i/>
          <w:szCs w:val="24"/>
          <w:shd w:val="clear" w:color="auto" w:fill="FFFFFF"/>
          <w:lang w:val="es-CO" w:eastAsia="en-US"/>
        </w:rPr>
        <w:t>“…</w:t>
      </w:r>
      <w:r w:rsidRPr="004A5F31">
        <w:rPr>
          <w:rFonts w:ascii="Bookman Old Style" w:eastAsia="Calibri" w:hAnsi="Bookman Old Style" w:cs="Arial"/>
          <w:b/>
          <w:bCs/>
          <w:i/>
          <w:szCs w:val="24"/>
          <w:shd w:val="clear" w:color="auto" w:fill="FFFFFF"/>
          <w:lang w:val="es-CO" w:eastAsia="en-US"/>
        </w:rPr>
        <w:t>Parágrafo quinto</w:t>
      </w:r>
      <w:r w:rsidRPr="004A5F31">
        <w:rPr>
          <w:rFonts w:ascii="Bookman Old Style" w:eastAsia="Calibri" w:hAnsi="Bookman Old Style" w:cs="Arial"/>
          <w:bCs/>
          <w:i/>
          <w:szCs w:val="24"/>
          <w:shd w:val="clear" w:color="auto" w:fill="FFFFFF"/>
          <w:lang w:val="es-CO" w:eastAsia="en-US"/>
        </w:rPr>
        <w:t>: </w:t>
      </w:r>
      <w:r w:rsidRPr="004A5F31">
        <w:rPr>
          <w:rFonts w:ascii="Bookman Old Style" w:eastAsia="Calibri" w:hAnsi="Bookman Old Style" w:cs="Arial"/>
          <w:i/>
          <w:szCs w:val="24"/>
          <w:shd w:val="clear" w:color="auto" w:fill="FFFFFF"/>
          <w:lang w:val="es-CO" w:eastAsia="en-US"/>
        </w:rPr>
        <w:t>Los predios residenciales pertenecientes a los contr</w:t>
      </w:r>
      <w:r w:rsidRPr="004A5F31">
        <w:rPr>
          <w:rFonts w:ascii="Bookman Old Style" w:eastAsia="Calibri" w:hAnsi="Bookman Old Style" w:cs="Arial"/>
          <w:i/>
          <w:szCs w:val="24"/>
          <w:shd w:val="clear" w:color="auto" w:fill="FFFFFF"/>
          <w:lang w:val="es-CO" w:eastAsia="en-US"/>
        </w:rPr>
        <w:t>i</w:t>
      </w:r>
      <w:r w:rsidRPr="004A5F31">
        <w:rPr>
          <w:rFonts w:ascii="Bookman Old Style" w:eastAsia="Calibri" w:hAnsi="Bookman Old Style" w:cs="Arial"/>
          <w:i/>
          <w:szCs w:val="24"/>
          <w:shd w:val="clear" w:color="auto" w:fill="FFFFFF"/>
          <w:lang w:val="es-CO" w:eastAsia="en-US"/>
        </w:rPr>
        <w:t xml:space="preserve">buyentes </w:t>
      </w:r>
      <w:proofErr w:type="spellStart"/>
      <w:r w:rsidRPr="004A5F31">
        <w:rPr>
          <w:rFonts w:ascii="Bookman Old Style" w:eastAsia="Calibri" w:hAnsi="Bookman Old Style" w:cs="Arial"/>
          <w:i/>
          <w:szCs w:val="24"/>
          <w:shd w:val="clear" w:color="auto" w:fill="FFFFFF"/>
          <w:lang w:val="es-CO" w:eastAsia="en-US"/>
        </w:rPr>
        <w:t>monopropietarios</w:t>
      </w:r>
      <w:proofErr w:type="spellEnd"/>
      <w:r w:rsidRPr="004A5F31">
        <w:rPr>
          <w:rFonts w:ascii="Bookman Old Style" w:eastAsia="Calibri" w:hAnsi="Bookman Old Style" w:cs="Arial"/>
          <w:i/>
          <w:szCs w:val="24"/>
          <w:shd w:val="clear" w:color="auto" w:fill="FFFFFF"/>
          <w:lang w:val="es-CO" w:eastAsia="en-US"/>
        </w:rPr>
        <w:t xml:space="preserve"> o </w:t>
      </w:r>
      <w:proofErr w:type="spellStart"/>
      <w:r w:rsidRPr="004A5F31">
        <w:rPr>
          <w:rFonts w:ascii="Bookman Old Style" w:eastAsia="Calibri" w:hAnsi="Bookman Old Style" w:cs="Arial"/>
          <w:i/>
          <w:szCs w:val="24"/>
          <w:shd w:val="clear" w:color="auto" w:fill="FFFFFF"/>
          <w:lang w:val="es-CO" w:eastAsia="en-US"/>
        </w:rPr>
        <w:t>monoposeedores</w:t>
      </w:r>
      <w:proofErr w:type="spellEnd"/>
      <w:r w:rsidRPr="004A5F31">
        <w:rPr>
          <w:rFonts w:ascii="Bookman Old Style" w:eastAsia="Calibri" w:hAnsi="Bookman Old Style" w:cs="Arial"/>
          <w:i/>
          <w:szCs w:val="24"/>
          <w:shd w:val="clear" w:color="auto" w:fill="FFFFFF"/>
          <w:lang w:val="es-CO" w:eastAsia="en-US"/>
        </w:rPr>
        <w:t xml:space="preserve"> serán acreedores a una redu</w:t>
      </w:r>
      <w:r w:rsidRPr="004A5F31">
        <w:rPr>
          <w:rFonts w:ascii="Bookman Old Style" w:eastAsia="Calibri" w:hAnsi="Bookman Old Style" w:cs="Arial"/>
          <w:i/>
          <w:szCs w:val="24"/>
          <w:shd w:val="clear" w:color="auto" w:fill="FFFFFF"/>
          <w:lang w:val="es-CO" w:eastAsia="en-US"/>
        </w:rPr>
        <w:t>c</w:t>
      </w:r>
      <w:r w:rsidRPr="004A5F31">
        <w:rPr>
          <w:rFonts w:ascii="Bookman Old Style" w:eastAsia="Calibri" w:hAnsi="Bookman Old Style" w:cs="Arial"/>
          <w:i/>
          <w:szCs w:val="24"/>
          <w:shd w:val="clear" w:color="auto" w:fill="FFFFFF"/>
          <w:lang w:val="es-CO" w:eastAsia="en-US"/>
        </w:rPr>
        <w:t>ción tarifaria del 0.5 por mil de la estructura tarifaria contenida en el presente acuerdo.</w:t>
      </w:r>
    </w:p>
    <w:p w:rsidR="004A5F31" w:rsidRPr="004A5F31" w:rsidRDefault="004A5F31" w:rsidP="004A5F31">
      <w:pPr>
        <w:shd w:val="clear" w:color="auto" w:fill="FFFFFF"/>
        <w:ind w:left="360"/>
        <w:jc w:val="both"/>
        <w:rPr>
          <w:rFonts w:ascii="Bookman Old Style" w:eastAsia="Calibri" w:hAnsi="Bookman Old Style" w:cs="Arial"/>
          <w:i/>
          <w:szCs w:val="24"/>
          <w:shd w:val="clear" w:color="auto" w:fill="FFFFFF"/>
          <w:lang w:val="es-CO" w:eastAsia="en-US"/>
        </w:rPr>
      </w:pPr>
    </w:p>
    <w:p w:rsidR="004A5F31" w:rsidRPr="004A5F31" w:rsidRDefault="004A5F31" w:rsidP="004A5F31">
      <w:pPr>
        <w:shd w:val="clear" w:color="auto" w:fill="FFFFFF"/>
        <w:ind w:left="360"/>
        <w:jc w:val="both"/>
        <w:rPr>
          <w:rFonts w:ascii="Bookman Old Style" w:eastAsia="Calibri" w:hAnsi="Bookman Old Style" w:cs="Arial"/>
          <w:bCs/>
          <w:i/>
          <w:szCs w:val="24"/>
          <w:shd w:val="clear" w:color="auto" w:fill="FFFFFF"/>
          <w:lang w:val="es-CO" w:eastAsia="en-US"/>
        </w:rPr>
      </w:pPr>
      <w:r w:rsidRPr="004A5F31">
        <w:rPr>
          <w:rFonts w:ascii="Bookman Old Style" w:eastAsia="Calibri" w:hAnsi="Bookman Old Style" w:cs="Arial"/>
          <w:b/>
          <w:bCs/>
          <w:i/>
          <w:szCs w:val="24"/>
          <w:shd w:val="clear" w:color="auto" w:fill="FFFFFF"/>
          <w:lang w:val="es-CO" w:eastAsia="en-US"/>
        </w:rPr>
        <w:t>Parágrafo sexto</w:t>
      </w:r>
      <w:r w:rsidRPr="004A5F31">
        <w:rPr>
          <w:rFonts w:ascii="Bookman Old Style" w:eastAsia="Calibri" w:hAnsi="Bookman Old Style" w:cs="Arial"/>
          <w:bCs/>
          <w:i/>
          <w:szCs w:val="24"/>
          <w:shd w:val="clear" w:color="auto" w:fill="FFFFFF"/>
          <w:lang w:val="es-CO" w:eastAsia="en-US"/>
        </w:rPr>
        <w:t>: </w:t>
      </w:r>
      <w:r w:rsidRPr="004A5F31">
        <w:rPr>
          <w:rFonts w:ascii="Bookman Old Style" w:eastAsia="Calibri" w:hAnsi="Bookman Old Style" w:cs="Arial"/>
          <w:i/>
          <w:szCs w:val="24"/>
          <w:shd w:val="clear" w:color="auto" w:fill="FFFFFF"/>
          <w:lang w:val="es-CO" w:eastAsia="en-US"/>
        </w:rPr>
        <w:t xml:space="preserve">Los contribuyentes </w:t>
      </w:r>
      <w:proofErr w:type="spellStart"/>
      <w:r w:rsidRPr="004A5F31">
        <w:rPr>
          <w:rFonts w:ascii="Bookman Old Style" w:eastAsia="Calibri" w:hAnsi="Bookman Old Style" w:cs="Arial"/>
          <w:i/>
          <w:szCs w:val="24"/>
          <w:shd w:val="clear" w:color="auto" w:fill="FFFFFF"/>
          <w:lang w:val="es-CO" w:eastAsia="en-US"/>
        </w:rPr>
        <w:t>multipropietarios</w:t>
      </w:r>
      <w:proofErr w:type="spellEnd"/>
      <w:r w:rsidRPr="004A5F31">
        <w:rPr>
          <w:rFonts w:ascii="Bookman Old Style" w:eastAsia="Calibri" w:hAnsi="Bookman Old Style" w:cs="Arial"/>
          <w:i/>
          <w:szCs w:val="24"/>
          <w:shd w:val="clear" w:color="auto" w:fill="FFFFFF"/>
          <w:lang w:val="es-CO" w:eastAsia="en-US"/>
        </w:rPr>
        <w:t xml:space="preserve"> o </w:t>
      </w:r>
      <w:proofErr w:type="spellStart"/>
      <w:r w:rsidRPr="004A5F31">
        <w:rPr>
          <w:rFonts w:ascii="Bookman Old Style" w:eastAsia="Calibri" w:hAnsi="Bookman Old Style" w:cs="Arial"/>
          <w:i/>
          <w:szCs w:val="24"/>
          <w:shd w:val="clear" w:color="auto" w:fill="FFFFFF"/>
          <w:lang w:val="es-CO" w:eastAsia="en-US"/>
        </w:rPr>
        <w:t>multiposeedores</w:t>
      </w:r>
      <w:proofErr w:type="spellEnd"/>
      <w:r w:rsidRPr="004A5F31">
        <w:rPr>
          <w:rFonts w:ascii="Bookman Old Style" w:eastAsia="Calibri" w:hAnsi="Bookman Old Style" w:cs="Arial"/>
          <w:i/>
          <w:szCs w:val="24"/>
          <w:shd w:val="clear" w:color="auto" w:fill="FFFFFF"/>
          <w:lang w:val="es-CO" w:eastAsia="en-US"/>
        </w:rPr>
        <w:t xml:space="preserve"> p</w:t>
      </w:r>
      <w:r w:rsidRPr="004A5F31">
        <w:rPr>
          <w:rFonts w:ascii="Bookman Old Style" w:eastAsia="Calibri" w:hAnsi="Bookman Old Style" w:cs="Arial"/>
          <w:i/>
          <w:szCs w:val="24"/>
          <w:shd w:val="clear" w:color="auto" w:fill="FFFFFF"/>
          <w:lang w:val="es-CO" w:eastAsia="en-US"/>
        </w:rPr>
        <w:t>o</w:t>
      </w:r>
      <w:r w:rsidRPr="004A5F31">
        <w:rPr>
          <w:rFonts w:ascii="Bookman Old Style" w:eastAsia="Calibri" w:hAnsi="Bookman Old Style" w:cs="Arial"/>
          <w:i/>
          <w:szCs w:val="24"/>
          <w:shd w:val="clear" w:color="auto" w:fill="FFFFFF"/>
          <w:lang w:val="es-CO" w:eastAsia="en-US"/>
        </w:rPr>
        <w:t xml:space="preserve">drán identificar ante la administración un único predio residencial que sea destinado para vivienda familiar, con el fin de hacerse acreedor a la reducción tarifaria señalada en el parágrafo anterior. </w:t>
      </w:r>
    </w:p>
    <w:p w:rsidR="004A5F31" w:rsidRPr="004A5F31" w:rsidRDefault="004A5F31" w:rsidP="004A5F31">
      <w:pPr>
        <w:shd w:val="clear" w:color="auto" w:fill="FFFFFF"/>
        <w:ind w:left="360"/>
        <w:jc w:val="both"/>
        <w:rPr>
          <w:rFonts w:ascii="Bookman Old Style" w:eastAsia="Calibri" w:hAnsi="Bookman Old Style" w:cs="Arial"/>
          <w:bCs/>
          <w:i/>
          <w:szCs w:val="24"/>
          <w:shd w:val="clear" w:color="auto" w:fill="FFFFFF"/>
          <w:lang w:val="es-CO" w:eastAsia="en-US"/>
        </w:rPr>
      </w:pPr>
    </w:p>
    <w:p w:rsidR="004A5F31" w:rsidRPr="004A5F31" w:rsidRDefault="004A5F31" w:rsidP="004A5F31">
      <w:pPr>
        <w:shd w:val="clear" w:color="auto" w:fill="FFFFFF"/>
        <w:ind w:left="360"/>
        <w:jc w:val="both"/>
        <w:rPr>
          <w:rFonts w:ascii="Bookman Old Style" w:eastAsia="Calibri" w:hAnsi="Bookman Old Style" w:cs="Arial"/>
          <w:bCs/>
          <w:i/>
          <w:szCs w:val="24"/>
          <w:shd w:val="clear" w:color="auto" w:fill="FFFFFF"/>
          <w:lang w:val="es-CO" w:eastAsia="en-US"/>
        </w:rPr>
      </w:pPr>
      <w:r w:rsidRPr="004A5F31">
        <w:rPr>
          <w:rFonts w:ascii="Bookman Old Style" w:eastAsia="Calibri" w:hAnsi="Bookman Old Style" w:cs="Arial"/>
          <w:b/>
          <w:bCs/>
          <w:i/>
          <w:szCs w:val="24"/>
          <w:shd w:val="clear" w:color="auto" w:fill="FFFFFF"/>
          <w:lang w:val="es-CO" w:eastAsia="en-US"/>
        </w:rPr>
        <w:t>Parágrafo séptimo</w:t>
      </w:r>
      <w:r w:rsidRPr="004A5F31">
        <w:rPr>
          <w:rFonts w:ascii="Bookman Old Style" w:eastAsia="Calibri" w:hAnsi="Bookman Old Style" w:cs="Arial"/>
          <w:bCs/>
          <w:i/>
          <w:szCs w:val="24"/>
          <w:shd w:val="clear" w:color="auto" w:fill="FFFFFF"/>
          <w:lang w:val="es-CO" w:eastAsia="en-US"/>
        </w:rPr>
        <w:t xml:space="preserve"> </w:t>
      </w:r>
      <w:r w:rsidRPr="004A5F31">
        <w:rPr>
          <w:rFonts w:ascii="Bookman Old Style" w:eastAsia="Calibri" w:hAnsi="Bookman Old Style" w:cs="Arial"/>
          <w:i/>
          <w:szCs w:val="24"/>
          <w:shd w:val="clear" w:color="auto" w:fill="FFFFFF"/>
          <w:lang w:val="es-CO" w:eastAsia="en-US"/>
        </w:rPr>
        <w:t>Los predios residenciales y no residenciales pertenecie</w:t>
      </w:r>
      <w:r w:rsidRPr="004A5F31">
        <w:rPr>
          <w:rFonts w:ascii="Bookman Old Style" w:eastAsia="Calibri" w:hAnsi="Bookman Old Style" w:cs="Arial"/>
          <w:i/>
          <w:szCs w:val="24"/>
          <w:shd w:val="clear" w:color="auto" w:fill="FFFFFF"/>
          <w:lang w:val="es-CO" w:eastAsia="en-US"/>
        </w:rPr>
        <w:t>n</w:t>
      </w:r>
      <w:r w:rsidRPr="004A5F31">
        <w:rPr>
          <w:rFonts w:ascii="Bookman Old Style" w:eastAsia="Calibri" w:hAnsi="Bookman Old Style" w:cs="Arial"/>
          <w:i/>
          <w:szCs w:val="24"/>
          <w:shd w:val="clear" w:color="auto" w:fill="FFFFFF"/>
          <w:lang w:val="es-CO" w:eastAsia="en-US"/>
        </w:rPr>
        <w:t xml:space="preserve">tes a los contribuyentes </w:t>
      </w:r>
      <w:proofErr w:type="spellStart"/>
      <w:r w:rsidRPr="004A5F31">
        <w:rPr>
          <w:rFonts w:ascii="Bookman Old Style" w:eastAsia="Calibri" w:hAnsi="Bookman Old Style" w:cs="Arial"/>
          <w:i/>
          <w:szCs w:val="24"/>
          <w:shd w:val="clear" w:color="auto" w:fill="FFFFFF"/>
          <w:lang w:val="es-CO" w:eastAsia="en-US"/>
        </w:rPr>
        <w:t>multipropietarios</w:t>
      </w:r>
      <w:proofErr w:type="spellEnd"/>
      <w:r w:rsidRPr="004A5F31">
        <w:rPr>
          <w:rFonts w:ascii="Bookman Old Style" w:eastAsia="Calibri" w:hAnsi="Bookman Old Style" w:cs="Arial"/>
          <w:i/>
          <w:szCs w:val="24"/>
          <w:shd w:val="clear" w:color="auto" w:fill="FFFFFF"/>
          <w:lang w:val="es-CO" w:eastAsia="en-US"/>
        </w:rPr>
        <w:t xml:space="preserve"> o </w:t>
      </w:r>
      <w:proofErr w:type="spellStart"/>
      <w:r w:rsidRPr="004A5F31">
        <w:rPr>
          <w:rFonts w:ascii="Bookman Old Style" w:eastAsia="Calibri" w:hAnsi="Bookman Old Style" w:cs="Arial"/>
          <w:i/>
          <w:szCs w:val="24"/>
          <w:shd w:val="clear" w:color="auto" w:fill="FFFFFF"/>
          <w:lang w:val="es-CO" w:eastAsia="en-US"/>
        </w:rPr>
        <w:t>multiposeedores</w:t>
      </w:r>
      <w:proofErr w:type="spellEnd"/>
      <w:r w:rsidRPr="004A5F31">
        <w:rPr>
          <w:rFonts w:ascii="Bookman Old Style" w:eastAsia="Calibri" w:hAnsi="Bookman Old Style" w:cs="Arial"/>
          <w:i/>
          <w:szCs w:val="24"/>
          <w:shd w:val="clear" w:color="auto" w:fill="FFFFFF"/>
          <w:lang w:val="es-CO" w:eastAsia="en-US"/>
        </w:rPr>
        <w:t xml:space="preserve"> serán acreedores a un incremento en la tarifaria del 0.5 por mil de la estructura tarifaria cont</w:t>
      </w:r>
      <w:r w:rsidRPr="004A5F31">
        <w:rPr>
          <w:rFonts w:ascii="Bookman Old Style" w:eastAsia="Calibri" w:hAnsi="Bookman Old Style" w:cs="Arial"/>
          <w:i/>
          <w:szCs w:val="24"/>
          <w:shd w:val="clear" w:color="auto" w:fill="FFFFFF"/>
          <w:lang w:val="es-CO" w:eastAsia="en-US"/>
        </w:rPr>
        <w:t>e</w:t>
      </w:r>
      <w:r w:rsidRPr="004A5F31">
        <w:rPr>
          <w:rFonts w:ascii="Bookman Old Style" w:eastAsia="Calibri" w:hAnsi="Bookman Old Style" w:cs="Arial"/>
          <w:i/>
          <w:szCs w:val="24"/>
          <w:shd w:val="clear" w:color="auto" w:fill="FFFFFF"/>
          <w:lang w:val="es-CO" w:eastAsia="en-US"/>
        </w:rPr>
        <w:t>nida en el presente acuerdo…”</w:t>
      </w:r>
    </w:p>
    <w:p w:rsidR="004A5F31" w:rsidRPr="004A5F31" w:rsidRDefault="004A5F31" w:rsidP="004A5F31">
      <w:pPr>
        <w:shd w:val="clear" w:color="auto" w:fill="FFFFFF"/>
        <w:ind w:left="360"/>
        <w:jc w:val="both"/>
        <w:rPr>
          <w:rFonts w:ascii="Bookman Old Style" w:eastAsia="Calibri" w:hAnsi="Bookman Old Style" w:cs="Arial"/>
          <w:bCs/>
          <w:szCs w:val="24"/>
          <w:shd w:val="clear" w:color="auto" w:fill="FFFFFF"/>
          <w:lang w:val="es-CO" w:eastAsia="en-US"/>
        </w:rPr>
      </w:pPr>
    </w:p>
    <w:p w:rsidR="004A5F31" w:rsidRPr="004A5F31" w:rsidRDefault="004A5F31" w:rsidP="004A5F31">
      <w:pPr>
        <w:shd w:val="clear" w:color="auto" w:fill="FFFFFF"/>
        <w:jc w:val="both"/>
        <w:rPr>
          <w:rFonts w:ascii="Bookman Old Style" w:hAnsi="Bookman Old Style" w:cs="Arial"/>
          <w:bCs/>
          <w:color w:val="auto"/>
          <w:szCs w:val="24"/>
          <w:shd w:val="clear" w:color="auto" w:fill="FFFFFF"/>
          <w:lang w:val="es-CO"/>
        </w:rPr>
      </w:pPr>
      <w:r w:rsidRPr="004A5F31">
        <w:rPr>
          <w:rFonts w:ascii="Bookman Old Style" w:hAnsi="Bookman Old Style" w:cs="Arial"/>
          <w:b/>
          <w:bCs/>
          <w:color w:val="auto"/>
          <w:szCs w:val="24"/>
          <w:lang w:val="es-CO" w:eastAsia="es-CO"/>
        </w:rPr>
        <w:t>ARTICULO 3.</w:t>
      </w:r>
      <w:r w:rsidRPr="004A5F31">
        <w:rPr>
          <w:rFonts w:ascii="Bookman Old Style" w:hAnsi="Bookman Old Style" w:cs="Arial"/>
          <w:bCs/>
          <w:color w:val="auto"/>
          <w:szCs w:val="24"/>
          <w:lang w:val="es-CO" w:eastAsia="es-CO"/>
        </w:rPr>
        <w:t xml:space="preserve"> Los contribuyentes </w:t>
      </w:r>
      <w:proofErr w:type="spellStart"/>
      <w:r w:rsidRPr="004A5F31">
        <w:rPr>
          <w:rFonts w:ascii="Bookman Old Style" w:eastAsia="Calibri" w:hAnsi="Bookman Old Style" w:cs="Arial"/>
          <w:szCs w:val="24"/>
          <w:shd w:val="clear" w:color="auto" w:fill="FFFFFF"/>
          <w:lang w:val="es-CO" w:eastAsia="en-US"/>
        </w:rPr>
        <w:t>monopropietarios</w:t>
      </w:r>
      <w:proofErr w:type="spellEnd"/>
      <w:r w:rsidRPr="004A5F31">
        <w:rPr>
          <w:rFonts w:ascii="Bookman Old Style" w:eastAsia="Calibri" w:hAnsi="Bookman Old Style" w:cs="Arial"/>
          <w:szCs w:val="24"/>
          <w:shd w:val="clear" w:color="auto" w:fill="FFFFFF"/>
          <w:lang w:val="es-CO" w:eastAsia="en-US"/>
        </w:rPr>
        <w:t xml:space="preserve"> o </w:t>
      </w:r>
      <w:proofErr w:type="spellStart"/>
      <w:r w:rsidRPr="004A5F31">
        <w:rPr>
          <w:rFonts w:ascii="Bookman Old Style" w:eastAsia="Calibri" w:hAnsi="Bookman Old Style" w:cs="Arial"/>
          <w:szCs w:val="24"/>
          <w:shd w:val="clear" w:color="auto" w:fill="FFFFFF"/>
          <w:lang w:val="es-CO" w:eastAsia="en-US"/>
        </w:rPr>
        <w:t>monoposeedores</w:t>
      </w:r>
      <w:proofErr w:type="spellEnd"/>
      <w:r w:rsidRPr="004A5F31">
        <w:rPr>
          <w:rFonts w:ascii="Bookman Old Style" w:eastAsia="Calibri" w:hAnsi="Bookman Old Style" w:cs="Arial"/>
          <w:szCs w:val="24"/>
          <w:shd w:val="clear" w:color="auto" w:fill="FFFFFF"/>
          <w:lang w:val="es-CO" w:eastAsia="en-US"/>
        </w:rPr>
        <w:t xml:space="preserve"> de pr</w:t>
      </w:r>
      <w:r w:rsidRPr="004A5F31">
        <w:rPr>
          <w:rFonts w:ascii="Bookman Old Style" w:eastAsia="Calibri" w:hAnsi="Bookman Old Style" w:cs="Arial"/>
          <w:szCs w:val="24"/>
          <w:shd w:val="clear" w:color="auto" w:fill="FFFFFF"/>
          <w:lang w:val="es-CO" w:eastAsia="en-US"/>
        </w:rPr>
        <w:t>e</w:t>
      </w:r>
      <w:r w:rsidRPr="004A5F31">
        <w:rPr>
          <w:rFonts w:ascii="Bookman Old Style" w:eastAsia="Calibri" w:hAnsi="Bookman Old Style" w:cs="Arial"/>
          <w:szCs w:val="24"/>
          <w:shd w:val="clear" w:color="auto" w:fill="FFFFFF"/>
          <w:lang w:val="es-CO" w:eastAsia="en-US"/>
        </w:rPr>
        <w:t>dios residenciales</w:t>
      </w:r>
      <w:r w:rsidRPr="004A5F31">
        <w:rPr>
          <w:rFonts w:ascii="Bookman Old Style" w:eastAsia="Calibri" w:hAnsi="Bookman Old Style" w:cs="Arial"/>
          <w:i/>
          <w:szCs w:val="24"/>
          <w:shd w:val="clear" w:color="auto" w:fill="FFFFFF"/>
          <w:lang w:val="es-CO" w:eastAsia="en-US"/>
        </w:rPr>
        <w:t xml:space="preserve"> </w:t>
      </w:r>
      <w:r w:rsidRPr="004A5F31">
        <w:rPr>
          <w:rFonts w:ascii="Bookman Old Style" w:eastAsia="Calibri" w:hAnsi="Bookman Old Style" w:cs="Arial"/>
          <w:szCs w:val="24"/>
          <w:shd w:val="clear" w:color="auto" w:fill="FFFFFF"/>
          <w:lang w:val="es-CO" w:eastAsia="en-US"/>
        </w:rPr>
        <w:t xml:space="preserve">podrán </w:t>
      </w:r>
      <w:r w:rsidRPr="004A5F31">
        <w:rPr>
          <w:rFonts w:ascii="Bookman Old Style" w:hAnsi="Bookman Old Style" w:cs="Arial"/>
          <w:bCs/>
          <w:color w:val="auto"/>
          <w:szCs w:val="24"/>
          <w:shd w:val="clear" w:color="auto" w:fill="FFFFFF"/>
          <w:lang w:val="es-CO"/>
        </w:rPr>
        <w:t>cancelar bimestral el impuesto predial unificado, co</w:t>
      </w:r>
      <w:r w:rsidRPr="004A5F31">
        <w:rPr>
          <w:rFonts w:ascii="Bookman Old Style" w:hAnsi="Bookman Old Style" w:cs="Arial"/>
          <w:bCs/>
          <w:color w:val="auto"/>
          <w:szCs w:val="24"/>
          <w:shd w:val="clear" w:color="auto" w:fill="FFFFFF"/>
          <w:lang w:val="es-CO"/>
        </w:rPr>
        <w:t>n</w:t>
      </w:r>
      <w:r w:rsidRPr="004A5F31">
        <w:rPr>
          <w:rFonts w:ascii="Bookman Old Style" w:hAnsi="Bookman Old Style" w:cs="Arial"/>
          <w:bCs/>
          <w:color w:val="auto"/>
          <w:szCs w:val="24"/>
          <w:shd w:val="clear" w:color="auto" w:fill="FFFFFF"/>
          <w:lang w:val="es-CO"/>
        </w:rPr>
        <w:t>forme a la reglamentación y procedimiento que para tal efecto expida la Secr</w:t>
      </w:r>
      <w:r w:rsidRPr="004A5F31">
        <w:rPr>
          <w:rFonts w:ascii="Bookman Old Style" w:hAnsi="Bookman Old Style" w:cs="Arial"/>
          <w:bCs/>
          <w:color w:val="auto"/>
          <w:szCs w:val="24"/>
          <w:shd w:val="clear" w:color="auto" w:fill="FFFFFF"/>
          <w:lang w:val="es-CO"/>
        </w:rPr>
        <w:t>e</w:t>
      </w:r>
      <w:r w:rsidRPr="004A5F31">
        <w:rPr>
          <w:rFonts w:ascii="Bookman Old Style" w:hAnsi="Bookman Old Style" w:cs="Arial"/>
          <w:bCs/>
          <w:color w:val="auto"/>
          <w:szCs w:val="24"/>
          <w:shd w:val="clear" w:color="auto" w:fill="FFFFFF"/>
          <w:lang w:val="es-CO"/>
        </w:rPr>
        <w:t>taria de Hacienda Distrital.</w:t>
      </w:r>
    </w:p>
    <w:p w:rsidR="004A5F31" w:rsidRDefault="004A5F31" w:rsidP="004A5F31">
      <w:pPr>
        <w:shd w:val="clear" w:color="auto" w:fill="FFFFFF"/>
        <w:jc w:val="both"/>
        <w:rPr>
          <w:rFonts w:ascii="Bookman Old Style" w:hAnsi="Bookman Old Style" w:cs="Arial"/>
          <w:b/>
          <w:bCs/>
          <w:color w:val="auto"/>
          <w:szCs w:val="24"/>
          <w:lang w:val="es-CO"/>
        </w:rPr>
      </w:pPr>
    </w:p>
    <w:p w:rsidR="004A5F31" w:rsidRDefault="004A5F31" w:rsidP="004A5F31">
      <w:pPr>
        <w:shd w:val="clear" w:color="auto" w:fill="FFFFFF"/>
        <w:jc w:val="both"/>
        <w:rPr>
          <w:rFonts w:ascii="Bookman Old Style" w:hAnsi="Bookman Old Style" w:cs="Arial"/>
          <w:b/>
          <w:bCs/>
          <w:color w:val="auto"/>
          <w:szCs w:val="24"/>
          <w:lang w:val="es-CO"/>
        </w:rPr>
      </w:pPr>
    </w:p>
    <w:p w:rsidR="004A5F31" w:rsidRPr="004A5F31" w:rsidRDefault="004A5F31" w:rsidP="004A5F31">
      <w:pPr>
        <w:shd w:val="clear" w:color="auto" w:fill="FFFFFF"/>
        <w:jc w:val="both"/>
        <w:rPr>
          <w:rFonts w:ascii="Bookman Old Style" w:hAnsi="Bookman Old Style" w:cs="Arial"/>
          <w:b/>
          <w:bCs/>
          <w:color w:val="auto"/>
          <w:szCs w:val="24"/>
          <w:lang w:val="es-CO"/>
        </w:rPr>
      </w:pPr>
      <w:r w:rsidRPr="004A5F31">
        <w:rPr>
          <w:rFonts w:ascii="Bookman Old Style" w:hAnsi="Bookman Old Style" w:cs="Arial"/>
          <w:b/>
          <w:bCs/>
          <w:color w:val="auto"/>
          <w:szCs w:val="24"/>
          <w:lang w:val="es-CO"/>
        </w:rPr>
        <w:t>ARTICULO 4</w:t>
      </w:r>
      <w:r w:rsidRPr="004A5F31">
        <w:rPr>
          <w:rFonts w:ascii="Bookman Old Style" w:hAnsi="Bookman Old Style" w:cs="Arial"/>
          <w:bCs/>
          <w:color w:val="auto"/>
          <w:szCs w:val="24"/>
          <w:lang w:val="es-CO"/>
        </w:rPr>
        <w:t>. Vigencia y Derogatorias.</w:t>
      </w:r>
      <w:r w:rsidRPr="004A5F31">
        <w:rPr>
          <w:rFonts w:ascii="Bookman Old Style" w:hAnsi="Bookman Old Style" w:cs="Arial"/>
          <w:b/>
          <w:bCs/>
          <w:color w:val="auto"/>
          <w:szCs w:val="24"/>
          <w:lang w:val="es-CO"/>
        </w:rPr>
        <w:t xml:space="preserve"> </w:t>
      </w:r>
      <w:r w:rsidRPr="004A5F31">
        <w:rPr>
          <w:rFonts w:ascii="Bookman Old Style" w:hAnsi="Bookman Old Style" w:cs="Arial"/>
          <w:bCs/>
          <w:color w:val="auto"/>
          <w:szCs w:val="24"/>
          <w:lang w:val="es-CO"/>
        </w:rPr>
        <w:t>El presente Acuerdo rige a partir de su publicación y deroga las normas que le sean contrarias.</w:t>
      </w:r>
    </w:p>
    <w:p w:rsidR="004A5F31" w:rsidRPr="004A5F31" w:rsidRDefault="004A5F31" w:rsidP="004A5F31">
      <w:pPr>
        <w:jc w:val="both"/>
        <w:rPr>
          <w:rFonts w:ascii="Bookman Old Style" w:eastAsia="Calibri" w:hAnsi="Bookman Old Style"/>
          <w:color w:val="auto"/>
          <w:szCs w:val="24"/>
          <w:lang w:val="es-CO" w:eastAsia="en-US"/>
        </w:rPr>
      </w:pPr>
    </w:p>
    <w:p w:rsidR="004A5F31" w:rsidRPr="004A5F31" w:rsidRDefault="004A5F31" w:rsidP="004A5F31">
      <w:pPr>
        <w:jc w:val="center"/>
        <w:rPr>
          <w:rFonts w:ascii="Bookman Old Style" w:eastAsia="Calibri" w:hAnsi="Bookman Old Style"/>
          <w:color w:val="auto"/>
          <w:szCs w:val="24"/>
          <w:lang w:val="es-CO" w:eastAsia="en-US"/>
        </w:rPr>
      </w:pPr>
      <w:r w:rsidRPr="004A5F31">
        <w:rPr>
          <w:rFonts w:ascii="Bookman Old Style" w:eastAsia="Calibri" w:hAnsi="Bookman Old Style"/>
          <w:color w:val="auto"/>
          <w:szCs w:val="24"/>
          <w:lang w:val="es-CO" w:eastAsia="en-US"/>
        </w:rPr>
        <w:t>Publíquese y Cúmplase</w:t>
      </w:r>
    </w:p>
    <w:p w:rsidR="004A5F31" w:rsidRPr="004A5F31" w:rsidRDefault="004A5F31" w:rsidP="004A5F31">
      <w:pPr>
        <w:jc w:val="center"/>
        <w:rPr>
          <w:rFonts w:ascii="Bookman Old Style" w:eastAsia="Calibri" w:hAnsi="Bookman Old Style"/>
          <w:color w:val="auto"/>
          <w:szCs w:val="24"/>
          <w:lang w:val="es-CO" w:eastAsia="en-US"/>
        </w:rPr>
      </w:pPr>
    </w:p>
    <w:p w:rsidR="004A5F31" w:rsidRPr="004A5F31" w:rsidRDefault="004A5F31" w:rsidP="004A5F31">
      <w:pPr>
        <w:jc w:val="center"/>
        <w:rPr>
          <w:rFonts w:ascii="Bookman Old Style" w:eastAsia="Calibri" w:hAnsi="Bookman Old Style"/>
          <w:color w:val="auto"/>
          <w:szCs w:val="24"/>
          <w:lang w:val="es-CO" w:eastAsia="en-US"/>
        </w:rPr>
      </w:pPr>
    </w:p>
    <w:p w:rsidR="004A5F31" w:rsidRPr="004A5F31" w:rsidRDefault="004A5F31" w:rsidP="004A5F31">
      <w:pPr>
        <w:jc w:val="center"/>
        <w:rPr>
          <w:rFonts w:ascii="Bookman Old Style" w:eastAsia="Calibri" w:hAnsi="Bookman Old Style"/>
          <w:color w:val="auto"/>
          <w:szCs w:val="24"/>
          <w:lang w:val="es-CO" w:eastAsia="en-US"/>
        </w:rPr>
      </w:pPr>
      <w:r w:rsidRPr="004A5F31">
        <w:rPr>
          <w:rFonts w:ascii="Bookman Old Style" w:eastAsia="Calibri" w:hAnsi="Bookman Old Style"/>
          <w:color w:val="auto"/>
          <w:szCs w:val="24"/>
          <w:lang w:val="es-CO" w:eastAsia="en-US"/>
        </w:rPr>
        <w:t xml:space="preserve">Dado en Bogotá D. C., a los __ días del mes de ______ </w:t>
      </w:r>
      <w:proofErr w:type="spellStart"/>
      <w:r w:rsidRPr="004A5F31">
        <w:rPr>
          <w:rFonts w:ascii="Bookman Old Style" w:eastAsia="Calibri" w:hAnsi="Bookman Old Style"/>
          <w:color w:val="auto"/>
          <w:szCs w:val="24"/>
          <w:lang w:val="es-CO" w:eastAsia="en-US"/>
        </w:rPr>
        <w:t>de</w:t>
      </w:r>
      <w:proofErr w:type="spellEnd"/>
      <w:r w:rsidRPr="004A5F31">
        <w:rPr>
          <w:rFonts w:ascii="Bookman Old Style" w:eastAsia="Calibri" w:hAnsi="Bookman Old Style"/>
          <w:color w:val="auto"/>
          <w:szCs w:val="24"/>
          <w:lang w:val="es-CO" w:eastAsia="en-US"/>
        </w:rPr>
        <w:t xml:space="preserve"> 2016</w:t>
      </w:r>
    </w:p>
    <w:p w:rsidR="004A5F31" w:rsidRPr="004A5F31" w:rsidRDefault="004A5F31" w:rsidP="004A5F31">
      <w:pPr>
        <w:jc w:val="center"/>
        <w:rPr>
          <w:rFonts w:ascii="Bookman Old Style" w:eastAsia="Calibri" w:hAnsi="Bookman Old Style"/>
          <w:color w:val="auto"/>
          <w:szCs w:val="24"/>
          <w:lang w:val="es-CO" w:eastAsia="en-US"/>
        </w:rPr>
      </w:pPr>
    </w:p>
    <w:p w:rsidR="004A5F31" w:rsidRDefault="004A5F31" w:rsidP="004A5F31">
      <w:pPr>
        <w:jc w:val="both"/>
        <w:rPr>
          <w:rFonts w:ascii="Bookman Old Style" w:eastAsia="Calibri" w:hAnsi="Bookman Old Style"/>
          <w:color w:val="auto"/>
          <w:szCs w:val="24"/>
          <w:lang w:val="es-CO" w:eastAsia="en-US"/>
        </w:rPr>
      </w:pPr>
      <w:r w:rsidRPr="004A5F31">
        <w:rPr>
          <w:rFonts w:ascii="Bookman Old Style" w:eastAsia="Calibri" w:hAnsi="Bookman Old Style"/>
          <w:color w:val="auto"/>
          <w:szCs w:val="24"/>
          <w:lang w:val="es-CO" w:eastAsia="en-US"/>
        </w:rPr>
        <w:tab/>
      </w:r>
    </w:p>
    <w:p w:rsidR="004A5F31" w:rsidRDefault="004A5F31" w:rsidP="004A5F31">
      <w:pPr>
        <w:jc w:val="both"/>
        <w:rPr>
          <w:rFonts w:ascii="Bookman Old Style" w:eastAsia="Calibri" w:hAnsi="Bookman Old Style"/>
          <w:color w:val="auto"/>
          <w:szCs w:val="24"/>
          <w:lang w:val="es-CO" w:eastAsia="en-US"/>
        </w:rPr>
      </w:pPr>
    </w:p>
    <w:p w:rsidR="004A5F31" w:rsidRPr="004A5F31" w:rsidRDefault="004A5F31" w:rsidP="004A5F31">
      <w:pPr>
        <w:jc w:val="both"/>
        <w:rPr>
          <w:rFonts w:ascii="Bookman Old Style" w:eastAsia="Calibri" w:hAnsi="Bookman Old Style"/>
          <w:b/>
          <w:color w:val="auto"/>
          <w:szCs w:val="24"/>
          <w:lang w:val="es-CO" w:eastAsia="en-US"/>
        </w:rPr>
      </w:pPr>
    </w:p>
    <w:p w:rsidR="004A5F31" w:rsidRPr="004A5F31" w:rsidRDefault="004A5F31" w:rsidP="004A5F31">
      <w:pPr>
        <w:jc w:val="center"/>
        <w:rPr>
          <w:rFonts w:ascii="Bookman Old Style" w:eastAsia="Calibri" w:hAnsi="Bookman Old Style"/>
          <w:b/>
          <w:color w:val="auto"/>
          <w:szCs w:val="24"/>
          <w:lang w:val="es-CO" w:eastAsia="en-US"/>
        </w:rPr>
      </w:pPr>
      <w:r w:rsidRPr="004A5F31">
        <w:rPr>
          <w:rFonts w:ascii="Bookman Old Style" w:eastAsia="Calibri" w:hAnsi="Bookman Old Style"/>
          <w:b/>
          <w:color w:val="auto"/>
          <w:szCs w:val="24"/>
          <w:lang w:val="es-CO" w:eastAsia="en-US"/>
        </w:rPr>
        <w:t>ROBERTO HINESTROSA REY</w:t>
      </w:r>
    </w:p>
    <w:p w:rsidR="004A5F31" w:rsidRPr="004A5F31" w:rsidRDefault="004A5F31" w:rsidP="004A5F31">
      <w:pPr>
        <w:jc w:val="center"/>
        <w:rPr>
          <w:rFonts w:ascii="Bookman Old Style" w:eastAsia="Calibri" w:hAnsi="Bookman Old Style"/>
          <w:color w:val="auto"/>
          <w:szCs w:val="24"/>
          <w:lang w:val="es-CO" w:eastAsia="en-US"/>
        </w:rPr>
      </w:pPr>
      <w:r w:rsidRPr="004A5F31">
        <w:rPr>
          <w:rFonts w:ascii="Bookman Old Style" w:eastAsia="Calibri" w:hAnsi="Bookman Old Style"/>
          <w:color w:val="auto"/>
          <w:szCs w:val="24"/>
          <w:lang w:val="es-CO" w:eastAsia="en-US"/>
        </w:rPr>
        <w:t>Presidente</w:t>
      </w:r>
      <w:r w:rsidRPr="004A5F31">
        <w:rPr>
          <w:rFonts w:ascii="Bookman Old Style" w:eastAsia="Calibri" w:hAnsi="Bookman Old Style"/>
          <w:color w:val="auto"/>
          <w:szCs w:val="24"/>
          <w:lang w:val="es-CO" w:eastAsia="en-US"/>
        </w:rPr>
        <w:tab/>
        <w:t>Concejo de Bogotá D.C.</w:t>
      </w:r>
    </w:p>
    <w:p w:rsidR="004A5F31" w:rsidRDefault="004A5F31" w:rsidP="004A5F31">
      <w:pPr>
        <w:jc w:val="center"/>
        <w:rPr>
          <w:rFonts w:ascii="Bookman Old Style" w:eastAsia="Calibri" w:hAnsi="Bookman Old Style"/>
          <w:color w:val="auto"/>
          <w:szCs w:val="24"/>
          <w:lang w:val="es-CO" w:eastAsia="en-US"/>
        </w:rPr>
      </w:pPr>
    </w:p>
    <w:p w:rsidR="004A5F31" w:rsidRPr="004A5F31" w:rsidRDefault="004A5F31" w:rsidP="004A5F31">
      <w:pPr>
        <w:jc w:val="center"/>
        <w:rPr>
          <w:rFonts w:ascii="Bookman Old Style" w:eastAsia="Calibri" w:hAnsi="Bookman Old Style"/>
          <w:color w:val="auto"/>
          <w:szCs w:val="24"/>
          <w:lang w:val="es-CO" w:eastAsia="en-US"/>
        </w:rPr>
      </w:pPr>
    </w:p>
    <w:p w:rsidR="004A5F31" w:rsidRPr="004A5F31" w:rsidRDefault="004A5F31" w:rsidP="004A5F31">
      <w:pPr>
        <w:jc w:val="center"/>
        <w:rPr>
          <w:rFonts w:ascii="Bookman Old Style" w:eastAsia="Calibri" w:hAnsi="Bookman Old Style"/>
          <w:color w:val="auto"/>
          <w:szCs w:val="24"/>
          <w:lang w:val="es-CO" w:eastAsia="en-US"/>
        </w:rPr>
      </w:pPr>
    </w:p>
    <w:p w:rsidR="004A5F31" w:rsidRPr="004A5F31" w:rsidRDefault="004A5F31" w:rsidP="004A5F31">
      <w:pPr>
        <w:jc w:val="center"/>
        <w:rPr>
          <w:rFonts w:ascii="Bookman Old Style" w:eastAsia="Calibri" w:hAnsi="Bookman Old Style"/>
          <w:b/>
          <w:color w:val="auto"/>
          <w:szCs w:val="24"/>
          <w:lang w:val="es-CO" w:eastAsia="en-US"/>
        </w:rPr>
      </w:pPr>
      <w:r w:rsidRPr="004A5F31">
        <w:rPr>
          <w:rFonts w:ascii="Bookman Old Style" w:eastAsia="Calibri" w:hAnsi="Bookman Old Style"/>
          <w:b/>
          <w:color w:val="auto"/>
          <w:szCs w:val="24"/>
          <w:lang w:val="es-CO" w:eastAsia="en-US"/>
        </w:rPr>
        <w:t>RODRIGO CASTRO CORRALES</w:t>
      </w:r>
    </w:p>
    <w:p w:rsidR="004A5F31" w:rsidRPr="004A5F31" w:rsidRDefault="004A5F31" w:rsidP="004A5F31">
      <w:pPr>
        <w:jc w:val="center"/>
        <w:rPr>
          <w:rFonts w:ascii="Bookman Old Style" w:eastAsia="Calibri" w:hAnsi="Bookman Old Style"/>
          <w:color w:val="auto"/>
          <w:szCs w:val="24"/>
          <w:lang w:val="es-CO" w:eastAsia="en-US"/>
        </w:rPr>
      </w:pPr>
      <w:r w:rsidRPr="004A5F31">
        <w:rPr>
          <w:rFonts w:ascii="Bookman Old Style" w:eastAsia="Calibri" w:hAnsi="Bookman Old Style"/>
          <w:color w:val="auto"/>
          <w:szCs w:val="24"/>
          <w:lang w:val="es-CO" w:eastAsia="en-US"/>
        </w:rPr>
        <w:t>Secretario Gen</w:t>
      </w:r>
      <w:r>
        <w:rPr>
          <w:rFonts w:ascii="Bookman Old Style" w:eastAsia="Calibri" w:hAnsi="Bookman Old Style"/>
          <w:color w:val="auto"/>
          <w:szCs w:val="24"/>
          <w:lang w:val="es-CO" w:eastAsia="en-US"/>
        </w:rPr>
        <w:t>eral Concejo de Bogotá D.C.</w:t>
      </w:r>
    </w:p>
    <w:p w:rsidR="004A5F31" w:rsidRPr="004A5F31" w:rsidRDefault="004A5F31" w:rsidP="004A5F31">
      <w:pPr>
        <w:jc w:val="center"/>
        <w:rPr>
          <w:rFonts w:ascii="Bookman Old Style" w:eastAsia="Calibri" w:hAnsi="Bookman Old Style"/>
          <w:color w:val="auto"/>
          <w:szCs w:val="24"/>
          <w:lang w:val="es-CO" w:eastAsia="en-US"/>
        </w:rPr>
      </w:pPr>
    </w:p>
    <w:p w:rsidR="004A5F31" w:rsidRDefault="004A5F31" w:rsidP="004A5F31">
      <w:pPr>
        <w:jc w:val="center"/>
        <w:rPr>
          <w:rFonts w:ascii="Bookman Old Style" w:eastAsia="Calibri" w:hAnsi="Bookman Old Style"/>
          <w:color w:val="auto"/>
          <w:szCs w:val="24"/>
          <w:lang w:val="es-CO" w:eastAsia="en-US"/>
        </w:rPr>
      </w:pPr>
    </w:p>
    <w:p w:rsidR="004A5F31" w:rsidRPr="004A5F31" w:rsidRDefault="004A5F31" w:rsidP="004A5F31">
      <w:pPr>
        <w:jc w:val="center"/>
        <w:rPr>
          <w:rFonts w:ascii="Bookman Old Style" w:eastAsia="Calibri" w:hAnsi="Bookman Old Style"/>
          <w:color w:val="auto"/>
          <w:szCs w:val="24"/>
          <w:lang w:val="es-CO" w:eastAsia="en-US"/>
        </w:rPr>
      </w:pPr>
    </w:p>
    <w:p w:rsidR="004A5F31" w:rsidRPr="004A5F31" w:rsidRDefault="004A5F31" w:rsidP="004A5F31">
      <w:pPr>
        <w:jc w:val="center"/>
        <w:rPr>
          <w:rFonts w:ascii="Bookman Old Style" w:eastAsia="Calibri" w:hAnsi="Bookman Old Style"/>
          <w:b/>
          <w:color w:val="auto"/>
          <w:szCs w:val="24"/>
          <w:lang w:val="es-CO" w:eastAsia="en-US"/>
        </w:rPr>
      </w:pPr>
      <w:r w:rsidRPr="004A5F31">
        <w:rPr>
          <w:rFonts w:ascii="Bookman Old Style" w:eastAsia="Calibri" w:hAnsi="Bookman Old Style"/>
          <w:b/>
          <w:color w:val="auto"/>
          <w:szCs w:val="24"/>
          <w:lang w:val="es-CO" w:eastAsia="en-US"/>
        </w:rPr>
        <w:t>ENRIQUE PEÑALOSA LONDOÑO</w:t>
      </w:r>
    </w:p>
    <w:p w:rsidR="004A5F31" w:rsidRPr="004A5F31" w:rsidRDefault="004A5F31" w:rsidP="004A5F31">
      <w:pPr>
        <w:jc w:val="center"/>
        <w:rPr>
          <w:rFonts w:ascii="Bookman Old Style" w:eastAsia="Calibri" w:hAnsi="Bookman Old Style"/>
          <w:color w:val="auto"/>
          <w:szCs w:val="24"/>
          <w:lang w:val="es-CO" w:eastAsia="en-US"/>
        </w:rPr>
      </w:pPr>
      <w:r w:rsidRPr="004A5F31">
        <w:rPr>
          <w:rFonts w:ascii="Bookman Old Style" w:eastAsia="Calibri" w:hAnsi="Bookman Old Style"/>
          <w:color w:val="auto"/>
          <w:szCs w:val="24"/>
          <w:lang w:val="es-CO" w:eastAsia="en-US"/>
        </w:rPr>
        <w:t>Alcalde Mayor de Bogotá</w:t>
      </w:r>
    </w:p>
    <w:p w:rsidR="00997C09" w:rsidRPr="00ED6D9A" w:rsidRDefault="00997C09" w:rsidP="00997C09">
      <w:pPr>
        <w:jc w:val="center"/>
        <w:rPr>
          <w:bCs/>
          <w:sz w:val="20"/>
        </w:rPr>
      </w:pPr>
    </w:p>
    <w:p w:rsidR="00997C09" w:rsidRPr="00ED6D9A" w:rsidRDefault="00997C09" w:rsidP="00997C09">
      <w:pPr>
        <w:rPr>
          <w:bCs/>
          <w:sz w:val="20"/>
        </w:rPr>
      </w:pPr>
    </w:p>
    <w:p w:rsidR="00997C09" w:rsidRPr="00ED6D9A" w:rsidRDefault="00997C09" w:rsidP="00997C09">
      <w:pPr>
        <w:rPr>
          <w:bCs/>
          <w:sz w:val="20"/>
        </w:rPr>
      </w:pPr>
    </w:p>
    <w:p w:rsidR="00997C09" w:rsidRPr="00ED6D9A" w:rsidRDefault="00997C09" w:rsidP="00997C09">
      <w:pPr>
        <w:suppressAutoHyphens/>
        <w:jc w:val="both"/>
        <w:rPr>
          <w:bCs/>
          <w:sz w:val="20"/>
        </w:rPr>
      </w:pPr>
    </w:p>
    <w:p w:rsidR="00997C09" w:rsidRPr="00ED6D9A" w:rsidRDefault="00997C09" w:rsidP="00997C09">
      <w:pPr>
        <w:suppressAutoHyphens/>
        <w:jc w:val="both"/>
        <w:rPr>
          <w:bCs/>
          <w:sz w:val="20"/>
        </w:rPr>
      </w:pPr>
    </w:p>
    <w:p w:rsidR="00997C09" w:rsidRPr="00ED6D9A" w:rsidRDefault="00997C09" w:rsidP="00997C09">
      <w:pPr>
        <w:suppressAutoHyphens/>
        <w:jc w:val="both"/>
        <w:rPr>
          <w:bCs/>
          <w:sz w:val="20"/>
        </w:rPr>
      </w:pPr>
    </w:p>
    <w:p w:rsidR="00997C09" w:rsidRPr="00ED6D9A" w:rsidRDefault="00997C09" w:rsidP="00997C09">
      <w:pPr>
        <w:suppressAutoHyphens/>
        <w:jc w:val="both"/>
        <w:rPr>
          <w:bCs/>
          <w:sz w:val="20"/>
        </w:rPr>
      </w:pPr>
    </w:p>
    <w:p w:rsidR="00997C09" w:rsidRPr="00ED6D9A" w:rsidRDefault="00997C09" w:rsidP="00997C09">
      <w:pPr>
        <w:rPr>
          <w:bCs/>
          <w:sz w:val="20"/>
        </w:rPr>
      </w:pPr>
    </w:p>
    <w:sectPr w:rsidR="00997C09" w:rsidRPr="00ED6D9A" w:rsidSect="004A5F31">
      <w:headerReference w:type="default" r:id="rId14"/>
      <w:footerReference w:type="even" r:id="rId15"/>
      <w:footerReference w:type="default" r:id="rId16"/>
      <w:pgSz w:w="12242" w:h="15842" w:code="1"/>
      <w:pgMar w:top="1418" w:right="1418" w:bottom="1418" w:left="1418" w:header="851"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31" w:rsidRDefault="004A5F31">
      <w:r>
        <w:separator/>
      </w:r>
    </w:p>
  </w:endnote>
  <w:endnote w:type="continuationSeparator" w:id="0">
    <w:p w:rsidR="004A5F31" w:rsidRDefault="004A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31" w:rsidRDefault="004A5F31" w:rsidP="000D1C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A5F31" w:rsidRDefault="004A5F31" w:rsidP="007341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31" w:rsidRDefault="004A5F31" w:rsidP="00FB2DEE">
    <w:pPr>
      <w:pStyle w:val="Piedepgina"/>
      <w:jc w:val="center"/>
      <w:rPr>
        <w:sz w:val="18"/>
        <w:szCs w:val="16"/>
      </w:rPr>
    </w:pPr>
    <w:r w:rsidRPr="0047614C">
      <w:rPr>
        <w:noProof/>
        <w:sz w:val="18"/>
        <w:szCs w:val="18"/>
        <w:lang w:val="es-CO" w:eastAsia="es-CO"/>
      </w:rPr>
      <w:drawing>
        <wp:anchor distT="0" distB="0" distL="114300" distR="114300" simplePos="0" relativeHeight="251659264" behindDoc="1" locked="0" layoutInCell="1" allowOverlap="1" wp14:anchorId="58F040C5" wp14:editId="13F1B36A">
          <wp:simplePos x="0" y="0"/>
          <wp:positionH relativeFrom="column">
            <wp:posOffset>4768215</wp:posOffset>
          </wp:positionH>
          <wp:positionV relativeFrom="paragraph">
            <wp:posOffset>81915</wp:posOffset>
          </wp:positionV>
          <wp:extent cx="1447800" cy="504825"/>
          <wp:effectExtent l="0" t="0" r="0" b="9525"/>
          <wp:wrapNone/>
          <wp:docPr id="4" name="Imagen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anchor>
      </w:drawing>
    </w:r>
    <w:r w:rsidRPr="0047614C">
      <w:rPr>
        <w:noProof/>
        <w:sz w:val="18"/>
        <w:szCs w:val="18"/>
        <w:lang w:val="es-CO" w:eastAsia="es-CO"/>
      </w:rPr>
      <w:drawing>
        <wp:anchor distT="0" distB="0" distL="114300" distR="114300" simplePos="0" relativeHeight="251660288" behindDoc="1" locked="0" layoutInCell="1" allowOverlap="1" wp14:anchorId="3A7CA7EC" wp14:editId="5B42EE56">
          <wp:simplePos x="0" y="0"/>
          <wp:positionH relativeFrom="margin">
            <wp:posOffset>-561975</wp:posOffset>
          </wp:positionH>
          <wp:positionV relativeFrom="paragraph">
            <wp:posOffset>74295</wp:posOffset>
          </wp:positionV>
          <wp:extent cx="1466850" cy="523875"/>
          <wp:effectExtent l="0" t="0" r="0" b="9525"/>
          <wp:wrapNone/>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anchor>
      </w:drawing>
    </w:r>
  </w:p>
  <w:p w:rsidR="004A5F31" w:rsidRDefault="004A5F31" w:rsidP="00FB2DEE">
    <w:pPr>
      <w:pStyle w:val="Piedepgina"/>
      <w:jc w:val="center"/>
      <w:rPr>
        <w:sz w:val="18"/>
        <w:szCs w:val="16"/>
      </w:rPr>
    </w:pPr>
  </w:p>
  <w:p w:rsidR="004A5F31" w:rsidRPr="0047614C" w:rsidRDefault="004A5F31" w:rsidP="00FB2DEE">
    <w:pPr>
      <w:pStyle w:val="Piedepgina"/>
      <w:jc w:val="center"/>
      <w:rPr>
        <w:sz w:val="18"/>
        <w:szCs w:val="18"/>
      </w:rPr>
    </w:pPr>
    <w:r w:rsidRPr="005327A2">
      <w:rPr>
        <w:sz w:val="18"/>
        <w:szCs w:val="16"/>
      </w:rPr>
      <w:t>“EL CONCEJO, COMPRO</w:t>
    </w:r>
    <w:r>
      <w:rPr>
        <w:sz w:val="18"/>
        <w:szCs w:val="16"/>
      </w:rPr>
      <w:t>MISO</w:t>
    </w:r>
    <w:r w:rsidRPr="005327A2">
      <w:rPr>
        <w:sz w:val="18"/>
        <w:szCs w:val="16"/>
      </w:rPr>
      <w:t xml:space="preserve"> Y TRANSPARENCIA POR BOGOTÁ"</w:t>
    </w:r>
  </w:p>
  <w:p w:rsidR="004A5F31" w:rsidRPr="0047614C" w:rsidRDefault="004A5F31" w:rsidP="00FB2DEE">
    <w:pPr>
      <w:pStyle w:val="Piedepgina"/>
      <w:rPr>
        <w:sz w:val="16"/>
        <w:szCs w:val="18"/>
      </w:rPr>
    </w:pPr>
  </w:p>
  <w:p w:rsidR="004A5F31" w:rsidRPr="0047614C" w:rsidRDefault="004A5F31" w:rsidP="00FB2DEE">
    <w:pPr>
      <w:pStyle w:val="Piedepgina"/>
      <w:rPr>
        <w:sz w:val="16"/>
        <w:szCs w:val="18"/>
      </w:rPr>
    </w:pPr>
  </w:p>
  <w:p w:rsidR="004A5F31" w:rsidRDefault="004A5F31" w:rsidP="00FB2DEE">
    <w:pPr>
      <w:jc w:val="right"/>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31" w:rsidRDefault="004A5F31">
      <w:r>
        <w:separator/>
      </w:r>
    </w:p>
  </w:footnote>
  <w:footnote w:type="continuationSeparator" w:id="0">
    <w:p w:rsidR="004A5F31" w:rsidRDefault="004A5F31">
      <w:r>
        <w:continuationSeparator/>
      </w:r>
    </w:p>
  </w:footnote>
  <w:footnote w:id="1">
    <w:p w:rsidR="004A5F31" w:rsidRPr="004A5F31" w:rsidRDefault="004A5F31" w:rsidP="004A5F31">
      <w:pPr>
        <w:pStyle w:val="Textonotapie"/>
        <w:jc w:val="both"/>
        <w:rPr>
          <w:rFonts w:cs="Calibri"/>
          <w:i/>
          <w:sz w:val="16"/>
          <w:szCs w:val="16"/>
        </w:rPr>
      </w:pPr>
      <w:r w:rsidRPr="004A5F31">
        <w:rPr>
          <w:rStyle w:val="Refdenotaalpie"/>
          <w:rFonts w:cs="Calibri"/>
          <w:i/>
          <w:sz w:val="16"/>
          <w:szCs w:val="16"/>
        </w:rPr>
        <w:footnoteRef/>
      </w:r>
      <w:r w:rsidRPr="004A5F31">
        <w:rPr>
          <w:rFonts w:cs="Calibri"/>
          <w:i/>
          <w:sz w:val="16"/>
          <w:szCs w:val="16"/>
        </w:rPr>
        <w:t xml:space="preserve"> CONSEJO DE ESTADO. SALA DE LO CONTENCIOSO ADMINISTRATIVO. SECCION CUARTA Consejero ponente: HUGO FERNANDO BASTIDAS BA</w:t>
      </w:r>
      <w:r w:rsidRPr="004A5F31">
        <w:rPr>
          <w:rFonts w:cs="Calibri"/>
          <w:i/>
          <w:sz w:val="16"/>
          <w:szCs w:val="16"/>
        </w:rPr>
        <w:t>R</w:t>
      </w:r>
      <w:r w:rsidRPr="004A5F31">
        <w:rPr>
          <w:rFonts w:cs="Calibri"/>
          <w:i/>
          <w:sz w:val="16"/>
          <w:szCs w:val="16"/>
        </w:rPr>
        <w:t>CENA. .Bogotá D.C., veintiséis (26) de febrero de dos mil catorce (2014).Radicación número: 25000-23-27-000-2009-00101-01(18701)</w:t>
      </w:r>
    </w:p>
  </w:footnote>
  <w:footnote w:id="2">
    <w:p w:rsidR="004A5F31" w:rsidRPr="004A5F31" w:rsidRDefault="004A5F31" w:rsidP="004A5F31">
      <w:pPr>
        <w:pStyle w:val="Textonotapie"/>
        <w:jc w:val="both"/>
        <w:rPr>
          <w:rFonts w:cs="Calibri"/>
          <w:i/>
          <w:sz w:val="16"/>
          <w:szCs w:val="16"/>
        </w:rPr>
      </w:pPr>
      <w:r w:rsidRPr="004A5F31">
        <w:rPr>
          <w:rStyle w:val="Refdenotaalpie"/>
          <w:rFonts w:cs="Calibri"/>
          <w:i/>
          <w:sz w:val="16"/>
          <w:szCs w:val="16"/>
        </w:rPr>
        <w:footnoteRef/>
      </w:r>
      <w:r w:rsidRPr="004A5F31">
        <w:rPr>
          <w:rFonts w:cs="Calibri"/>
          <w:i/>
          <w:sz w:val="16"/>
          <w:szCs w:val="16"/>
        </w:rPr>
        <w:t xml:space="preserve"> CONSEJO DE ESTADO. SALA DE LO CONTENCIOSO ADMINISTRATIVO. SECCION CUARTA Consejero ponente: JORGE OCTAVIO RAMIREZ </w:t>
      </w:r>
      <w:proofErr w:type="spellStart"/>
      <w:r w:rsidRPr="004A5F31">
        <w:rPr>
          <w:rFonts w:cs="Calibri"/>
          <w:i/>
          <w:sz w:val="16"/>
          <w:szCs w:val="16"/>
        </w:rPr>
        <w:t>RAMIREZ</w:t>
      </w:r>
      <w:proofErr w:type="spellEnd"/>
      <w:r w:rsidRPr="004A5F31">
        <w:rPr>
          <w:rFonts w:cs="Calibri"/>
          <w:i/>
          <w:sz w:val="16"/>
          <w:szCs w:val="16"/>
        </w:rPr>
        <w:t>. Bogotá D. C., veintisiete (27) de marzo de dos mil catorce (2014). Radicación número: 19001-23-31-000-2010-00005-01(19220)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2553"/>
      <w:gridCol w:w="4578"/>
      <w:gridCol w:w="2415"/>
    </w:tblGrid>
    <w:tr w:rsidR="00E30442" w:rsidTr="003428DB">
      <w:trPr>
        <w:trHeight w:val="454"/>
      </w:trPr>
      <w:tc>
        <w:tcPr>
          <w:tcW w:w="1337" w:type="pct"/>
          <w:vMerge w:val="restart"/>
          <w:tcBorders>
            <w:top w:val="single" w:sz="4" w:space="0" w:color="auto"/>
            <w:left w:val="single" w:sz="4" w:space="0" w:color="auto"/>
            <w:right w:val="single" w:sz="4" w:space="0" w:color="auto"/>
          </w:tcBorders>
          <w:vAlign w:val="center"/>
        </w:tcPr>
        <w:p w:rsidR="00E30442" w:rsidRPr="00920985" w:rsidRDefault="00E30442" w:rsidP="00E30442">
          <w:pPr>
            <w:jc w:val="center"/>
            <w:rPr>
              <w:rFonts w:cs="Arial"/>
              <w:sz w:val="16"/>
              <w:szCs w:val="16"/>
            </w:rPr>
          </w:pPr>
        </w:p>
      </w:tc>
      <w:tc>
        <w:tcPr>
          <w:tcW w:w="2398" w:type="pct"/>
          <w:tcBorders>
            <w:top w:val="single" w:sz="4" w:space="0" w:color="auto"/>
            <w:left w:val="nil"/>
            <w:bottom w:val="single" w:sz="4" w:space="0" w:color="auto"/>
            <w:right w:val="single" w:sz="4" w:space="0" w:color="auto"/>
          </w:tcBorders>
          <w:vAlign w:val="center"/>
        </w:tcPr>
        <w:p w:rsidR="00E30442" w:rsidRPr="007E0E2F" w:rsidRDefault="00E30442" w:rsidP="00E30442">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E30442" w:rsidRPr="00EA3A02" w:rsidRDefault="00E30442" w:rsidP="00E30442">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1</w:t>
          </w:r>
        </w:p>
      </w:tc>
    </w:tr>
    <w:tr w:rsidR="00E30442" w:rsidTr="003428DB">
      <w:trPr>
        <w:trHeight w:val="454"/>
      </w:trPr>
      <w:tc>
        <w:tcPr>
          <w:tcW w:w="1337" w:type="pct"/>
          <w:vMerge/>
          <w:tcBorders>
            <w:left w:val="single" w:sz="4" w:space="0" w:color="auto"/>
            <w:right w:val="single" w:sz="4" w:space="0" w:color="auto"/>
          </w:tcBorders>
          <w:vAlign w:val="center"/>
        </w:tcPr>
        <w:p w:rsidR="00E30442" w:rsidRDefault="00E30442" w:rsidP="00E30442">
          <w:pPr>
            <w:rPr>
              <w:rFonts w:cs="Arial"/>
              <w:sz w:val="16"/>
              <w:szCs w:val="16"/>
            </w:rPr>
          </w:pPr>
        </w:p>
      </w:tc>
      <w:tc>
        <w:tcPr>
          <w:tcW w:w="2398" w:type="pct"/>
          <w:vMerge w:val="restart"/>
          <w:tcBorders>
            <w:top w:val="single" w:sz="4" w:space="0" w:color="auto"/>
            <w:left w:val="nil"/>
            <w:right w:val="single" w:sz="4" w:space="0" w:color="auto"/>
          </w:tcBorders>
          <w:vAlign w:val="center"/>
        </w:tcPr>
        <w:p w:rsidR="00E30442" w:rsidRPr="00E30442" w:rsidRDefault="00E30442" w:rsidP="00E30442">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E30442" w:rsidRPr="00EA3A02" w:rsidRDefault="00E30442" w:rsidP="00E30442">
          <w:pPr>
            <w:rPr>
              <w:rFonts w:cs="Arial"/>
              <w:sz w:val="16"/>
              <w:szCs w:val="16"/>
            </w:rPr>
          </w:pPr>
          <w:r>
            <w:rPr>
              <w:rFonts w:cs="Arial"/>
              <w:sz w:val="16"/>
              <w:szCs w:val="16"/>
            </w:rPr>
            <w:t>VERSIÓN:    00</w:t>
          </w:r>
        </w:p>
      </w:tc>
    </w:tr>
    <w:tr w:rsidR="00E30442" w:rsidTr="003428DB">
      <w:trPr>
        <w:trHeight w:val="454"/>
      </w:trPr>
      <w:tc>
        <w:tcPr>
          <w:tcW w:w="1337" w:type="pct"/>
          <w:vMerge/>
          <w:tcBorders>
            <w:left w:val="single" w:sz="4" w:space="0" w:color="auto"/>
            <w:bottom w:val="single" w:sz="4" w:space="0" w:color="auto"/>
            <w:right w:val="single" w:sz="4" w:space="0" w:color="auto"/>
          </w:tcBorders>
          <w:vAlign w:val="center"/>
        </w:tcPr>
        <w:p w:rsidR="00E30442" w:rsidRDefault="00E30442" w:rsidP="00E30442">
          <w:pPr>
            <w:rPr>
              <w:rFonts w:cs="Arial"/>
              <w:sz w:val="16"/>
              <w:szCs w:val="16"/>
            </w:rPr>
          </w:pPr>
        </w:p>
      </w:tc>
      <w:tc>
        <w:tcPr>
          <w:tcW w:w="2398" w:type="pct"/>
          <w:vMerge/>
          <w:tcBorders>
            <w:left w:val="nil"/>
            <w:bottom w:val="single" w:sz="4" w:space="0" w:color="auto"/>
            <w:right w:val="single" w:sz="4" w:space="0" w:color="auto"/>
          </w:tcBorders>
          <w:vAlign w:val="center"/>
        </w:tcPr>
        <w:p w:rsidR="00E30442" w:rsidRDefault="00E30442" w:rsidP="00E30442">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E30442" w:rsidRDefault="00E30442" w:rsidP="00E30442">
          <w:pPr>
            <w:rPr>
              <w:rFonts w:cs="Arial"/>
              <w:sz w:val="16"/>
              <w:szCs w:val="16"/>
            </w:rPr>
          </w:pPr>
          <w:r w:rsidRPr="00EA3A02">
            <w:rPr>
              <w:rFonts w:cs="Arial"/>
              <w:sz w:val="16"/>
              <w:szCs w:val="16"/>
            </w:rPr>
            <w:t>F</w:t>
          </w:r>
          <w:r>
            <w:rPr>
              <w:rFonts w:cs="Arial"/>
              <w:sz w:val="16"/>
              <w:szCs w:val="16"/>
            </w:rPr>
            <w:t>ECHA: 04 DIC. 2015</w:t>
          </w:r>
        </w:p>
      </w:tc>
    </w:tr>
  </w:tbl>
  <w:p w:rsidR="00633540" w:rsidRPr="00E30442" w:rsidRDefault="00336EA9" w:rsidP="00E30442">
    <w:pPr>
      <w:pStyle w:val="Encabezado"/>
    </w:pPr>
    <w:r w:rsidRPr="00336EA9">
      <w:rPr>
        <w:rFonts w:cs="Arial"/>
        <w:noProof/>
        <w:sz w:val="16"/>
        <w:szCs w:val="16"/>
        <w:lang w:val="es-CO" w:eastAsia="es-CO"/>
      </w:rPr>
      <mc:AlternateContent>
        <mc:Choice Requires="wps">
          <w:drawing>
            <wp:anchor distT="0" distB="0" distL="114300" distR="114300" simplePos="0" relativeHeight="251664384" behindDoc="0" locked="0" layoutInCell="0" allowOverlap="1" wp14:anchorId="73877778" wp14:editId="2EFF2B2F">
              <wp:simplePos x="0" y="0"/>
              <wp:positionH relativeFrom="page">
                <wp:align>right</wp:align>
              </wp:positionH>
              <wp:positionV relativeFrom="page">
                <wp:posOffset>3537585</wp:posOffset>
              </wp:positionV>
              <wp:extent cx="762000" cy="895350"/>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336EA9" w:rsidRDefault="00336EA9">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A2C42" w:rsidRPr="008A2C42">
                                <w:rPr>
                                  <w:rFonts w:asciiTheme="majorHAnsi" w:eastAsiaTheme="majorEastAsia" w:hAnsiTheme="majorHAnsi" w:cstheme="majorBidi"/>
                                  <w:noProof/>
                                  <w:sz w:val="48"/>
                                  <w:szCs w:val="48"/>
                                </w:rPr>
                                <w:t>21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6" style="position:absolute;margin-left:8.8pt;margin-top:278.55pt;width:60pt;height:70.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336EA9" w:rsidRDefault="00336EA9">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A2C42" w:rsidRPr="008A2C42">
                          <w:rPr>
                            <w:rFonts w:asciiTheme="majorHAnsi" w:eastAsiaTheme="majorEastAsia" w:hAnsiTheme="majorHAnsi" w:cstheme="majorBidi"/>
                            <w:noProof/>
                            <w:sz w:val="48"/>
                            <w:szCs w:val="48"/>
                          </w:rPr>
                          <w:t>21</w:t>
                        </w:r>
                        <w:r>
                          <w:rPr>
                            <w:rFonts w:asciiTheme="majorHAnsi" w:eastAsiaTheme="majorEastAsia" w:hAnsiTheme="majorHAnsi" w:cstheme="majorBidi"/>
                            <w:sz w:val="48"/>
                            <w:szCs w:val="48"/>
                          </w:rPr>
                          <w:fldChar w:fldCharType="end"/>
                        </w:r>
                      </w:p>
                    </w:sdtContent>
                  </w:sdt>
                </w:txbxContent>
              </v:textbox>
              <w10:wrap anchorx="page" anchory="page"/>
            </v:rect>
          </w:pict>
        </mc:Fallback>
      </mc:AlternateContent>
    </w:r>
    <w:r w:rsidR="003428DB" w:rsidRPr="00D4338D">
      <w:rPr>
        <w:noProof/>
        <w:lang w:val="es-CO" w:eastAsia="es-CO"/>
      </w:rPr>
      <w:drawing>
        <wp:anchor distT="0" distB="0" distL="114300" distR="114300" simplePos="0" relativeHeight="251662336" behindDoc="1" locked="0" layoutInCell="1" allowOverlap="1" wp14:anchorId="75B7467B" wp14:editId="1317D4B9">
          <wp:simplePos x="0" y="0"/>
          <wp:positionH relativeFrom="column">
            <wp:posOffset>441325</wp:posOffset>
          </wp:positionH>
          <wp:positionV relativeFrom="paragraph">
            <wp:posOffset>-890270</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ADC"/>
    <w:multiLevelType w:val="hybridMultilevel"/>
    <w:tmpl w:val="662C1446"/>
    <w:lvl w:ilvl="0" w:tplc="240A001B">
      <w:start w:val="1"/>
      <w:numFmt w:val="low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nsid w:val="0A243E39"/>
    <w:multiLevelType w:val="hybridMultilevel"/>
    <w:tmpl w:val="8A264C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
    <w:nsid w:val="200E6F39"/>
    <w:multiLevelType w:val="multilevel"/>
    <w:tmpl w:val="E9CE08E0"/>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132417F"/>
    <w:multiLevelType w:val="hybridMultilevel"/>
    <w:tmpl w:val="A9525A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653863BE"/>
    <w:multiLevelType w:val="hybridMultilevel"/>
    <w:tmpl w:val="5324E16C"/>
    <w:lvl w:ilvl="0" w:tplc="240A001B">
      <w:start w:val="1"/>
      <w:numFmt w:val="low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63E6D66"/>
    <w:multiLevelType w:val="hybridMultilevel"/>
    <w:tmpl w:val="51FC9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9"/>
  </w:num>
  <w:num w:numId="6">
    <w:abstractNumId w:val="3"/>
  </w:num>
  <w:num w:numId="7">
    <w:abstractNumId w:val="0"/>
  </w:num>
  <w:num w:numId="8">
    <w:abstractNumId w:val="8"/>
  </w:num>
  <w:num w:numId="9">
    <w:abstractNumId w:val="1"/>
  </w:num>
  <w:num w:numId="10">
    <w:abstractNumId w:val="10"/>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54B2"/>
    <w:rsid w:val="000159EA"/>
    <w:rsid w:val="0002047E"/>
    <w:rsid w:val="00021C2A"/>
    <w:rsid w:val="00021CBC"/>
    <w:rsid w:val="00025190"/>
    <w:rsid w:val="0002796F"/>
    <w:rsid w:val="00031ABB"/>
    <w:rsid w:val="0003606D"/>
    <w:rsid w:val="0003786D"/>
    <w:rsid w:val="00040A87"/>
    <w:rsid w:val="0004268D"/>
    <w:rsid w:val="000468B2"/>
    <w:rsid w:val="00047D27"/>
    <w:rsid w:val="00050074"/>
    <w:rsid w:val="000512AC"/>
    <w:rsid w:val="00054A48"/>
    <w:rsid w:val="00054C28"/>
    <w:rsid w:val="0005538D"/>
    <w:rsid w:val="000606F2"/>
    <w:rsid w:val="00060C03"/>
    <w:rsid w:val="00063A38"/>
    <w:rsid w:val="00065939"/>
    <w:rsid w:val="00066B89"/>
    <w:rsid w:val="000671C0"/>
    <w:rsid w:val="000721C1"/>
    <w:rsid w:val="0007345E"/>
    <w:rsid w:val="000760FF"/>
    <w:rsid w:val="000769A4"/>
    <w:rsid w:val="00083C02"/>
    <w:rsid w:val="0008405D"/>
    <w:rsid w:val="000844A8"/>
    <w:rsid w:val="0008684A"/>
    <w:rsid w:val="00087088"/>
    <w:rsid w:val="00091EB1"/>
    <w:rsid w:val="000925A1"/>
    <w:rsid w:val="00095B51"/>
    <w:rsid w:val="000963F9"/>
    <w:rsid w:val="00096C70"/>
    <w:rsid w:val="000972D1"/>
    <w:rsid w:val="000977E7"/>
    <w:rsid w:val="00097DB5"/>
    <w:rsid w:val="000A0030"/>
    <w:rsid w:val="000A14D7"/>
    <w:rsid w:val="000A6C08"/>
    <w:rsid w:val="000B4E23"/>
    <w:rsid w:val="000B4E77"/>
    <w:rsid w:val="000B7C3B"/>
    <w:rsid w:val="000C05B0"/>
    <w:rsid w:val="000C3623"/>
    <w:rsid w:val="000C482C"/>
    <w:rsid w:val="000D1C54"/>
    <w:rsid w:val="000D2BCE"/>
    <w:rsid w:val="000D50FE"/>
    <w:rsid w:val="000E1909"/>
    <w:rsid w:val="000E3C29"/>
    <w:rsid w:val="000E418B"/>
    <w:rsid w:val="000E4369"/>
    <w:rsid w:val="000E6583"/>
    <w:rsid w:val="000E6B86"/>
    <w:rsid w:val="000F00B1"/>
    <w:rsid w:val="000F1586"/>
    <w:rsid w:val="000F552A"/>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69EB"/>
    <w:rsid w:val="0015630E"/>
    <w:rsid w:val="00161BE3"/>
    <w:rsid w:val="0017605A"/>
    <w:rsid w:val="00176FFA"/>
    <w:rsid w:val="00177AE3"/>
    <w:rsid w:val="00181CD3"/>
    <w:rsid w:val="00183F8F"/>
    <w:rsid w:val="00186190"/>
    <w:rsid w:val="00187DF6"/>
    <w:rsid w:val="00190823"/>
    <w:rsid w:val="001916AF"/>
    <w:rsid w:val="001920BF"/>
    <w:rsid w:val="00193297"/>
    <w:rsid w:val="0019403D"/>
    <w:rsid w:val="001944EB"/>
    <w:rsid w:val="00194546"/>
    <w:rsid w:val="00197A0A"/>
    <w:rsid w:val="001A0BC5"/>
    <w:rsid w:val="001A0EA1"/>
    <w:rsid w:val="001A292B"/>
    <w:rsid w:val="001A5510"/>
    <w:rsid w:val="001A5ED6"/>
    <w:rsid w:val="001B047D"/>
    <w:rsid w:val="001B11EA"/>
    <w:rsid w:val="001B29AE"/>
    <w:rsid w:val="001C33C1"/>
    <w:rsid w:val="001C6022"/>
    <w:rsid w:val="001C7725"/>
    <w:rsid w:val="001C798A"/>
    <w:rsid w:val="001D0D50"/>
    <w:rsid w:val="001D1FD3"/>
    <w:rsid w:val="001D78E7"/>
    <w:rsid w:val="001E0250"/>
    <w:rsid w:val="001E214B"/>
    <w:rsid w:val="001E5883"/>
    <w:rsid w:val="001F3794"/>
    <w:rsid w:val="001F6FE2"/>
    <w:rsid w:val="001F72F6"/>
    <w:rsid w:val="001F7DBF"/>
    <w:rsid w:val="00201CD0"/>
    <w:rsid w:val="00203763"/>
    <w:rsid w:val="0020381D"/>
    <w:rsid w:val="00210853"/>
    <w:rsid w:val="00211ACD"/>
    <w:rsid w:val="0021240F"/>
    <w:rsid w:val="00213574"/>
    <w:rsid w:val="002142AC"/>
    <w:rsid w:val="00214E28"/>
    <w:rsid w:val="00217EA7"/>
    <w:rsid w:val="002211D8"/>
    <w:rsid w:val="00221CC3"/>
    <w:rsid w:val="00223E4C"/>
    <w:rsid w:val="00223F6A"/>
    <w:rsid w:val="002271E4"/>
    <w:rsid w:val="00230528"/>
    <w:rsid w:val="00232150"/>
    <w:rsid w:val="002334EF"/>
    <w:rsid w:val="00240C73"/>
    <w:rsid w:val="0024488E"/>
    <w:rsid w:val="00246E98"/>
    <w:rsid w:val="00253D21"/>
    <w:rsid w:val="00256A9C"/>
    <w:rsid w:val="00261D8F"/>
    <w:rsid w:val="002623F4"/>
    <w:rsid w:val="00265386"/>
    <w:rsid w:val="00266720"/>
    <w:rsid w:val="002668E4"/>
    <w:rsid w:val="00275E6F"/>
    <w:rsid w:val="002760AB"/>
    <w:rsid w:val="0027684C"/>
    <w:rsid w:val="00282E5F"/>
    <w:rsid w:val="002846D9"/>
    <w:rsid w:val="00290EF7"/>
    <w:rsid w:val="00291CAA"/>
    <w:rsid w:val="0029282C"/>
    <w:rsid w:val="00295F8B"/>
    <w:rsid w:val="00297F9D"/>
    <w:rsid w:val="002A2530"/>
    <w:rsid w:val="002A6B6E"/>
    <w:rsid w:val="002B17A5"/>
    <w:rsid w:val="002B7B6E"/>
    <w:rsid w:val="002C676F"/>
    <w:rsid w:val="002C6B1B"/>
    <w:rsid w:val="002D1A2D"/>
    <w:rsid w:val="002D49D8"/>
    <w:rsid w:val="002D543B"/>
    <w:rsid w:val="002D6CC9"/>
    <w:rsid w:val="002D6D8F"/>
    <w:rsid w:val="002D7C2C"/>
    <w:rsid w:val="002E1BCA"/>
    <w:rsid w:val="002E51A9"/>
    <w:rsid w:val="002E55FA"/>
    <w:rsid w:val="002E57B9"/>
    <w:rsid w:val="002E6969"/>
    <w:rsid w:val="002F03EC"/>
    <w:rsid w:val="002F1EBF"/>
    <w:rsid w:val="002F23F8"/>
    <w:rsid w:val="002F518B"/>
    <w:rsid w:val="002F5C55"/>
    <w:rsid w:val="002F6A4B"/>
    <w:rsid w:val="002F6D52"/>
    <w:rsid w:val="002F797D"/>
    <w:rsid w:val="003008A0"/>
    <w:rsid w:val="00300C97"/>
    <w:rsid w:val="003028C6"/>
    <w:rsid w:val="00304277"/>
    <w:rsid w:val="003134A6"/>
    <w:rsid w:val="00313CF1"/>
    <w:rsid w:val="003204EA"/>
    <w:rsid w:val="00324247"/>
    <w:rsid w:val="00326F06"/>
    <w:rsid w:val="00331948"/>
    <w:rsid w:val="00331CD0"/>
    <w:rsid w:val="00333445"/>
    <w:rsid w:val="00336DDB"/>
    <w:rsid w:val="00336EA9"/>
    <w:rsid w:val="0033737C"/>
    <w:rsid w:val="00337B0F"/>
    <w:rsid w:val="003428DB"/>
    <w:rsid w:val="00345A63"/>
    <w:rsid w:val="0034706F"/>
    <w:rsid w:val="00347BAB"/>
    <w:rsid w:val="0035605D"/>
    <w:rsid w:val="003564D8"/>
    <w:rsid w:val="00362189"/>
    <w:rsid w:val="00362274"/>
    <w:rsid w:val="00362F45"/>
    <w:rsid w:val="00364183"/>
    <w:rsid w:val="003673C8"/>
    <w:rsid w:val="0037078D"/>
    <w:rsid w:val="0037340A"/>
    <w:rsid w:val="0037605C"/>
    <w:rsid w:val="00376CA3"/>
    <w:rsid w:val="00377440"/>
    <w:rsid w:val="00380F1E"/>
    <w:rsid w:val="00381225"/>
    <w:rsid w:val="00382EA8"/>
    <w:rsid w:val="003830D4"/>
    <w:rsid w:val="00386881"/>
    <w:rsid w:val="003874C7"/>
    <w:rsid w:val="00396B52"/>
    <w:rsid w:val="00397F98"/>
    <w:rsid w:val="003A2596"/>
    <w:rsid w:val="003A43AD"/>
    <w:rsid w:val="003A473B"/>
    <w:rsid w:val="003B0CCC"/>
    <w:rsid w:val="003B1825"/>
    <w:rsid w:val="003B2AF9"/>
    <w:rsid w:val="003B4B01"/>
    <w:rsid w:val="003B5012"/>
    <w:rsid w:val="003B527A"/>
    <w:rsid w:val="003B7BF3"/>
    <w:rsid w:val="003C0158"/>
    <w:rsid w:val="003C429B"/>
    <w:rsid w:val="003C50FB"/>
    <w:rsid w:val="003D0D48"/>
    <w:rsid w:val="003D4C5F"/>
    <w:rsid w:val="003D66A1"/>
    <w:rsid w:val="003E0716"/>
    <w:rsid w:val="003E0769"/>
    <w:rsid w:val="003E1D62"/>
    <w:rsid w:val="003E2652"/>
    <w:rsid w:val="003F5CEE"/>
    <w:rsid w:val="003F6AB6"/>
    <w:rsid w:val="003F701C"/>
    <w:rsid w:val="00402824"/>
    <w:rsid w:val="00403191"/>
    <w:rsid w:val="00404A86"/>
    <w:rsid w:val="00404CBC"/>
    <w:rsid w:val="00405D94"/>
    <w:rsid w:val="00405EB3"/>
    <w:rsid w:val="00411933"/>
    <w:rsid w:val="0041200F"/>
    <w:rsid w:val="0041576C"/>
    <w:rsid w:val="00417170"/>
    <w:rsid w:val="00417970"/>
    <w:rsid w:val="00417EDE"/>
    <w:rsid w:val="00420498"/>
    <w:rsid w:val="004242F1"/>
    <w:rsid w:val="00425596"/>
    <w:rsid w:val="00426D83"/>
    <w:rsid w:val="004275DB"/>
    <w:rsid w:val="00427A4D"/>
    <w:rsid w:val="00430819"/>
    <w:rsid w:val="004343F3"/>
    <w:rsid w:val="00437D6B"/>
    <w:rsid w:val="00447BC5"/>
    <w:rsid w:val="00450808"/>
    <w:rsid w:val="00450B72"/>
    <w:rsid w:val="004514C5"/>
    <w:rsid w:val="00453793"/>
    <w:rsid w:val="004544DF"/>
    <w:rsid w:val="00455548"/>
    <w:rsid w:val="00461C38"/>
    <w:rsid w:val="004702E9"/>
    <w:rsid w:val="004710E6"/>
    <w:rsid w:val="00472886"/>
    <w:rsid w:val="0047310A"/>
    <w:rsid w:val="0047391F"/>
    <w:rsid w:val="00476B89"/>
    <w:rsid w:val="00476DAB"/>
    <w:rsid w:val="0048745C"/>
    <w:rsid w:val="0048771E"/>
    <w:rsid w:val="004918F0"/>
    <w:rsid w:val="00493933"/>
    <w:rsid w:val="004950D4"/>
    <w:rsid w:val="0049598F"/>
    <w:rsid w:val="004A1073"/>
    <w:rsid w:val="004A1730"/>
    <w:rsid w:val="004A345E"/>
    <w:rsid w:val="004A5F31"/>
    <w:rsid w:val="004B1587"/>
    <w:rsid w:val="004B1D07"/>
    <w:rsid w:val="004B2715"/>
    <w:rsid w:val="004B461E"/>
    <w:rsid w:val="004C1893"/>
    <w:rsid w:val="004C19F0"/>
    <w:rsid w:val="004D4AE7"/>
    <w:rsid w:val="004D71BC"/>
    <w:rsid w:val="004E1FDE"/>
    <w:rsid w:val="004E43F6"/>
    <w:rsid w:val="004F26E7"/>
    <w:rsid w:val="004F3EB3"/>
    <w:rsid w:val="004F55D2"/>
    <w:rsid w:val="00501C06"/>
    <w:rsid w:val="00503A21"/>
    <w:rsid w:val="00504C41"/>
    <w:rsid w:val="00506FBD"/>
    <w:rsid w:val="0051018D"/>
    <w:rsid w:val="005144B4"/>
    <w:rsid w:val="005179E2"/>
    <w:rsid w:val="00520D4B"/>
    <w:rsid w:val="00523946"/>
    <w:rsid w:val="00525EB0"/>
    <w:rsid w:val="00532554"/>
    <w:rsid w:val="00532CE4"/>
    <w:rsid w:val="00532F01"/>
    <w:rsid w:val="00540370"/>
    <w:rsid w:val="005411EE"/>
    <w:rsid w:val="005416BC"/>
    <w:rsid w:val="00542B72"/>
    <w:rsid w:val="005439B6"/>
    <w:rsid w:val="00543BF4"/>
    <w:rsid w:val="00546935"/>
    <w:rsid w:val="00551561"/>
    <w:rsid w:val="00552857"/>
    <w:rsid w:val="00553FF1"/>
    <w:rsid w:val="005562F4"/>
    <w:rsid w:val="00557140"/>
    <w:rsid w:val="005575C7"/>
    <w:rsid w:val="005611E8"/>
    <w:rsid w:val="00567511"/>
    <w:rsid w:val="00567DAB"/>
    <w:rsid w:val="00567E76"/>
    <w:rsid w:val="00571A5A"/>
    <w:rsid w:val="00572B3B"/>
    <w:rsid w:val="00572FE0"/>
    <w:rsid w:val="00583340"/>
    <w:rsid w:val="00584BE8"/>
    <w:rsid w:val="00584BF9"/>
    <w:rsid w:val="00591D84"/>
    <w:rsid w:val="00592BFA"/>
    <w:rsid w:val="005933EC"/>
    <w:rsid w:val="00594DD9"/>
    <w:rsid w:val="0059518E"/>
    <w:rsid w:val="005965E8"/>
    <w:rsid w:val="005A0680"/>
    <w:rsid w:val="005A0937"/>
    <w:rsid w:val="005A3024"/>
    <w:rsid w:val="005A437B"/>
    <w:rsid w:val="005A578B"/>
    <w:rsid w:val="005B0A08"/>
    <w:rsid w:val="005B143F"/>
    <w:rsid w:val="005B273F"/>
    <w:rsid w:val="005B6E32"/>
    <w:rsid w:val="005C212A"/>
    <w:rsid w:val="005C3311"/>
    <w:rsid w:val="005D1C57"/>
    <w:rsid w:val="005D4248"/>
    <w:rsid w:val="005E0653"/>
    <w:rsid w:val="005E0D7D"/>
    <w:rsid w:val="005E0FD4"/>
    <w:rsid w:val="005E3F28"/>
    <w:rsid w:val="005E4F30"/>
    <w:rsid w:val="005E5AC3"/>
    <w:rsid w:val="005F1FF0"/>
    <w:rsid w:val="005F487D"/>
    <w:rsid w:val="0060483C"/>
    <w:rsid w:val="00604F54"/>
    <w:rsid w:val="00610CCE"/>
    <w:rsid w:val="006143E2"/>
    <w:rsid w:val="00615F57"/>
    <w:rsid w:val="006174A0"/>
    <w:rsid w:val="00620339"/>
    <w:rsid w:val="0062138C"/>
    <w:rsid w:val="00621D8E"/>
    <w:rsid w:val="0062393F"/>
    <w:rsid w:val="00625F9C"/>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50775"/>
    <w:rsid w:val="0066006E"/>
    <w:rsid w:val="00660ACF"/>
    <w:rsid w:val="00661248"/>
    <w:rsid w:val="00661A41"/>
    <w:rsid w:val="006635AC"/>
    <w:rsid w:val="0066403E"/>
    <w:rsid w:val="006675EE"/>
    <w:rsid w:val="0067110A"/>
    <w:rsid w:val="006713B4"/>
    <w:rsid w:val="00671FD9"/>
    <w:rsid w:val="00673A95"/>
    <w:rsid w:val="00673BBA"/>
    <w:rsid w:val="00691851"/>
    <w:rsid w:val="006972A3"/>
    <w:rsid w:val="006A13CC"/>
    <w:rsid w:val="006B0FE9"/>
    <w:rsid w:val="006B358E"/>
    <w:rsid w:val="006B3AEA"/>
    <w:rsid w:val="006B3C72"/>
    <w:rsid w:val="006B50B7"/>
    <w:rsid w:val="006B7A48"/>
    <w:rsid w:val="006C0E60"/>
    <w:rsid w:val="006C1517"/>
    <w:rsid w:val="006C1A4E"/>
    <w:rsid w:val="006C1BD1"/>
    <w:rsid w:val="006C582E"/>
    <w:rsid w:val="006C69F5"/>
    <w:rsid w:val="006C7192"/>
    <w:rsid w:val="006D0A47"/>
    <w:rsid w:val="006D1D18"/>
    <w:rsid w:val="006D1FA7"/>
    <w:rsid w:val="006D201C"/>
    <w:rsid w:val="006D2C87"/>
    <w:rsid w:val="006D5269"/>
    <w:rsid w:val="006E0CF7"/>
    <w:rsid w:val="006E165C"/>
    <w:rsid w:val="006E29C6"/>
    <w:rsid w:val="006E46FE"/>
    <w:rsid w:val="006E49F5"/>
    <w:rsid w:val="006F04EF"/>
    <w:rsid w:val="006F069D"/>
    <w:rsid w:val="006F2531"/>
    <w:rsid w:val="006F4B02"/>
    <w:rsid w:val="006F4BA8"/>
    <w:rsid w:val="006F63E5"/>
    <w:rsid w:val="0070286D"/>
    <w:rsid w:val="00702B04"/>
    <w:rsid w:val="00704D7A"/>
    <w:rsid w:val="00710811"/>
    <w:rsid w:val="00710910"/>
    <w:rsid w:val="007152D2"/>
    <w:rsid w:val="00717ACF"/>
    <w:rsid w:val="00721876"/>
    <w:rsid w:val="0072610A"/>
    <w:rsid w:val="00727155"/>
    <w:rsid w:val="007341F6"/>
    <w:rsid w:val="00735F7A"/>
    <w:rsid w:val="00740E80"/>
    <w:rsid w:val="00754E81"/>
    <w:rsid w:val="00756E35"/>
    <w:rsid w:val="00756EBE"/>
    <w:rsid w:val="007616BA"/>
    <w:rsid w:val="007625B2"/>
    <w:rsid w:val="007628CA"/>
    <w:rsid w:val="00764612"/>
    <w:rsid w:val="0077016F"/>
    <w:rsid w:val="007703E2"/>
    <w:rsid w:val="007718C9"/>
    <w:rsid w:val="00773007"/>
    <w:rsid w:val="00774599"/>
    <w:rsid w:val="007764C5"/>
    <w:rsid w:val="00776D41"/>
    <w:rsid w:val="0078000B"/>
    <w:rsid w:val="00780B2F"/>
    <w:rsid w:val="00780E8B"/>
    <w:rsid w:val="00782CEF"/>
    <w:rsid w:val="0078358A"/>
    <w:rsid w:val="0078495C"/>
    <w:rsid w:val="00785774"/>
    <w:rsid w:val="00786592"/>
    <w:rsid w:val="00786A4E"/>
    <w:rsid w:val="007900AB"/>
    <w:rsid w:val="00791F01"/>
    <w:rsid w:val="00796DAA"/>
    <w:rsid w:val="00797752"/>
    <w:rsid w:val="00797D23"/>
    <w:rsid w:val="007A011B"/>
    <w:rsid w:val="007A327A"/>
    <w:rsid w:val="007A4375"/>
    <w:rsid w:val="007A5254"/>
    <w:rsid w:val="007B133B"/>
    <w:rsid w:val="007B1E5E"/>
    <w:rsid w:val="007B3254"/>
    <w:rsid w:val="007B38A0"/>
    <w:rsid w:val="007B3CB7"/>
    <w:rsid w:val="007B4CC9"/>
    <w:rsid w:val="007B5D70"/>
    <w:rsid w:val="007B6500"/>
    <w:rsid w:val="007C3050"/>
    <w:rsid w:val="007C50D4"/>
    <w:rsid w:val="007C5B82"/>
    <w:rsid w:val="007C7DA3"/>
    <w:rsid w:val="007D4C84"/>
    <w:rsid w:val="007D7645"/>
    <w:rsid w:val="007E0057"/>
    <w:rsid w:val="007E1ED5"/>
    <w:rsid w:val="007E471A"/>
    <w:rsid w:val="007E4AC3"/>
    <w:rsid w:val="007E7306"/>
    <w:rsid w:val="007E7ED3"/>
    <w:rsid w:val="007F1FB0"/>
    <w:rsid w:val="008021B9"/>
    <w:rsid w:val="00803D0D"/>
    <w:rsid w:val="00806A3D"/>
    <w:rsid w:val="00811186"/>
    <w:rsid w:val="00811FE2"/>
    <w:rsid w:val="0081232F"/>
    <w:rsid w:val="00812F9F"/>
    <w:rsid w:val="00817F9B"/>
    <w:rsid w:val="00822E39"/>
    <w:rsid w:val="008250C2"/>
    <w:rsid w:val="00825259"/>
    <w:rsid w:val="0082590B"/>
    <w:rsid w:val="0082739B"/>
    <w:rsid w:val="00835DF7"/>
    <w:rsid w:val="00836C60"/>
    <w:rsid w:val="00840C8F"/>
    <w:rsid w:val="008413ED"/>
    <w:rsid w:val="0084177E"/>
    <w:rsid w:val="008448FC"/>
    <w:rsid w:val="0084548E"/>
    <w:rsid w:val="00853D70"/>
    <w:rsid w:val="00854273"/>
    <w:rsid w:val="0086221F"/>
    <w:rsid w:val="00864A2A"/>
    <w:rsid w:val="00866D1F"/>
    <w:rsid w:val="00870CF0"/>
    <w:rsid w:val="00872362"/>
    <w:rsid w:val="00874654"/>
    <w:rsid w:val="00874FC9"/>
    <w:rsid w:val="0087777E"/>
    <w:rsid w:val="00880069"/>
    <w:rsid w:val="00881038"/>
    <w:rsid w:val="008814AD"/>
    <w:rsid w:val="008826AA"/>
    <w:rsid w:val="008855E1"/>
    <w:rsid w:val="00885E87"/>
    <w:rsid w:val="00892F18"/>
    <w:rsid w:val="008944B3"/>
    <w:rsid w:val="008944E9"/>
    <w:rsid w:val="008968A5"/>
    <w:rsid w:val="008A2C42"/>
    <w:rsid w:val="008A450F"/>
    <w:rsid w:val="008A53F6"/>
    <w:rsid w:val="008A561F"/>
    <w:rsid w:val="008B14D8"/>
    <w:rsid w:val="008B2FEF"/>
    <w:rsid w:val="008B49BD"/>
    <w:rsid w:val="008B5112"/>
    <w:rsid w:val="008B57EE"/>
    <w:rsid w:val="008B7B25"/>
    <w:rsid w:val="008C1D5C"/>
    <w:rsid w:val="008C5309"/>
    <w:rsid w:val="008C550D"/>
    <w:rsid w:val="008C6DA7"/>
    <w:rsid w:val="008D0911"/>
    <w:rsid w:val="008D2980"/>
    <w:rsid w:val="008D3162"/>
    <w:rsid w:val="008D3D4A"/>
    <w:rsid w:val="008D6B13"/>
    <w:rsid w:val="008E0689"/>
    <w:rsid w:val="008E633F"/>
    <w:rsid w:val="008F07A8"/>
    <w:rsid w:val="008F2592"/>
    <w:rsid w:val="00902124"/>
    <w:rsid w:val="00902F08"/>
    <w:rsid w:val="00905BEA"/>
    <w:rsid w:val="009065B1"/>
    <w:rsid w:val="00906CB2"/>
    <w:rsid w:val="00911342"/>
    <w:rsid w:val="00916002"/>
    <w:rsid w:val="009161A8"/>
    <w:rsid w:val="009210C7"/>
    <w:rsid w:val="009212A7"/>
    <w:rsid w:val="009228BA"/>
    <w:rsid w:val="0092615B"/>
    <w:rsid w:val="009266DB"/>
    <w:rsid w:val="00926BEE"/>
    <w:rsid w:val="00927912"/>
    <w:rsid w:val="0093336E"/>
    <w:rsid w:val="00941B06"/>
    <w:rsid w:val="0094232A"/>
    <w:rsid w:val="00944698"/>
    <w:rsid w:val="00944A25"/>
    <w:rsid w:val="009454BB"/>
    <w:rsid w:val="00954652"/>
    <w:rsid w:val="0096063C"/>
    <w:rsid w:val="009643D3"/>
    <w:rsid w:val="00965A69"/>
    <w:rsid w:val="00965C3E"/>
    <w:rsid w:val="00971244"/>
    <w:rsid w:val="009713A7"/>
    <w:rsid w:val="00972016"/>
    <w:rsid w:val="00972952"/>
    <w:rsid w:val="009730CD"/>
    <w:rsid w:val="00976204"/>
    <w:rsid w:val="009779E9"/>
    <w:rsid w:val="00980BD0"/>
    <w:rsid w:val="00981B1A"/>
    <w:rsid w:val="009850F3"/>
    <w:rsid w:val="0098572D"/>
    <w:rsid w:val="0098756C"/>
    <w:rsid w:val="0099032A"/>
    <w:rsid w:val="0099051E"/>
    <w:rsid w:val="0099196C"/>
    <w:rsid w:val="009925A2"/>
    <w:rsid w:val="00997C09"/>
    <w:rsid w:val="00997EE9"/>
    <w:rsid w:val="009A01B2"/>
    <w:rsid w:val="009A32E1"/>
    <w:rsid w:val="009A441F"/>
    <w:rsid w:val="009A4D9B"/>
    <w:rsid w:val="009A71F7"/>
    <w:rsid w:val="009B2260"/>
    <w:rsid w:val="009B3BE2"/>
    <w:rsid w:val="009B42D0"/>
    <w:rsid w:val="009C35C0"/>
    <w:rsid w:val="009C5DA6"/>
    <w:rsid w:val="009C6843"/>
    <w:rsid w:val="009D68C4"/>
    <w:rsid w:val="009E01C9"/>
    <w:rsid w:val="009E14E1"/>
    <w:rsid w:val="009E1A57"/>
    <w:rsid w:val="009E1DDB"/>
    <w:rsid w:val="009E3C0B"/>
    <w:rsid w:val="009E7803"/>
    <w:rsid w:val="009F08CA"/>
    <w:rsid w:val="009F47E3"/>
    <w:rsid w:val="009F5641"/>
    <w:rsid w:val="009F6E61"/>
    <w:rsid w:val="009F7198"/>
    <w:rsid w:val="00A02547"/>
    <w:rsid w:val="00A04821"/>
    <w:rsid w:val="00A04C9C"/>
    <w:rsid w:val="00A050C3"/>
    <w:rsid w:val="00A15CA6"/>
    <w:rsid w:val="00A17F89"/>
    <w:rsid w:val="00A25529"/>
    <w:rsid w:val="00A30BE7"/>
    <w:rsid w:val="00A34CE6"/>
    <w:rsid w:val="00A35EF1"/>
    <w:rsid w:val="00A37361"/>
    <w:rsid w:val="00A43A12"/>
    <w:rsid w:val="00A46AE8"/>
    <w:rsid w:val="00A51F84"/>
    <w:rsid w:val="00A528CF"/>
    <w:rsid w:val="00A61222"/>
    <w:rsid w:val="00A617E5"/>
    <w:rsid w:val="00A721DC"/>
    <w:rsid w:val="00A72624"/>
    <w:rsid w:val="00A72637"/>
    <w:rsid w:val="00A72D5D"/>
    <w:rsid w:val="00A73737"/>
    <w:rsid w:val="00A74B21"/>
    <w:rsid w:val="00A77AD3"/>
    <w:rsid w:val="00A77AF9"/>
    <w:rsid w:val="00A804F5"/>
    <w:rsid w:val="00A8158C"/>
    <w:rsid w:val="00A8352F"/>
    <w:rsid w:val="00A83E97"/>
    <w:rsid w:val="00A84651"/>
    <w:rsid w:val="00A8587B"/>
    <w:rsid w:val="00A91A69"/>
    <w:rsid w:val="00A97454"/>
    <w:rsid w:val="00AA27BF"/>
    <w:rsid w:val="00AB2155"/>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268D"/>
    <w:rsid w:val="00AF344B"/>
    <w:rsid w:val="00AF38CF"/>
    <w:rsid w:val="00AF3B81"/>
    <w:rsid w:val="00AF4C56"/>
    <w:rsid w:val="00AF57FD"/>
    <w:rsid w:val="00B00111"/>
    <w:rsid w:val="00B02DA7"/>
    <w:rsid w:val="00B0388A"/>
    <w:rsid w:val="00B0497F"/>
    <w:rsid w:val="00B06CBF"/>
    <w:rsid w:val="00B10363"/>
    <w:rsid w:val="00B11E25"/>
    <w:rsid w:val="00B17152"/>
    <w:rsid w:val="00B1766D"/>
    <w:rsid w:val="00B20083"/>
    <w:rsid w:val="00B20E6A"/>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51998"/>
    <w:rsid w:val="00B51BB7"/>
    <w:rsid w:val="00B560C7"/>
    <w:rsid w:val="00B579DB"/>
    <w:rsid w:val="00B616BC"/>
    <w:rsid w:val="00B61AC9"/>
    <w:rsid w:val="00B649E0"/>
    <w:rsid w:val="00B64A56"/>
    <w:rsid w:val="00B66120"/>
    <w:rsid w:val="00B677FF"/>
    <w:rsid w:val="00B67A63"/>
    <w:rsid w:val="00B76AA1"/>
    <w:rsid w:val="00B76AC1"/>
    <w:rsid w:val="00B90E2E"/>
    <w:rsid w:val="00B921C6"/>
    <w:rsid w:val="00B92A62"/>
    <w:rsid w:val="00B93E2D"/>
    <w:rsid w:val="00B9736A"/>
    <w:rsid w:val="00B97A7A"/>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6915"/>
    <w:rsid w:val="00BE6BB6"/>
    <w:rsid w:val="00BF1BF6"/>
    <w:rsid w:val="00BF4E3A"/>
    <w:rsid w:val="00C003CD"/>
    <w:rsid w:val="00C003E3"/>
    <w:rsid w:val="00C038C2"/>
    <w:rsid w:val="00C038DB"/>
    <w:rsid w:val="00C041DE"/>
    <w:rsid w:val="00C06E6E"/>
    <w:rsid w:val="00C105D7"/>
    <w:rsid w:val="00C1183C"/>
    <w:rsid w:val="00C16F86"/>
    <w:rsid w:val="00C30C3E"/>
    <w:rsid w:val="00C421EE"/>
    <w:rsid w:val="00C435FA"/>
    <w:rsid w:val="00C45435"/>
    <w:rsid w:val="00C45FC6"/>
    <w:rsid w:val="00C52D36"/>
    <w:rsid w:val="00C54AA5"/>
    <w:rsid w:val="00C64FAD"/>
    <w:rsid w:val="00C676E6"/>
    <w:rsid w:val="00C7301F"/>
    <w:rsid w:val="00C74723"/>
    <w:rsid w:val="00C75106"/>
    <w:rsid w:val="00C75869"/>
    <w:rsid w:val="00C76B8E"/>
    <w:rsid w:val="00C77B60"/>
    <w:rsid w:val="00C809ED"/>
    <w:rsid w:val="00C80DB6"/>
    <w:rsid w:val="00C81054"/>
    <w:rsid w:val="00C811F6"/>
    <w:rsid w:val="00C82D95"/>
    <w:rsid w:val="00C8312E"/>
    <w:rsid w:val="00C83994"/>
    <w:rsid w:val="00C8565D"/>
    <w:rsid w:val="00C92A64"/>
    <w:rsid w:val="00C95659"/>
    <w:rsid w:val="00C97702"/>
    <w:rsid w:val="00CA3D20"/>
    <w:rsid w:val="00CA4080"/>
    <w:rsid w:val="00CA46BA"/>
    <w:rsid w:val="00CA4C11"/>
    <w:rsid w:val="00CB0E79"/>
    <w:rsid w:val="00CB16AB"/>
    <w:rsid w:val="00CB3330"/>
    <w:rsid w:val="00CB67C2"/>
    <w:rsid w:val="00CC3DEF"/>
    <w:rsid w:val="00CC73A9"/>
    <w:rsid w:val="00CC754C"/>
    <w:rsid w:val="00CD20BE"/>
    <w:rsid w:val="00CD278B"/>
    <w:rsid w:val="00CD3493"/>
    <w:rsid w:val="00CD4CB9"/>
    <w:rsid w:val="00CD512E"/>
    <w:rsid w:val="00CD56C5"/>
    <w:rsid w:val="00CD7064"/>
    <w:rsid w:val="00CD7A63"/>
    <w:rsid w:val="00CE497C"/>
    <w:rsid w:val="00CE5425"/>
    <w:rsid w:val="00CF18DE"/>
    <w:rsid w:val="00CF42BD"/>
    <w:rsid w:val="00CF520A"/>
    <w:rsid w:val="00D047A1"/>
    <w:rsid w:val="00D15065"/>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18A5"/>
    <w:rsid w:val="00D52CE4"/>
    <w:rsid w:val="00D53FFF"/>
    <w:rsid w:val="00D54F32"/>
    <w:rsid w:val="00D56843"/>
    <w:rsid w:val="00D6393F"/>
    <w:rsid w:val="00D667F3"/>
    <w:rsid w:val="00D70711"/>
    <w:rsid w:val="00D74F2A"/>
    <w:rsid w:val="00D75820"/>
    <w:rsid w:val="00D76BF9"/>
    <w:rsid w:val="00D8552B"/>
    <w:rsid w:val="00D86310"/>
    <w:rsid w:val="00D87A13"/>
    <w:rsid w:val="00D90D4F"/>
    <w:rsid w:val="00D9504F"/>
    <w:rsid w:val="00D9773F"/>
    <w:rsid w:val="00DA0716"/>
    <w:rsid w:val="00DA1B32"/>
    <w:rsid w:val="00DA28A1"/>
    <w:rsid w:val="00DB26EE"/>
    <w:rsid w:val="00DB30F0"/>
    <w:rsid w:val="00DB58E0"/>
    <w:rsid w:val="00DC03B9"/>
    <w:rsid w:val="00DC070F"/>
    <w:rsid w:val="00DC1BD1"/>
    <w:rsid w:val="00DC2585"/>
    <w:rsid w:val="00DC31AD"/>
    <w:rsid w:val="00DC6DAB"/>
    <w:rsid w:val="00DC7016"/>
    <w:rsid w:val="00DD3031"/>
    <w:rsid w:val="00DD7435"/>
    <w:rsid w:val="00DE070F"/>
    <w:rsid w:val="00DE0859"/>
    <w:rsid w:val="00DE116F"/>
    <w:rsid w:val="00DE54A7"/>
    <w:rsid w:val="00DE5E0C"/>
    <w:rsid w:val="00DF1870"/>
    <w:rsid w:val="00DF5871"/>
    <w:rsid w:val="00E04DBA"/>
    <w:rsid w:val="00E059F8"/>
    <w:rsid w:val="00E147B4"/>
    <w:rsid w:val="00E14BCC"/>
    <w:rsid w:val="00E15555"/>
    <w:rsid w:val="00E17689"/>
    <w:rsid w:val="00E215D3"/>
    <w:rsid w:val="00E21D8F"/>
    <w:rsid w:val="00E22A86"/>
    <w:rsid w:val="00E26C79"/>
    <w:rsid w:val="00E27267"/>
    <w:rsid w:val="00E30135"/>
    <w:rsid w:val="00E30442"/>
    <w:rsid w:val="00E353FC"/>
    <w:rsid w:val="00E36A4C"/>
    <w:rsid w:val="00E378F0"/>
    <w:rsid w:val="00E459C8"/>
    <w:rsid w:val="00E4614A"/>
    <w:rsid w:val="00E46B2B"/>
    <w:rsid w:val="00E50F03"/>
    <w:rsid w:val="00E5344F"/>
    <w:rsid w:val="00E5659A"/>
    <w:rsid w:val="00E56838"/>
    <w:rsid w:val="00E57B75"/>
    <w:rsid w:val="00E63051"/>
    <w:rsid w:val="00E673E8"/>
    <w:rsid w:val="00E70942"/>
    <w:rsid w:val="00E73BD6"/>
    <w:rsid w:val="00E757EE"/>
    <w:rsid w:val="00E7671A"/>
    <w:rsid w:val="00E76E59"/>
    <w:rsid w:val="00E8185D"/>
    <w:rsid w:val="00E8319C"/>
    <w:rsid w:val="00E842CB"/>
    <w:rsid w:val="00E84949"/>
    <w:rsid w:val="00E8662F"/>
    <w:rsid w:val="00E9040C"/>
    <w:rsid w:val="00E92499"/>
    <w:rsid w:val="00E9363B"/>
    <w:rsid w:val="00E97E30"/>
    <w:rsid w:val="00EA0E27"/>
    <w:rsid w:val="00EA23A3"/>
    <w:rsid w:val="00EA3483"/>
    <w:rsid w:val="00EA460D"/>
    <w:rsid w:val="00EA5B39"/>
    <w:rsid w:val="00EB126D"/>
    <w:rsid w:val="00EB413F"/>
    <w:rsid w:val="00EB47E3"/>
    <w:rsid w:val="00EB7FC0"/>
    <w:rsid w:val="00EC464B"/>
    <w:rsid w:val="00ED4912"/>
    <w:rsid w:val="00ED6D9A"/>
    <w:rsid w:val="00EE44E4"/>
    <w:rsid w:val="00EE5FA0"/>
    <w:rsid w:val="00EF1F53"/>
    <w:rsid w:val="00EF2B1E"/>
    <w:rsid w:val="00EF51EE"/>
    <w:rsid w:val="00EF5211"/>
    <w:rsid w:val="00EF7863"/>
    <w:rsid w:val="00EF7EE2"/>
    <w:rsid w:val="00F008C8"/>
    <w:rsid w:val="00F01206"/>
    <w:rsid w:val="00F0175F"/>
    <w:rsid w:val="00F02C9C"/>
    <w:rsid w:val="00F03AFA"/>
    <w:rsid w:val="00F112C3"/>
    <w:rsid w:val="00F115DF"/>
    <w:rsid w:val="00F15190"/>
    <w:rsid w:val="00F165F8"/>
    <w:rsid w:val="00F1670B"/>
    <w:rsid w:val="00F20C35"/>
    <w:rsid w:val="00F2272B"/>
    <w:rsid w:val="00F2358E"/>
    <w:rsid w:val="00F24C01"/>
    <w:rsid w:val="00F31906"/>
    <w:rsid w:val="00F3283E"/>
    <w:rsid w:val="00F32D7B"/>
    <w:rsid w:val="00F32EC5"/>
    <w:rsid w:val="00F34159"/>
    <w:rsid w:val="00F3587F"/>
    <w:rsid w:val="00F3733C"/>
    <w:rsid w:val="00F442B0"/>
    <w:rsid w:val="00F454E2"/>
    <w:rsid w:val="00F50E96"/>
    <w:rsid w:val="00F520DB"/>
    <w:rsid w:val="00F542D8"/>
    <w:rsid w:val="00F56373"/>
    <w:rsid w:val="00F645B1"/>
    <w:rsid w:val="00F7189F"/>
    <w:rsid w:val="00F814C1"/>
    <w:rsid w:val="00F82F09"/>
    <w:rsid w:val="00F877BF"/>
    <w:rsid w:val="00F87AB2"/>
    <w:rsid w:val="00F945A3"/>
    <w:rsid w:val="00FA005F"/>
    <w:rsid w:val="00FA0793"/>
    <w:rsid w:val="00FA08C7"/>
    <w:rsid w:val="00FA0D0E"/>
    <w:rsid w:val="00FA11DA"/>
    <w:rsid w:val="00FA3230"/>
    <w:rsid w:val="00FA3B98"/>
    <w:rsid w:val="00FA5812"/>
    <w:rsid w:val="00FA5D7B"/>
    <w:rsid w:val="00FB03A1"/>
    <w:rsid w:val="00FB2DEE"/>
    <w:rsid w:val="00FB4839"/>
    <w:rsid w:val="00FB6289"/>
    <w:rsid w:val="00FB76E5"/>
    <w:rsid w:val="00FB7A01"/>
    <w:rsid w:val="00FB7B9D"/>
    <w:rsid w:val="00FC3796"/>
    <w:rsid w:val="00FC560C"/>
    <w:rsid w:val="00FD05D8"/>
    <w:rsid w:val="00FD0C4A"/>
    <w:rsid w:val="00FD2C0A"/>
    <w:rsid w:val="00FD327C"/>
    <w:rsid w:val="00FD38D9"/>
    <w:rsid w:val="00FD4C08"/>
    <w:rsid w:val="00FD5AC1"/>
    <w:rsid w:val="00FD60F3"/>
    <w:rsid w:val="00FD66EA"/>
    <w:rsid w:val="00FD7BC1"/>
    <w:rsid w:val="00FE0354"/>
    <w:rsid w:val="00FE047B"/>
    <w:rsid w:val="00FE2CE8"/>
    <w:rsid w:val="00FE5EFC"/>
    <w:rsid w:val="00FE6381"/>
    <w:rsid w:val="00FF0FBC"/>
    <w:rsid w:val="00FF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locked/>
    <w:rsid w:val="0078358A"/>
    <w:rPr>
      <w:rFonts w:ascii="Arial" w:hAnsi="Arial" w:cs="Times New Roman"/>
      <w:color w:val="000000"/>
      <w:sz w:val="20"/>
      <w:szCs w:val="20"/>
    </w:rPr>
  </w:style>
  <w:style w:type="paragraph" w:styleId="Piedepgina">
    <w:name w:val="footer"/>
    <w:basedOn w:val="Normal"/>
    <w:link w:val="PiedepginaCar"/>
    <w:uiPriority w:val="99"/>
    <w:rsid w:val="00AE7E3B"/>
    <w:pPr>
      <w:tabs>
        <w:tab w:val="center" w:pos="4252"/>
        <w:tab w:val="right" w:pos="8504"/>
      </w:tabs>
    </w:pPr>
  </w:style>
  <w:style w:type="character" w:customStyle="1" w:styleId="PiedepginaCar">
    <w:name w:val="Pie de página Car"/>
    <w:basedOn w:val="Fuentedeprrafopredeter"/>
    <w:link w:val="Piedepgina"/>
    <w:uiPriority w:val="99"/>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table" w:customStyle="1" w:styleId="Tablaconcuadrcula1">
    <w:name w:val="Tabla con cuadrícula1"/>
    <w:basedOn w:val="Tablanormal"/>
    <w:next w:val="Tablaconcuadrcula"/>
    <w:uiPriority w:val="99"/>
    <w:rsid w:val="004A5F31"/>
    <w:rPr>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A5F31"/>
    <w:pPr>
      <w:jc w:val="center"/>
    </w:pPr>
    <w:rPr>
      <w:rFonts w:ascii="Calibri" w:eastAsia="Calibri" w:hAnsi="Calibri"/>
      <w:color w:val="auto"/>
      <w:sz w:val="20"/>
      <w:lang w:val="es-CO" w:eastAsia="en-US"/>
    </w:rPr>
  </w:style>
  <w:style w:type="character" w:customStyle="1" w:styleId="TextonotapieCar">
    <w:name w:val="Texto nota pie Car"/>
    <w:basedOn w:val="Fuentedeprrafopredeter"/>
    <w:link w:val="Textonotapie"/>
    <w:uiPriority w:val="99"/>
    <w:semiHidden/>
    <w:rsid w:val="004A5F31"/>
    <w:rPr>
      <w:rFonts w:ascii="Calibri" w:eastAsia="Calibri" w:hAnsi="Calibri"/>
      <w:lang w:val="es-CO" w:eastAsia="en-US"/>
    </w:rPr>
  </w:style>
  <w:style w:type="character" w:styleId="Refdenotaalpie">
    <w:name w:val="footnote reference"/>
    <w:basedOn w:val="Fuentedeprrafopredeter"/>
    <w:uiPriority w:val="99"/>
    <w:semiHidden/>
    <w:unhideWhenUsed/>
    <w:rsid w:val="004A5F31"/>
    <w:rPr>
      <w:vertAlign w:val="superscript"/>
    </w:rPr>
  </w:style>
  <w:style w:type="character" w:styleId="Nmerodelnea">
    <w:name w:val="line number"/>
    <w:basedOn w:val="Fuentedeprrafopredeter"/>
    <w:uiPriority w:val="99"/>
    <w:semiHidden/>
    <w:unhideWhenUsed/>
    <w:rsid w:val="004A5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locked/>
    <w:rsid w:val="0078358A"/>
    <w:rPr>
      <w:rFonts w:ascii="Arial" w:hAnsi="Arial" w:cs="Times New Roman"/>
      <w:color w:val="000000"/>
      <w:sz w:val="20"/>
      <w:szCs w:val="20"/>
    </w:rPr>
  </w:style>
  <w:style w:type="paragraph" w:styleId="Piedepgina">
    <w:name w:val="footer"/>
    <w:basedOn w:val="Normal"/>
    <w:link w:val="PiedepginaCar"/>
    <w:uiPriority w:val="99"/>
    <w:rsid w:val="00AE7E3B"/>
    <w:pPr>
      <w:tabs>
        <w:tab w:val="center" w:pos="4252"/>
        <w:tab w:val="right" w:pos="8504"/>
      </w:tabs>
    </w:pPr>
  </w:style>
  <w:style w:type="character" w:customStyle="1" w:styleId="PiedepginaCar">
    <w:name w:val="Pie de página Car"/>
    <w:basedOn w:val="Fuentedeprrafopredeter"/>
    <w:link w:val="Piedepgina"/>
    <w:uiPriority w:val="99"/>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table" w:customStyle="1" w:styleId="Tablaconcuadrcula1">
    <w:name w:val="Tabla con cuadrícula1"/>
    <w:basedOn w:val="Tablanormal"/>
    <w:next w:val="Tablaconcuadrcula"/>
    <w:uiPriority w:val="99"/>
    <w:rsid w:val="004A5F31"/>
    <w:rPr>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A5F31"/>
    <w:pPr>
      <w:jc w:val="center"/>
    </w:pPr>
    <w:rPr>
      <w:rFonts w:ascii="Calibri" w:eastAsia="Calibri" w:hAnsi="Calibri"/>
      <w:color w:val="auto"/>
      <w:sz w:val="20"/>
      <w:lang w:val="es-CO" w:eastAsia="en-US"/>
    </w:rPr>
  </w:style>
  <w:style w:type="character" w:customStyle="1" w:styleId="TextonotapieCar">
    <w:name w:val="Texto nota pie Car"/>
    <w:basedOn w:val="Fuentedeprrafopredeter"/>
    <w:link w:val="Textonotapie"/>
    <w:uiPriority w:val="99"/>
    <w:semiHidden/>
    <w:rsid w:val="004A5F31"/>
    <w:rPr>
      <w:rFonts w:ascii="Calibri" w:eastAsia="Calibri" w:hAnsi="Calibri"/>
      <w:lang w:val="es-CO" w:eastAsia="en-US"/>
    </w:rPr>
  </w:style>
  <w:style w:type="character" w:styleId="Refdenotaalpie">
    <w:name w:val="footnote reference"/>
    <w:basedOn w:val="Fuentedeprrafopredeter"/>
    <w:uiPriority w:val="99"/>
    <w:semiHidden/>
    <w:unhideWhenUsed/>
    <w:rsid w:val="004A5F31"/>
    <w:rPr>
      <w:vertAlign w:val="superscript"/>
    </w:rPr>
  </w:style>
  <w:style w:type="character" w:styleId="Nmerodelnea">
    <w:name w:val="line number"/>
    <w:basedOn w:val="Fuentedeprrafopredeter"/>
    <w:uiPriority w:val="99"/>
    <w:semiHidden/>
    <w:unhideWhenUsed/>
    <w:rsid w:val="004A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oleObject" Target="https://d.docs.live.net/67863b8bceeb34dc/Concejo/Proyectos%20de%20acuerdo%202016/Predial/estudio%20predi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d.docs.live.net/67863b8bceeb34dc/Concejo/Proyectos%20de%20acuerdo%202016/Predial/estudio%20predia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numRef>
              <c:f>'[estudio predial.xlsx]Hoja3'!$G$2:$G$7</c:f>
              <c:numCache>
                <c:formatCode>General</c:formatCode>
                <c:ptCount val="6"/>
                <c:pt idx="0">
                  <c:v>2010</c:v>
                </c:pt>
                <c:pt idx="1">
                  <c:v>2011</c:v>
                </c:pt>
                <c:pt idx="2">
                  <c:v>2012</c:v>
                </c:pt>
                <c:pt idx="3">
                  <c:v>2013</c:v>
                </c:pt>
                <c:pt idx="4">
                  <c:v>2014</c:v>
                </c:pt>
                <c:pt idx="5">
                  <c:v>2015</c:v>
                </c:pt>
              </c:numCache>
            </c:numRef>
          </c:cat>
          <c:val>
            <c:numRef>
              <c:f>'[estudio predial.xlsx]Hoja3'!$H$2:$H$7</c:f>
              <c:numCache>
                <c:formatCode>0.00%</c:formatCode>
                <c:ptCount val="6"/>
                <c:pt idx="0">
                  <c:v>0.27690000000000015</c:v>
                </c:pt>
                <c:pt idx="1">
                  <c:v>0.49340000000000017</c:v>
                </c:pt>
                <c:pt idx="2">
                  <c:v>0.66440000000000032</c:v>
                </c:pt>
                <c:pt idx="3">
                  <c:v>0.85580000000000034</c:v>
                </c:pt>
                <c:pt idx="4">
                  <c:v>1.0184</c:v>
                </c:pt>
                <c:pt idx="5">
                  <c:v>1.1703999999999999</c:v>
                </c:pt>
              </c:numCache>
            </c:numRef>
          </c:val>
          <c:smooth val="0"/>
        </c:ser>
        <c:ser>
          <c:idx val="1"/>
          <c:order val="1"/>
          <c:spPr>
            <a:ln w="28575" cap="rnd">
              <a:solidFill>
                <a:schemeClr val="accent2"/>
              </a:solidFill>
              <a:round/>
            </a:ln>
            <a:effectLst/>
          </c:spPr>
          <c:marker>
            <c:symbol val="none"/>
          </c:marker>
          <c:cat>
            <c:numRef>
              <c:f>'[estudio predial.xlsx]Hoja3'!$G$2:$G$7</c:f>
              <c:numCache>
                <c:formatCode>General</c:formatCode>
                <c:ptCount val="6"/>
                <c:pt idx="0">
                  <c:v>2010</c:v>
                </c:pt>
                <c:pt idx="1">
                  <c:v>2011</c:v>
                </c:pt>
                <c:pt idx="2">
                  <c:v>2012</c:v>
                </c:pt>
                <c:pt idx="3">
                  <c:v>2013</c:v>
                </c:pt>
                <c:pt idx="4">
                  <c:v>2014</c:v>
                </c:pt>
                <c:pt idx="5">
                  <c:v>2015</c:v>
                </c:pt>
              </c:numCache>
            </c:numRef>
          </c:cat>
          <c:val>
            <c:numRef>
              <c:f>'[estudio predial.xlsx]Hoja3'!$I$2:$I$7</c:f>
              <c:numCache>
                <c:formatCode>0.00%</c:formatCode>
                <c:ptCount val="6"/>
                <c:pt idx="0">
                  <c:v>3.2500000000000001E-2</c:v>
                </c:pt>
                <c:pt idx="1">
                  <c:v>6.4600000000000019E-2</c:v>
                </c:pt>
                <c:pt idx="2">
                  <c:v>8.8900000000000048E-2</c:v>
                </c:pt>
                <c:pt idx="3">
                  <c:v>0.11320000000000002</c:v>
                </c:pt>
                <c:pt idx="4">
                  <c:v>0.15090000000000006</c:v>
                </c:pt>
                <c:pt idx="5">
                  <c:v>0.21710000000000004</c:v>
                </c:pt>
              </c:numCache>
            </c:numRef>
          </c:val>
          <c:smooth val="0"/>
        </c:ser>
        <c:dLbls>
          <c:showLegendKey val="0"/>
          <c:showVal val="0"/>
          <c:showCatName val="0"/>
          <c:showSerName val="0"/>
          <c:showPercent val="0"/>
          <c:showBubbleSize val="0"/>
        </c:dLbls>
        <c:marker val="1"/>
        <c:smooth val="0"/>
        <c:axId val="62406656"/>
        <c:axId val="38354240"/>
      </c:lineChart>
      <c:catAx>
        <c:axId val="6240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8354240"/>
        <c:crosses val="autoZero"/>
        <c:auto val="1"/>
        <c:lblAlgn val="ctr"/>
        <c:lblOffset val="100"/>
        <c:noMultiLvlLbl val="0"/>
      </c:catAx>
      <c:valAx>
        <c:axId val="38354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40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1">
                <a:solidFill>
                  <a:sysClr val="windowText" lastClr="000000"/>
                </a:solidFill>
              </a:rPr>
              <a:t>Avaluo vs SMMLV</a:t>
            </a:r>
          </a:p>
        </c:rich>
      </c:tx>
      <c:layout/>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'[estudio predial.xlsx]Hoja3'!$G$9:$G$14</c:f>
              <c:numCache>
                <c:formatCode>General</c:formatCode>
                <c:ptCount val="6"/>
                <c:pt idx="0">
                  <c:v>2010</c:v>
                </c:pt>
                <c:pt idx="1">
                  <c:v>2011</c:v>
                </c:pt>
                <c:pt idx="2">
                  <c:v>2012</c:v>
                </c:pt>
                <c:pt idx="3">
                  <c:v>2013</c:v>
                </c:pt>
                <c:pt idx="4">
                  <c:v>2014</c:v>
                </c:pt>
                <c:pt idx="5">
                  <c:v>2015</c:v>
                </c:pt>
              </c:numCache>
            </c:numRef>
          </c:cat>
          <c:val>
            <c:numRef>
              <c:f>'[estudio predial.xlsx]Hoja3'!$H$9:$H$14</c:f>
              <c:numCache>
                <c:formatCode>0.00%</c:formatCode>
                <c:ptCount val="6"/>
                <c:pt idx="0">
                  <c:v>0.27690000000000015</c:v>
                </c:pt>
                <c:pt idx="1">
                  <c:v>0.49340000000000017</c:v>
                </c:pt>
                <c:pt idx="2">
                  <c:v>0.66440000000000032</c:v>
                </c:pt>
                <c:pt idx="3">
                  <c:v>0.85580000000000034</c:v>
                </c:pt>
                <c:pt idx="4">
                  <c:v>1.0184</c:v>
                </c:pt>
                <c:pt idx="5">
                  <c:v>1.1703999999999999</c:v>
                </c:pt>
              </c:numCache>
            </c:numRef>
          </c:val>
          <c:smooth val="0"/>
        </c:ser>
        <c:ser>
          <c:idx val="1"/>
          <c:order val="1"/>
          <c:spPr>
            <a:ln w="28575" cap="rnd">
              <a:solidFill>
                <a:schemeClr val="accent2"/>
              </a:solidFill>
              <a:round/>
            </a:ln>
            <a:effectLst/>
          </c:spPr>
          <c:marker>
            <c:symbol val="none"/>
          </c:marker>
          <c:cat>
            <c:numRef>
              <c:f>'[estudio predial.xlsx]Hoja3'!$G$9:$G$14</c:f>
              <c:numCache>
                <c:formatCode>General</c:formatCode>
                <c:ptCount val="6"/>
                <c:pt idx="0">
                  <c:v>2010</c:v>
                </c:pt>
                <c:pt idx="1">
                  <c:v>2011</c:v>
                </c:pt>
                <c:pt idx="2">
                  <c:v>2012</c:v>
                </c:pt>
                <c:pt idx="3">
                  <c:v>2013</c:v>
                </c:pt>
                <c:pt idx="4">
                  <c:v>2014</c:v>
                </c:pt>
                <c:pt idx="5">
                  <c:v>2015</c:v>
                </c:pt>
              </c:numCache>
            </c:numRef>
          </c:cat>
          <c:val>
            <c:numRef>
              <c:f>'[estudio predial.xlsx]Hoja3'!$I$9:$I$14</c:f>
              <c:numCache>
                <c:formatCode>0.00%</c:formatCode>
                <c:ptCount val="6"/>
                <c:pt idx="0">
                  <c:v>4.0000000000000022E-2</c:v>
                </c:pt>
                <c:pt idx="1">
                  <c:v>9.8000000000000059E-2</c:v>
                </c:pt>
                <c:pt idx="2">
                  <c:v>0.13819999999999999</c:v>
                </c:pt>
                <c:pt idx="3">
                  <c:v>0.18320000000000006</c:v>
                </c:pt>
                <c:pt idx="4">
                  <c:v>0.22919999999999996</c:v>
                </c:pt>
                <c:pt idx="5">
                  <c:v>0.29920000000000002</c:v>
                </c:pt>
              </c:numCache>
            </c:numRef>
          </c:val>
          <c:smooth val="0"/>
        </c:ser>
        <c:dLbls>
          <c:showLegendKey val="0"/>
          <c:showVal val="0"/>
          <c:showCatName val="0"/>
          <c:showSerName val="0"/>
          <c:showPercent val="0"/>
          <c:showBubbleSize val="0"/>
        </c:dLbls>
        <c:marker val="1"/>
        <c:smooth val="0"/>
        <c:axId val="78500864"/>
        <c:axId val="38356096"/>
      </c:lineChart>
      <c:catAx>
        <c:axId val="7850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8356096"/>
        <c:crosses val="autoZero"/>
        <c:auto val="1"/>
        <c:lblAlgn val="ctr"/>
        <c:lblOffset val="100"/>
        <c:noMultiLvlLbl val="0"/>
      </c:catAx>
      <c:valAx>
        <c:axId val="38356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850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A2FF-55A0-4C25-9B13-E2000EA4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5265</Words>
  <Characters>28467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3</cp:revision>
  <cp:lastPrinted>2016-04-18T18:57:00Z</cp:lastPrinted>
  <dcterms:created xsi:type="dcterms:W3CDTF">2016-04-18T21:16:00Z</dcterms:created>
  <dcterms:modified xsi:type="dcterms:W3CDTF">2016-04-18T21:27:00Z</dcterms:modified>
</cp:coreProperties>
</file>