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A1" w:rsidRDefault="007779A1" w:rsidP="007779A1">
      <w:pPr>
        <w:suppressAutoHyphens/>
        <w:jc w:val="center"/>
        <w:rPr>
          <w:bCs/>
          <w:sz w:val="20"/>
        </w:rPr>
      </w:pPr>
    </w:p>
    <w:p w:rsidR="00997C09" w:rsidRPr="007779A1" w:rsidRDefault="007779A1" w:rsidP="007779A1">
      <w:pPr>
        <w:suppressAutoHyphens/>
        <w:jc w:val="center"/>
        <w:rPr>
          <w:bCs/>
          <w:szCs w:val="24"/>
        </w:rPr>
      </w:pPr>
      <w:r w:rsidRPr="007779A1">
        <w:rPr>
          <w:bCs/>
          <w:szCs w:val="24"/>
        </w:rPr>
        <w:t>MEMORANDO</w:t>
      </w:r>
    </w:p>
    <w:p w:rsidR="007779A1" w:rsidRDefault="007779A1" w:rsidP="00997C09">
      <w:pPr>
        <w:suppressAutoHyphens/>
        <w:jc w:val="both"/>
        <w:rPr>
          <w:bCs/>
          <w:sz w:val="20"/>
        </w:rPr>
      </w:pPr>
    </w:p>
    <w:p w:rsidR="007779A1" w:rsidRDefault="007779A1" w:rsidP="00997C09">
      <w:pPr>
        <w:suppressAutoHyphens/>
        <w:jc w:val="both"/>
        <w:rPr>
          <w:bCs/>
          <w:sz w:val="20"/>
        </w:rPr>
      </w:pPr>
    </w:p>
    <w:p w:rsidR="007779A1" w:rsidRPr="007779A1" w:rsidRDefault="007779A1" w:rsidP="00997C09">
      <w:pPr>
        <w:suppressAutoHyphens/>
        <w:jc w:val="both"/>
        <w:rPr>
          <w:bCs/>
          <w:szCs w:val="24"/>
        </w:rPr>
      </w:pPr>
      <w:r w:rsidRPr="007779A1">
        <w:rPr>
          <w:bCs/>
          <w:szCs w:val="24"/>
        </w:rPr>
        <w:t xml:space="preserve">PARA: </w:t>
      </w:r>
      <w:r w:rsidRPr="007779A1">
        <w:rPr>
          <w:bCs/>
          <w:szCs w:val="24"/>
        </w:rPr>
        <w:tab/>
      </w:r>
      <w:r w:rsidRPr="007779A1">
        <w:rPr>
          <w:bCs/>
          <w:szCs w:val="24"/>
        </w:rPr>
        <w:tab/>
        <w:t>Doctor ROBERTO HINESTROSA REY</w:t>
      </w:r>
    </w:p>
    <w:p w:rsidR="007779A1" w:rsidRPr="007779A1" w:rsidRDefault="007779A1" w:rsidP="00997C09">
      <w:pPr>
        <w:suppressAutoHyphens/>
        <w:jc w:val="both"/>
        <w:rPr>
          <w:bCs/>
          <w:szCs w:val="24"/>
        </w:rPr>
      </w:pPr>
      <w:r w:rsidRPr="007779A1">
        <w:rPr>
          <w:bCs/>
          <w:szCs w:val="24"/>
        </w:rPr>
        <w:tab/>
      </w:r>
      <w:r w:rsidRPr="007779A1">
        <w:rPr>
          <w:bCs/>
          <w:szCs w:val="24"/>
        </w:rPr>
        <w:tab/>
      </w:r>
      <w:r>
        <w:rPr>
          <w:bCs/>
          <w:szCs w:val="24"/>
        </w:rPr>
        <w:tab/>
      </w:r>
      <w:r w:rsidRPr="007779A1">
        <w:rPr>
          <w:bCs/>
          <w:szCs w:val="24"/>
        </w:rPr>
        <w:t>Presidente Concejo de Bogotá</w:t>
      </w:r>
    </w:p>
    <w:p w:rsidR="007779A1" w:rsidRPr="007779A1" w:rsidRDefault="007779A1" w:rsidP="00997C09">
      <w:pPr>
        <w:suppressAutoHyphens/>
        <w:jc w:val="both"/>
        <w:rPr>
          <w:bCs/>
          <w:szCs w:val="24"/>
        </w:rPr>
      </w:pPr>
    </w:p>
    <w:p w:rsidR="007779A1" w:rsidRPr="007779A1" w:rsidRDefault="007779A1" w:rsidP="00997C09">
      <w:pPr>
        <w:suppressAutoHyphens/>
        <w:jc w:val="both"/>
        <w:rPr>
          <w:bCs/>
          <w:szCs w:val="24"/>
        </w:rPr>
      </w:pPr>
    </w:p>
    <w:p w:rsidR="007779A1" w:rsidRPr="007779A1" w:rsidRDefault="007779A1" w:rsidP="00997C09">
      <w:pPr>
        <w:suppressAutoHyphens/>
        <w:jc w:val="both"/>
        <w:rPr>
          <w:bCs/>
          <w:szCs w:val="24"/>
        </w:rPr>
      </w:pPr>
      <w:r w:rsidRPr="007779A1">
        <w:rPr>
          <w:bCs/>
          <w:szCs w:val="24"/>
        </w:rPr>
        <w:t>DE:</w:t>
      </w:r>
      <w:r w:rsidRPr="007779A1">
        <w:rPr>
          <w:bCs/>
          <w:szCs w:val="24"/>
        </w:rPr>
        <w:tab/>
      </w:r>
      <w:r w:rsidRPr="007779A1">
        <w:rPr>
          <w:bCs/>
          <w:szCs w:val="24"/>
        </w:rPr>
        <w:tab/>
      </w:r>
      <w:r>
        <w:rPr>
          <w:bCs/>
          <w:szCs w:val="24"/>
        </w:rPr>
        <w:tab/>
      </w:r>
      <w:r w:rsidRPr="007779A1">
        <w:rPr>
          <w:bCs/>
          <w:szCs w:val="24"/>
        </w:rPr>
        <w:t>HC. MARIA VICTORIA VARGAS SILVA</w:t>
      </w:r>
    </w:p>
    <w:p w:rsidR="007779A1" w:rsidRPr="007779A1" w:rsidRDefault="007779A1" w:rsidP="00997C09">
      <w:pPr>
        <w:suppressAutoHyphens/>
        <w:jc w:val="both"/>
        <w:rPr>
          <w:bCs/>
          <w:szCs w:val="24"/>
        </w:rPr>
      </w:pPr>
    </w:p>
    <w:p w:rsidR="007779A1" w:rsidRPr="007779A1" w:rsidRDefault="007779A1" w:rsidP="00997C09">
      <w:pPr>
        <w:suppressAutoHyphens/>
        <w:jc w:val="both"/>
        <w:rPr>
          <w:bCs/>
          <w:szCs w:val="24"/>
        </w:rPr>
      </w:pPr>
    </w:p>
    <w:p w:rsidR="007779A1" w:rsidRPr="007779A1" w:rsidRDefault="007779A1" w:rsidP="00997C09">
      <w:pPr>
        <w:suppressAutoHyphens/>
        <w:jc w:val="both"/>
        <w:rPr>
          <w:bCs/>
          <w:szCs w:val="24"/>
        </w:rPr>
      </w:pPr>
    </w:p>
    <w:p w:rsidR="007779A1" w:rsidRPr="007779A1" w:rsidRDefault="007779A1" w:rsidP="00997C09">
      <w:pPr>
        <w:suppressAutoHyphens/>
        <w:jc w:val="both"/>
        <w:rPr>
          <w:bCs/>
          <w:szCs w:val="24"/>
        </w:rPr>
      </w:pPr>
      <w:r w:rsidRPr="007779A1">
        <w:rPr>
          <w:bCs/>
          <w:szCs w:val="24"/>
        </w:rPr>
        <w:t>ASUNTO:</w:t>
      </w:r>
      <w:r w:rsidRPr="007779A1">
        <w:rPr>
          <w:bCs/>
          <w:szCs w:val="24"/>
        </w:rPr>
        <w:tab/>
      </w:r>
      <w:r>
        <w:rPr>
          <w:bCs/>
          <w:szCs w:val="24"/>
        </w:rPr>
        <w:tab/>
      </w:r>
      <w:r w:rsidRPr="007779A1">
        <w:rPr>
          <w:bCs/>
          <w:szCs w:val="24"/>
        </w:rPr>
        <w:t>Proyecto de Acuerdo Modificación Impuesto Predial.</w:t>
      </w:r>
      <w:r w:rsidRPr="007779A1">
        <w:rPr>
          <w:bCs/>
          <w:szCs w:val="24"/>
        </w:rPr>
        <w:tab/>
      </w:r>
    </w:p>
    <w:p w:rsidR="007779A1" w:rsidRPr="007779A1" w:rsidRDefault="007779A1" w:rsidP="00997C09">
      <w:pPr>
        <w:suppressAutoHyphens/>
        <w:jc w:val="both"/>
        <w:rPr>
          <w:bCs/>
          <w:szCs w:val="24"/>
        </w:rPr>
      </w:pPr>
      <w:r w:rsidRPr="007779A1">
        <w:rPr>
          <w:bCs/>
          <w:szCs w:val="24"/>
        </w:rPr>
        <w:tab/>
      </w:r>
    </w:p>
    <w:p w:rsidR="00997C09" w:rsidRPr="00ED6D9A" w:rsidRDefault="00997C09" w:rsidP="00997C09">
      <w:pPr>
        <w:suppressAutoHyphens/>
        <w:jc w:val="both"/>
        <w:rPr>
          <w:bCs/>
          <w:sz w:val="20"/>
        </w:rPr>
      </w:pPr>
    </w:p>
    <w:p w:rsidR="00997C09" w:rsidRDefault="00997C09" w:rsidP="00997C09">
      <w:pPr>
        <w:suppressAutoHyphens/>
        <w:jc w:val="both"/>
        <w:rPr>
          <w:bCs/>
          <w:sz w:val="20"/>
        </w:rPr>
      </w:pPr>
    </w:p>
    <w:p w:rsidR="007779A1" w:rsidRDefault="007779A1" w:rsidP="00997C09">
      <w:pPr>
        <w:suppressAutoHyphens/>
        <w:jc w:val="both"/>
        <w:rPr>
          <w:bCs/>
          <w:sz w:val="20"/>
        </w:rPr>
      </w:pPr>
    </w:p>
    <w:p w:rsidR="007779A1" w:rsidRPr="00335BBB" w:rsidRDefault="007779A1" w:rsidP="00F96E84">
      <w:pPr>
        <w:tabs>
          <w:tab w:val="center" w:pos="4419"/>
          <w:tab w:val="right" w:pos="8838"/>
        </w:tabs>
        <w:spacing w:line="276" w:lineRule="auto"/>
        <w:jc w:val="center"/>
        <w:rPr>
          <w:rFonts w:ascii="Bookman Old Style" w:hAnsi="Bookman Old Style" w:cs="Arial"/>
          <w:b/>
          <w:szCs w:val="24"/>
        </w:rPr>
      </w:pPr>
      <w:r w:rsidRPr="00335BBB">
        <w:rPr>
          <w:rFonts w:ascii="Bookman Old Style" w:hAnsi="Bookman Old Style" w:cs="Arial"/>
          <w:b/>
          <w:szCs w:val="24"/>
          <w:lang w:val="x-none"/>
        </w:rPr>
        <w:t xml:space="preserve">PROYECTO DE ACUERDO No.    </w:t>
      </w:r>
      <w:r w:rsidR="00F96E84">
        <w:rPr>
          <w:rFonts w:ascii="Bookman Old Style" w:hAnsi="Bookman Old Style" w:cs="Arial"/>
          <w:b/>
          <w:szCs w:val="24"/>
          <w:lang w:val="es-CO"/>
        </w:rPr>
        <w:t>275</w:t>
      </w:r>
      <w:r w:rsidRPr="00335BBB">
        <w:rPr>
          <w:rFonts w:ascii="Bookman Old Style" w:hAnsi="Bookman Old Style" w:cs="Arial"/>
          <w:b/>
          <w:szCs w:val="24"/>
          <w:lang w:val="x-none"/>
        </w:rPr>
        <w:t xml:space="preserve">    DE 201</w:t>
      </w:r>
      <w:r w:rsidRPr="00335BBB">
        <w:rPr>
          <w:rFonts w:ascii="Bookman Old Style" w:hAnsi="Bookman Old Style" w:cs="Arial"/>
          <w:b/>
          <w:szCs w:val="24"/>
        </w:rPr>
        <w:t>6</w:t>
      </w:r>
    </w:p>
    <w:p w:rsidR="007779A1" w:rsidRPr="00DE5B4C" w:rsidRDefault="007779A1" w:rsidP="007779A1">
      <w:pPr>
        <w:tabs>
          <w:tab w:val="right" w:pos="8838"/>
        </w:tabs>
        <w:rPr>
          <w:rFonts w:ascii="Bookman Old Style" w:hAnsi="Bookman Old Style" w:cs="Arial"/>
          <w:szCs w:val="24"/>
          <w:lang w:val="x-none"/>
        </w:rPr>
      </w:pPr>
      <w:r w:rsidRPr="00DE5B4C">
        <w:rPr>
          <w:rFonts w:ascii="Bookman Old Style" w:hAnsi="Bookman Old Style" w:cs="Arial"/>
          <w:szCs w:val="24"/>
          <w:lang w:val="x-none"/>
        </w:rPr>
        <w:t>“</w:t>
      </w:r>
      <w:r w:rsidRPr="00DE5B4C">
        <w:rPr>
          <w:rFonts w:ascii="Bookman Old Style" w:hAnsi="Bookman Old Style" w:cs="Arial"/>
          <w:i/>
          <w:szCs w:val="24"/>
        </w:rPr>
        <w:t>Por medio del cual se modifica parcialmente el Acuerdo 469 de 2011 en cuanto a la clasificación de los sujetos pasivos</w:t>
      </w:r>
      <w:bookmarkStart w:id="0" w:name="_GoBack"/>
      <w:bookmarkEnd w:id="0"/>
      <w:r w:rsidRPr="00DE5B4C">
        <w:rPr>
          <w:rFonts w:ascii="Bookman Old Style" w:hAnsi="Bookman Old Style" w:cs="Arial"/>
          <w:i/>
          <w:szCs w:val="24"/>
        </w:rPr>
        <w:t xml:space="preserve"> del impuesto predial unificado en Bogotá D.C., y el Acuerdo 105 de 2003 en cuanto a las tarifas del impuesto predial unif</w:t>
      </w:r>
      <w:r w:rsidRPr="00DE5B4C">
        <w:rPr>
          <w:rFonts w:ascii="Bookman Old Style" w:hAnsi="Bookman Old Style" w:cs="Arial"/>
          <w:i/>
          <w:szCs w:val="24"/>
        </w:rPr>
        <w:t>i</w:t>
      </w:r>
      <w:r w:rsidRPr="00DE5B4C">
        <w:rPr>
          <w:rFonts w:ascii="Bookman Old Style" w:hAnsi="Bookman Old Style" w:cs="Arial"/>
          <w:i/>
          <w:szCs w:val="24"/>
        </w:rPr>
        <w:t>cado en Bogotá D.C., y se dictan otras disposiciones</w:t>
      </w:r>
      <w:r w:rsidRPr="00DE5B4C">
        <w:rPr>
          <w:rFonts w:ascii="Bookman Old Style" w:hAnsi="Bookman Old Style" w:cs="Arial"/>
          <w:szCs w:val="24"/>
        </w:rPr>
        <w:t>”</w:t>
      </w:r>
    </w:p>
    <w:p w:rsidR="007779A1" w:rsidRPr="00335BBB" w:rsidRDefault="007779A1" w:rsidP="007779A1">
      <w:pPr>
        <w:tabs>
          <w:tab w:val="right" w:pos="8838"/>
        </w:tabs>
        <w:rPr>
          <w:rFonts w:ascii="Bookman Old Style" w:hAnsi="Bookman Old Style" w:cs="Arial"/>
          <w:b/>
          <w:szCs w:val="24"/>
          <w:lang w:val="x-none"/>
        </w:rPr>
      </w:pPr>
    </w:p>
    <w:p w:rsidR="007779A1" w:rsidRPr="00335BBB" w:rsidRDefault="007779A1" w:rsidP="007779A1">
      <w:pPr>
        <w:tabs>
          <w:tab w:val="right" w:pos="8838"/>
        </w:tabs>
        <w:rPr>
          <w:rFonts w:ascii="Bookman Old Style" w:hAnsi="Bookman Old Style" w:cs="Arial"/>
          <w:b/>
          <w:szCs w:val="24"/>
          <w:lang w:val="x-none"/>
        </w:rPr>
      </w:pPr>
    </w:p>
    <w:p w:rsidR="007779A1" w:rsidRPr="00335BBB" w:rsidRDefault="007779A1" w:rsidP="007779A1">
      <w:pPr>
        <w:rPr>
          <w:rFonts w:ascii="Bookman Old Style" w:hAnsi="Bookman Old Style" w:cs="Arial"/>
          <w:b/>
          <w:szCs w:val="24"/>
        </w:rPr>
      </w:pPr>
      <w:r w:rsidRPr="00335BBB">
        <w:rPr>
          <w:rFonts w:ascii="Bookman Old Style" w:hAnsi="Bookman Old Style" w:cs="Arial"/>
          <w:b/>
          <w:szCs w:val="24"/>
        </w:rPr>
        <w:t>EXPOSICIÓN DE MOTIVOS</w:t>
      </w:r>
    </w:p>
    <w:p w:rsidR="007779A1" w:rsidRPr="00335BBB" w:rsidRDefault="007779A1" w:rsidP="007779A1">
      <w:pPr>
        <w:rPr>
          <w:rFonts w:ascii="Bookman Old Style" w:hAnsi="Bookman Old Style" w:cs="Arial"/>
          <w:b/>
          <w:szCs w:val="24"/>
        </w:rPr>
      </w:pPr>
    </w:p>
    <w:p w:rsidR="007779A1" w:rsidRPr="00335BBB" w:rsidRDefault="007779A1" w:rsidP="007779A1">
      <w:pPr>
        <w:rPr>
          <w:rFonts w:ascii="Bookman Old Style" w:hAnsi="Bookman Old Style" w:cs="Arial"/>
          <w:b/>
          <w:szCs w:val="24"/>
        </w:rPr>
      </w:pPr>
    </w:p>
    <w:p w:rsidR="007779A1" w:rsidRPr="00335BBB" w:rsidRDefault="007779A1" w:rsidP="007779A1">
      <w:pPr>
        <w:numPr>
          <w:ilvl w:val="0"/>
          <w:numId w:val="6"/>
        </w:numPr>
        <w:autoSpaceDE w:val="0"/>
        <w:autoSpaceDN w:val="0"/>
        <w:adjustRightInd w:val="0"/>
        <w:spacing w:line="276" w:lineRule="auto"/>
        <w:rPr>
          <w:rFonts w:ascii="Bookman Old Style" w:hAnsi="Bookman Old Style" w:cs="Arial"/>
          <w:b/>
          <w:bCs/>
          <w:szCs w:val="24"/>
        </w:rPr>
      </w:pPr>
      <w:r w:rsidRPr="00335BBB">
        <w:rPr>
          <w:rFonts w:ascii="Bookman Old Style" w:hAnsi="Bookman Old Style" w:cs="Arial"/>
          <w:b/>
          <w:bCs/>
          <w:szCs w:val="24"/>
        </w:rPr>
        <w:t>OBJETO</w:t>
      </w:r>
    </w:p>
    <w:p w:rsidR="007779A1" w:rsidRPr="00335BBB" w:rsidRDefault="007779A1" w:rsidP="007779A1">
      <w:pPr>
        <w:rPr>
          <w:rFonts w:ascii="Bookman Old Style" w:hAnsi="Bookman Old Style"/>
          <w:i/>
          <w:szCs w:val="24"/>
        </w:rPr>
      </w:pPr>
      <w:r w:rsidRPr="00335BBB">
        <w:rPr>
          <w:rFonts w:ascii="Bookman Old Style" w:hAnsi="Bookman Old Style"/>
          <w:i/>
          <w:szCs w:val="24"/>
        </w:rPr>
        <w:t xml:space="preserve"> </w:t>
      </w:r>
    </w:p>
    <w:p w:rsidR="007779A1" w:rsidRPr="00335BBB" w:rsidRDefault="007779A1" w:rsidP="007779A1">
      <w:pPr>
        <w:spacing w:line="276" w:lineRule="auto"/>
        <w:jc w:val="both"/>
        <w:rPr>
          <w:rFonts w:ascii="Bookman Old Style" w:hAnsi="Bookman Old Style" w:cs="Arial"/>
          <w:szCs w:val="24"/>
        </w:rPr>
      </w:pPr>
      <w:r w:rsidRPr="00335BBB">
        <w:rPr>
          <w:rFonts w:ascii="Bookman Old Style" w:hAnsi="Bookman Old Style" w:cs="Arial"/>
          <w:szCs w:val="24"/>
        </w:rPr>
        <w:t>El presente proyecto de acuerdo tiene como objeto adoptar medidas modificat</w:t>
      </w:r>
      <w:r w:rsidRPr="00335BBB">
        <w:rPr>
          <w:rFonts w:ascii="Bookman Old Style" w:hAnsi="Bookman Old Style" w:cs="Arial"/>
          <w:szCs w:val="24"/>
        </w:rPr>
        <w:t>o</w:t>
      </w:r>
      <w:r w:rsidRPr="00335BBB">
        <w:rPr>
          <w:rFonts w:ascii="Bookman Old Style" w:hAnsi="Bookman Old Style" w:cs="Arial"/>
          <w:szCs w:val="24"/>
        </w:rPr>
        <w:t>rias a la estructura tarifaria del impuesto predial unificado que permitan hacer de este un tributo más progresivo y equitativo, cambiando aquellos criterios de liquidación que se consideran lesivos para los bogotanos que tienen un único predio como morada familiar, en contraste de aquellos propietarios que poseen varios predios, que pueden ser utilizados como actividad económica compl</w:t>
      </w:r>
      <w:r w:rsidRPr="00335BBB">
        <w:rPr>
          <w:rFonts w:ascii="Bookman Old Style" w:hAnsi="Bookman Old Style" w:cs="Arial"/>
          <w:szCs w:val="24"/>
        </w:rPr>
        <w:t>e</w:t>
      </w:r>
      <w:r w:rsidRPr="00335BBB">
        <w:rPr>
          <w:rFonts w:ascii="Bookman Old Style" w:hAnsi="Bookman Old Style" w:cs="Arial"/>
          <w:szCs w:val="24"/>
        </w:rPr>
        <w:t>mentaria.</w:t>
      </w:r>
    </w:p>
    <w:p w:rsidR="007779A1" w:rsidRPr="00335BBB" w:rsidRDefault="007779A1" w:rsidP="007779A1">
      <w:pPr>
        <w:spacing w:line="276" w:lineRule="auto"/>
        <w:ind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jc w:val="both"/>
        <w:rPr>
          <w:rFonts w:ascii="Bookman Old Style" w:hAnsi="Bookman Old Style" w:cs="Arial"/>
          <w:bCs/>
          <w:szCs w:val="24"/>
          <w:shd w:val="clear" w:color="auto" w:fill="FFFFFF"/>
        </w:rPr>
      </w:pPr>
    </w:p>
    <w:p w:rsidR="007779A1" w:rsidRPr="00335BBB" w:rsidRDefault="007779A1" w:rsidP="007779A1">
      <w:pPr>
        <w:numPr>
          <w:ilvl w:val="0"/>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JUSTIFICACION DEL PROYECTO</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jc w:val="both"/>
        <w:rPr>
          <w:rFonts w:ascii="Bookman Old Style" w:hAnsi="Bookman Old Style"/>
          <w:szCs w:val="24"/>
        </w:rPr>
      </w:pPr>
      <w:r w:rsidRPr="00335BBB">
        <w:rPr>
          <w:rFonts w:ascii="Bookman Old Style" w:hAnsi="Bookman Old Style"/>
          <w:szCs w:val="24"/>
        </w:rPr>
        <w:lastRenderedPageBreak/>
        <w:t>Como es de pleno conocimiento de un tiempo atrás, cada año, durante el peri</w:t>
      </w:r>
      <w:r w:rsidRPr="00335BBB">
        <w:rPr>
          <w:rFonts w:ascii="Bookman Old Style" w:hAnsi="Bookman Old Style"/>
          <w:szCs w:val="24"/>
        </w:rPr>
        <w:t>o</w:t>
      </w:r>
      <w:r w:rsidRPr="00335BBB">
        <w:rPr>
          <w:rFonts w:ascii="Bookman Old Style" w:hAnsi="Bookman Old Style"/>
          <w:szCs w:val="24"/>
        </w:rPr>
        <w:t xml:space="preserve">do comprendido entre la recepción y el primer plazo de pago con descuento del 10% del </w:t>
      </w:r>
      <w:r w:rsidRPr="00335BBB">
        <w:rPr>
          <w:rFonts w:ascii="Bookman Old Style" w:hAnsi="Bookman Old Style"/>
          <w:i/>
          <w:szCs w:val="24"/>
        </w:rPr>
        <w:t>impuesto predial unificado</w:t>
      </w:r>
      <w:r w:rsidRPr="00335BBB">
        <w:rPr>
          <w:rFonts w:ascii="Bookman Old Style" w:hAnsi="Bookman Old Style"/>
          <w:szCs w:val="24"/>
        </w:rPr>
        <w:t xml:space="preserve"> en Bogotá D.C., se genera toda suerte de r</w:t>
      </w:r>
      <w:r w:rsidRPr="00335BBB">
        <w:rPr>
          <w:rFonts w:ascii="Bookman Old Style" w:hAnsi="Bookman Old Style"/>
          <w:szCs w:val="24"/>
        </w:rPr>
        <w:t>e</w:t>
      </w:r>
      <w:r w:rsidRPr="00335BBB">
        <w:rPr>
          <w:rFonts w:ascii="Bookman Old Style" w:hAnsi="Bookman Old Style"/>
          <w:szCs w:val="24"/>
        </w:rPr>
        <w:t>clamos, críticas y debates por los aumentos sufridos en la liquidación a pagar sugerida del mismo por parte de los propietarios, poseedores y/o usufructu</w:t>
      </w:r>
      <w:r w:rsidRPr="00335BBB">
        <w:rPr>
          <w:rFonts w:ascii="Bookman Old Style" w:hAnsi="Bookman Old Style"/>
          <w:szCs w:val="24"/>
        </w:rPr>
        <w:t>a</w:t>
      </w:r>
      <w:r w:rsidRPr="00335BBB">
        <w:rPr>
          <w:rFonts w:ascii="Bookman Old Style" w:hAnsi="Bookman Old Style"/>
          <w:szCs w:val="24"/>
        </w:rPr>
        <w:t>rios del respectivo predio, que perciben como exagerados, excesivos o injustos.</w:t>
      </w:r>
    </w:p>
    <w:p w:rsidR="007779A1" w:rsidRPr="00335BBB" w:rsidRDefault="007779A1" w:rsidP="007779A1">
      <w:pPr>
        <w:jc w:val="both"/>
        <w:rPr>
          <w:rFonts w:ascii="Bookman Old Style" w:hAnsi="Bookman Old Style"/>
          <w:szCs w:val="24"/>
        </w:rPr>
      </w:pPr>
    </w:p>
    <w:p w:rsidR="007779A1" w:rsidRPr="00335BBB" w:rsidRDefault="007779A1" w:rsidP="007779A1">
      <w:pPr>
        <w:jc w:val="both"/>
        <w:rPr>
          <w:rFonts w:ascii="Bookman Old Style" w:hAnsi="Bookman Old Style"/>
          <w:szCs w:val="24"/>
        </w:rPr>
      </w:pPr>
      <w:r w:rsidRPr="00335BBB">
        <w:rPr>
          <w:rFonts w:ascii="Bookman Old Style" w:hAnsi="Bookman Old Style"/>
          <w:szCs w:val="24"/>
        </w:rPr>
        <w:t>Ha sido recurrente en este Concejo, una vez suscitada esta situación programar debates de control político para llamar la atención de la administración con el fin de buscar soluciones a los reclamos ciudadanos, sin que a la fecha se haya generado una respuesta concreta, tendiente a aliviar la carga de aquellos pr</w:t>
      </w:r>
      <w:r w:rsidRPr="00335BBB">
        <w:rPr>
          <w:rFonts w:ascii="Bookman Old Style" w:hAnsi="Bookman Old Style"/>
          <w:szCs w:val="24"/>
        </w:rPr>
        <w:t>o</w:t>
      </w:r>
      <w:r w:rsidRPr="00335BBB">
        <w:rPr>
          <w:rFonts w:ascii="Bookman Old Style" w:hAnsi="Bookman Old Style"/>
          <w:szCs w:val="24"/>
        </w:rPr>
        <w:t>pietarios con precarios ingresos.</w:t>
      </w:r>
    </w:p>
    <w:p w:rsidR="007779A1" w:rsidRPr="00335BBB" w:rsidRDefault="007779A1" w:rsidP="007779A1">
      <w:pPr>
        <w:jc w:val="both"/>
        <w:rPr>
          <w:rFonts w:ascii="Bookman Old Style" w:hAnsi="Bookman Old Style"/>
          <w:szCs w:val="24"/>
        </w:rPr>
      </w:pPr>
    </w:p>
    <w:p w:rsidR="007779A1" w:rsidRPr="00335BBB" w:rsidRDefault="007779A1" w:rsidP="007779A1">
      <w:pPr>
        <w:spacing w:line="276" w:lineRule="auto"/>
        <w:ind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Las continuas y permanentes manifestaciones de rechazo, al incremento ex</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gerado de las liquidaciones a pagar del impuesto predial en la ciudad, obligan a mirar un poco más detenidamente la forma como se cobra en la actualidad el tributo para los bogotanos.</w:t>
      </w:r>
    </w:p>
    <w:p w:rsidR="007779A1" w:rsidRPr="00335BBB" w:rsidRDefault="007779A1" w:rsidP="007779A1">
      <w:pPr>
        <w:spacing w:line="276" w:lineRule="auto"/>
        <w:ind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Es indudable que la ciudad requiere una solución de fondo lo cual implica un profundo estudio de los componentes del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y la forma de su determinación, liquidación y cobro.</w:t>
      </w:r>
    </w:p>
    <w:p w:rsidR="007779A1" w:rsidRPr="00335BBB" w:rsidRDefault="007779A1" w:rsidP="007779A1">
      <w:pPr>
        <w:spacing w:line="276" w:lineRule="auto"/>
        <w:ind w:left="360"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360" w:right="51"/>
        <w:jc w:val="both"/>
        <w:rPr>
          <w:rFonts w:ascii="Bookman Old Style" w:hAnsi="Bookman Old Style" w:cs="Arial"/>
          <w:b/>
          <w:bCs/>
          <w:szCs w:val="24"/>
          <w:shd w:val="clear" w:color="auto" w:fill="FFFFFF"/>
        </w:rPr>
      </w:pPr>
    </w:p>
    <w:p w:rsidR="007779A1" w:rsidRPr="00335BBB" w:rsidRDefault="007779A1" w:rsidP="007779A1">
      <w:pPr>
        <w:numPr>
          <w:ilvl w:val="1"/>
          <w:numId w:val="6"/>
        </w:numPr>
        <w:spacing w:line="276" w:lineRule="auto"/>
        <w:ind w:left="426"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EL CRECIMIENTO DEL MERCADO INMOBILIARIO COMO BASE PARA LA DETERMINACIÓN DEL AVALÚO CATASTRAL DE LOS PREDIOS Y EL PROBLEMA SOCIAL EN BOGOTÁ D.C.</w:t>
      </w:r>
    </w:p>
    <w:p w:rsidR="007779A1" w:rsidRPr="00335BBB" w:rsidRDefault="007779A1" w:rsidP="007779A1">
      <w:pPr>
        <w:spacing w:line="276" w:lineRule="auto"/>
        <w:ind w:left="708"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El concepto base que sirve para calcular el valor de pago del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lo constituye el avalúo catastral el cual es determinado por la Adm</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nistración Distrital, vía conservación o actualización; a este valor se le aplica una tarifa y se obtiene como resultado el valor a pagar por el contribuyente.</w:t>
      </w:r>
    </w:p>
    <w:p w:rsidR="007779A1" w:rsidRPr="00335BBB" w:rsidRDefault="007779A1" w:rsidP="007779A1">
      <w:pPr>
        <w:spacing w:line="276" w:lineRule="auto"/>
        <w:ind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acuerdo a la definición incorporada en el presupuesto distrital aprobado p</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 xml:space="preserve">ra la vigencia fiscal del año 2015, </w:t>
      </w:r>
      <w:r w:rsidRPr="00335BBB">
        <w:rPr>
          <w:rFonts w:ascii="Bookman Old Style" w:hAnsi="Bookman Old Style" w:cs="Arial"/>
          <w:bCs/>
          <w:i/>
          <w:szCs w:val="24"/>
          <w:shd w:val="clear" w:color="auto" w:fill="FFFFFF"/>
        </w:rPr>
        <w:t>“</w:t>
      </w:r>
      <w:r w:rsidRPr="00335BBB">
        <w:rPr>
          <w:rFonts w:ascii="Bookman Old Style" w:hAnsi="Bookman Old Style" w:cs="Arial"/>
          <w:bCs/>
          <w:i/>
          <w:szCs w:val="24"/>
          <w:u w:val="single"/>
          <w:shd w:val="clear" w:color="auto" w:fill="FFFFFF"/>
        </w:rPr>
        <w:t>el recaudo del impuesto predial está dete</w:t>
      </w:r>
      <w:r w:rsidRPr="00335BBB">
        <w:rPr>
          <w:rFonts w:ascii="Bookman Old Style" w:hAnsi="Bookman Old Style" w:cs="Arial"/>
          <w:bCs/>
          <w:i/>
          <w:szCs w:val="24"/>
          <w:u w:val="single"/>
          <w:shd w:val="clear" w:color="auto" w:fill="FFFFFF"/>
        </w:rPr>
        <w:t>r</w:t>
      </w:r>
      <w:r w:rsidRPr="00335BBB">
        <w:rPr>
          <w:rFonts w:ascii="Bookman Old Style" w:hAnsi="Bookman Old Style" w:cs="Arial"/>
          <w:bCs/>
          <w:i/>
          <w:szCs w:val="24"/>
          <w:u w:val="single"/>
          <w:shd w:val="clear" w:color="auto" w:fill="FFFFFF"/>
        </w:rPr>
        <w:t>minado por la dinámica presentada en el sector inmobiliario en cuanto al número de predios y variación de los avalúos catastrales</w:t>
      </w:r>
      <w:r w:rsidRPr="00335BBB">
        <w:rPr>
          <w:rFonts w:ascii="Bookman Old Style" w:hAnsi="Bookman Old Style" w:cs="Arial"/>
          <w:bCs/>
          <w:i/>
          <w:szCs w:val="24"/>
          <w:shd w:val="clear" w:color="auto" w:fill="FFFFFF"/>
        </w:rPr>
        <w:t>”.</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lastRenderedPageBreak/>
        <w:t xml:space="preserve">La dinámica del sector inmobiliario está determinada por el crecimiento </w:t>
      </w:r>
      <w:r>
        <w:rPr>
          <w:rFonts w:ascii="Bookman Old Style" w:hAnsi="Bookman Old Style" w:cs="Arial"/>
          <w:bCs/>
          <w:szCs w:val="24"/>
          <w:shd w:val="clear" w:color="auto" w:fill="FFFFFF"/>
        </w:rPr>
        <w:t>en</w:t>
      </w:r>
      <w:r w:rsidRPr="00335BBB">
        <w:rPr>
          <w:rFonts w:ascii="Bookman Old Style" w:hAnsi="Bookman Old Style" w:cs="Arial"/>
          <w:bCs/>
          <w:szCs w:val="24"/>
          <w:shd w:val="clear" w:color="auto" w:fill="FFFFFF"/>
        </w:rPr>
        <w:t xml:space="preserve"> los últimos años del valor comercial de los inmuebles, que según datos de CAM</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COL, han variado conforme se muestra en el cuadro inferior.</w:t>
      </w:r>
    </w:p>
    <w:p w:rsidR="007779A1" w:rsidRPr="00335BBB" w:rsidRDefault="007779A1" w:rsidP="007779A1">
      <w:pPr>
        <w:spacing w:line="276" w:lineRule="auto"/>
        <w:ind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 xml:space="preserve">Precio por metro cuadrado de vivienda. </w:t>
      </w:r>
    </w:p>
    <w:p w:rsidR="007779A1" w:rsidRPr="00335BBB" w:rsidRDefault="007779A1" w:rsidP="007779A1">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rPr>
        <w:t xml:space="preserve">Promedio ponderado de la oferta al </w:t>
      </w:r>
      <w:r w:rsidRPr="00DE3098">
        <w:rPr>
          <w:rFonts w:ascii="Bookman Old Style" w:hAnsi="Bookman Old Style" w:cs="Arial"/>
          <w:b/>
          <w:bCs/>
          <w:szCs w:val="24"/>
          <w:shd w:val="clear" w:color="auto" w:fill="FFFFFF"/>
        </w:rPr>
        <w:t>mes de septiembre 2014</w:t>
      </w:r>
      <w:r w:rsidRPr="00DE3098">
        <w:rPr>
          <w:rFonts w:ascii="Bookman Old Style" w:hAnsi="Bookman Old Style" w:cs="Arial"/>
          <w:bCs/>
          <w:szCs w:val="24"/>
          <w:shd w:val="clear" w:color="auto" w:fill="FFFFFF"/>
        </w:rPr>
        <w:t>.</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noProof/>
          <w:szCs w:val="24"/>
          <w:shd w:val="clear" w:color="auto" w:fill="FFFFFF"/>
          <w:lang w:val="es-CO" w:eastAsia="es-CO"/>
        </w:rPr>
        <w:drawing>
          <wp:inline distT="0" distB="0" distL="0" distR="0" wp14:anchorId="78776D1B" wp14:editId="18A19EA6">
            <wp:extent cx="2632910" cy="2482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785" cy="2492077"/>
                    </a:xfrm>
                    <a:prstGeom prst="rect">
                      <a:avLst/>
                    </a:prstGeom>
                    <a:noFill/>
                    <a:ln>
                      <a:noFill/>
                    </a:ln>
                  </pic:spPr>
                </pic:pic>
              </a:graphicData>
            </a:graphic>
          </wp:inline>
        </w:drawing>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la tabla anterior observamos un incremento general promedio en los precios de venta por metro cuadrado cercano al 15% para el periodo de los años 2007 a la actualidad.</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r w:rsidRPr="00335BBB">
        <w:rPr>
          <w:rFonts w:ascii="Bookman Old Style" w:hAnsi="Bookman Old Style" w:cs="Arial"/>
          <w:bCs/>
          <w:szCs w:val="24"/>
          <w:shd w:val="clear" w:color="auto" w:fill="FFFFFF"/>
          <w:lang w:val="es"/>
        </w:rPr>
        <w:t>La brecha existente entre el avalúo comercial y el avalúo catastral se h</w:t>
      </w:r>
      <w:r w:rsidRPr="00335BBB">
        <w:rPr>
          <w:rFonts w:ascii="Bookman Old Style" w:hAnsi="Bookman Old Style" w:cs="Arial"/>
          <w:bCs/>
          <w:szCs w:val="24"/>
          <w:shd w:val="clear" w:color="auto" w:fill="FFFFFF"/>
          <w:lang w:val="es"/>
        </w:rPr>
        <w:t>a</w:t>
      </w:r>
      <w:r w:rsidRPr="00335BBB">
        <w:rPr>
          <w:rFonts w:ascii="Bookman Old Style" w:hAnsi="Bookman Old Style" w:cs="Arial"/>
          <w:bCs/>
          <w:szCs w:val="24"/>
          <w:shd w:val="clear" w:color="auto" w:fill="FFFFFF"/>
          <w:lang w:val="es"/>
        </w:rPr>
        <w:t>ce cada vez más estrecha, razón por la cual, el incremento del valor del globo catastral de la ciudad en los últimos siete años se ha multiplicado en un 269%.</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
          <w:bCs/>
          <w:noProof/>
          <w:szCs w:val="24"/>
          <w:shd w:val="clear" w:color="auto" w:fill="FFFFFF"/>
          <w:lang w:val="es-CO" w:eastAsia="es-CO"/>
        </w:rPr>
        <w:lastRenderedPageBreak/>
        <w:drawing>
          <wp:inline distT="0" distB="0" distL="0" distR="0" wp14:anchorId="0B4FF7D6" wp14:editId="15E382B2">
            <wp:extent cx="5920105" cy="251587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105" cy="2515870"/>
                    </a:xfrm>
                    <a:prstGeom prst="rect">
                      <a:avLst/>
                    </a:prstGeom>
                    <a:noFill/>
                    <a:ln>
                      <a:noFill/>
                    </a:ln>
                  </pic:spPr>
                </pic:pic>
              </a:graphicData>
            </a:graphic>
          </wp:inline>
        </w:drawing>
      </w:r>
    </w:p>
    <w:p w:rsidR="007779A1" w:rsidRPr="00335BBB" w:rsidRDefault="007779A1" w:rsidP="007779A1">
      <w:pPr>
        <w:spacing w:line="276" w:lineRule="auto"/>
        <w:ind w:left="708" w:right="51"/>
        <w:jc w:val="both"/>
        <w:rPr>
          <w:rFonts w:ascii="Bookman Old Style" w:hAnsi="Bookman Old Style" w:cs="Arial"/>
          <w:bCs/>
          <w:i/>
          <w:szCs w:val="24"/>
          <w:shd w:val="clear" w:color="auto" w:fill="FFFFFF"/>
        </w:rPr>
      </w:pPr>
      <w:r w:rsidRPr="00335BBB">
        <w:rPr>
          <w:rFonts w:ascii="Bookman Old Style" w:hAnsi="Bookman Old Style" w:cs="Arial"/>
          <w:bCs/>
          <w:i/>
          <w:iCs/>
          <w:szCs w:val="24"/>
          <w:shd w:val="clear" w:color="auto" w:fill="FFFFFF"/>
        </w:rPr>
        <w:t>Fuente: Catastro -  Censo inmobiliario vigencia 2015</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Según las estadísticas fiscales presentadas por la Secretaría de Hacienda Distrital, en Bogotá, los ingresos por pago del impuesto predial pasaron de 761.374 millones de pesos en el año 2008 a  2,1 billones para el año 2015. </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LA VARIACIÓN DEL IPC COMO INDICADOR DE CRECIMIENTO DE LA ECONOMÍA FRENTE AL AVALÚO CATASTRAL</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Teniendo en cuenta que el índice de precios al consumidor –IPC- repr</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senta la manera como la dinámica de la economía y del mercado afecta a los precios de los productos de la canasta familiar y al consumidor final, se hace necesario considerar esta variable frente al crecimiento del globo catastral, a efectos de establecer su correlación e impacto en los hogares bogotanos y el crecimiento del impuesto predial unificado.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Visto así, el IPC se manifiesta como la herramienta más representativa para medir el estado generalizado de la economía y su impacto sobre las familias, de manera tal que sirve de punto de referencia y comparación frente a otras variables, como fiel de la balanza que establece la bonda</w:t>
      </w:r>
      <w:r>
        <w:rPr>
          <w:rFonts w:ascii="Bookman Old Style" w:hAnsi="Bookman Old Style" w:cs="Arial"/>
          <w:bCs/>
          <w:szCs w:val="24"/>
          <w:shd w:val="clear" w:color="auto" w:fill="FFFFFF"/>
        </w:rPr>
        <w:t>d o perjuicio de las mismas</w:t>
      </w:r>
      <w:r w:rsidRPr="00335BBB">
        <w:rPr>
          <w:rFonts w:ascii="Bookman Old Style" w:hAnsi="Bookman Old Style" w:cs="Arial"/>
          <w:bCs/>
          <w:szCs w:val="24"/>
          <w:shd w:val="clear" w:color="auto" w:fill="FFFFFF"/>
        </w:rPr>
        <w:t xml:space="preserve">. Por ejemplo, si el salario mínimo se sitúa por </w:t>
      </w:r>
      <w:r w:rsidRPr="00335BBB">
        <w:rPr>
          <w:rFonts w:ascii="Bookman Old Style" w:hAnsi="Bookman Old Style" w:cs="Arial"/>
          <w:bCs/>
          <w:szCs w:val="24"/>
          <w:shd w:val="clear" w:color="auto" w:fill="FFFFFF"/>
        </w:rPr>
        <w:lastRenderedPageBreak/>
        <w:t>encima del IPC es algo bueno, para los hogares, y malo si sucede lo co</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trario.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 por esto que el comparar el crecimiento del avalúo catastral en Bogotá D.C., frente al IPC, se nos presenta como algo desproporcionado e ilógico, tal y como lo evidencian los siguientes cuadros:</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tbl>
      <w:tblPr>
        <w:tblW w:w="435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82"/>
        <w:gridCol w:w="2188"/>
        <w:gridCol w:w="1796"/>
        <w:gridCol w:w="1199"/>
        <w:gridCol w:w="1629"/>
      </w:tblGrid>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Año</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Valor Catastral Bogotá</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Recaudo Predial B</w:t>
            </w:r>
            <w:r w:rsidRPr="00335BBB">
              <w:rPr>
                <w:rFonts w:ascii="Bookman Old Style" w:hAnsi="Bookman Old Style" w:cs="Arial"/>
                <w:b/>
                <w:bCs/>
                <w:szCs w:val="24"/>
                <w:shd w:val="clear" w:color="auto" w:fill="FFFFFF"/>
                <w:lang w:val="es"/>
              </w:rPr>
              <w:t>o</w:t>
            </w:r>
            <w:r w:rsidRPr="00335BBB">
              <w:rPr>
                <w:rFonts w:ascii="Bookman Old Style" w:hAnsi="Bookman Old Style" w:cs="Arial"/>
                <w:b/>
                <w:bCs/>
                <w:szCs w:val="24"/>
                <w:shd w:val="clear" w:color="auto" w:fill="FFFFFF"/>
                <w:lang w:val="es"/>
              </w:rPr>
              <w:t>gotá</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IPC</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
                <w:bCs/>
                <w:szCs w:val="24"/>
                <w:shd w:val="clear" w:color="auto" w:fill="FFFFFF"/>
                <w:lang w:val="es"/>
              </w:rPr>
            </w:pPr>
            <w:r w:rsidRPr="00335BBB">
              <w:rPr>
                <w:rFonts w:ascii="Bookman Old Style" w:hAnsi="Bookman Old Style" w:cs="Arial"/>
                <w:b/>
                <w:bCs/>
                <w:szCs w:val="24"/>
                <w:shd w:val="clear" w:color="auto" w:fill="FFFFFF"/>
                <w:lang w:val="es"/>
              </w:rPr>
              <w:t>Salario</w:t>
            </w:r>
          </w:p>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Mínimo</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2009</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27,0%</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-0,5%</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2,00%</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7,48%</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2010</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27,7%</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3,17%</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Pr>
                <w:rFonts w:ascii="Bookman Old Style" w:hAnsi="Bookman Old Style" w:cs="Arial"/>
                <w:bCs/>
                <w:szCs w:val="24"/>
                <w:shd w:val="clear" w:color="auto" w:fill="FFFFFF"/>
                <w:lang w:val="es"/>
              </w:rPr>
              <w:t>3,60</w:t>
            </w:r>
            <w:r w:rsidRPr="00335BBB">
              <w:rPr>
                <w:rFonts w:ascii="Bookman Old Style" w:hAnsi="Bookman Old Style" w:cs="Arial"/>
                <w:bCs/>
                <w:szCs w:val="24"/>
                <w:shd w:val="clear" w:color="auto" w:fill="FFFFFF"/>
                <w:lang w:val="es"/>
              </w:rPr>
              <w:t>%</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2011</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21,6%</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18,1%</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3,73%</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4,00%</w:t>
            </w:r>
          </w:p>
        </w:tc>
      </w:tr>
      <w:tr w:rsidR="007779A1" w:rsidRPr="00335BBB" w:rsidTr="000B7824">
        <w:trPr>
          <w:trHeight w:val="60"/>
        </w:trPr>
        <w:tc>
          <w:tcPr>
            <w:tcW w:w="1374" w:type="dxa"/>
            <w:shd w:val="clear" w:color="auto" w:fill="auto"/>
            <w:tcMar>
              <w:top w:w="0" w:type="dxa"/>
              <w:left w:w="0" w:type="dxa"/>
              <w:bottom w:w="0" w:type="dxa"/>
              <w:right w:w="0"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2012</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17,1%</w:t>
            </w:r>
          </w:p>
        </w:tc>
        <w:tc>
          <w:tcPr>
            <w:tcW w:w="1665" w:type="dxa"/>
            <w:shd w:val="clear" w:color="auto" w:fill="auto"/>
            <w:tcMar>
              <w:top w:w="0" w:type="dxa"/>
              <w:left w:w="0" w:type="dxa"/>
              <w:bottom w:w="0" w:type="dxa"/>
              <w:right w:w="0"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13,3%</w:t>
            </w:r>
          </w:p>
        </w:tc>
        <w:tc>
          <w:tcPr>
            <w:tcW w:w="1112" w:type="dxa"/>
            <w:shd w:val="clear" w:color="auto" w:fill="D9D9D9" w:themeFill="background1" w:themeFillShade="D9"/>
            <w:tcMar>
              <w:top w:w="0" w:type="dxa"/>
              <w:left w:w="0" w:type="dxa"/>
              <w:bottom w:w="0" w:type="dxa"/>
              <w:right w:w="0"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2,44%</w:t>
            </w:r>
          </w:p>
        </w:tc>
        <w:tc>
          <w:tcPr>
            <w:tcW w:w="1511" w:type="dxa"/>
            <w:shd w:val="clear" w:color="auto" w:fill="auto"/>
            <w:tcMar>
              <w:top w:w="0" w:type="dxa"/>
              <w:left w:w="0" w:type="dxa"/>
              <w:bottom w:w="0" w:type="dxa"/>
              <w:right w:w="0"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5,81%</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2013</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19,1%</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18,2%</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1,94%</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4,02%</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2014</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16,3%</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20,4%</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3,66%</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4,50%</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2015</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15,2%</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21,0%</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3,00%</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lang w:val="es"/>
              </w:rPr>
              <w:t>4,60%</w:t>
            </w:r>
          </w:p>
        </w:tc>
      </w:tr>
      <w:tr w:rsidR="007779A1" w:rsidRPr="00335BBB" w:rsidTr="000B7824">
        <w:trPr>
          <w:trHeight w:val="60"/>
        </w:trPr>
        <w:tc>
          <w:tcPr>
            <w:tcW w:w="1374"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Promedio</w:t>
            </w:r>
          </w:p>
        </w:tc>
        <w:tc>
          <w:tcPr>
            <w:tcW w:w="2029"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left="708"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20,6%</w:t>
            </w:r>
          </w:p>
        </w:tc>
        <w:tc>
          <w:tcPr>
            <w:tcW w:w="1665" w:type="dxa"/>
            <w:shd w:val="clear" w:color="auto" w:fill="auto"/>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15,8%</w:t>
            </w:r>
          </w:p>
        </w:tc>
        <w:tc>
          <w:tcPr>
            <w:tcW w:w="1112" w:type="dxa"/>
            <w:shd w:val="clear" w:color="auto" w:fill="D9D9D9" w:themeFill="background1" w:themeFillShade="D9"/>
            <w:tcMar>
              <w:top w:w="57" w:type="dxa"/>
              <w:left w:w="57" w:type="dxa"/>
              <w:bottom w:w="57" w:type="dxa"/>
              <w:right w:w="57" w:type="dxa"/>
            </w:tcMar>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2,8%</w:t>
            </w:r>
          </w:p>
        </w:tc>
        <w:tc>
          <w:tcPr>
            <w:tcW w:w="1511" w:type="dxa"/>
            <w:shd w:val="clear" w:color="auto" w:fill="auto"/>
            <w:tcMar>
              <w:top w:w="57" w:type="dxa"/>
              <w:left w:w="57" w:type="dxa"/>
              <w:bottom w:w="57" w:type="dxa"/>
              <w:right w:w="57" w:type="dxa"/>
            </w:tcMar>
          </w:tcPr>
          <w:p w:rsidR="007779A1" w:rsidRPr="00335BBB" w:rsidRDefault="007779A1" w:rsidP="000B7824">
            <w:pPr>
              <w:spacing w:line="276" w:lineRule="auto"/>
              <w:ind w:left="142" w:right="51"/>
              <w:rPr>
                <w:rFonts w:ascii="Bookman Old Style" w:hAnsi="Bookman Old Style" w:cs="Arial"/>
                <w:bCs/>
                <w:szCs w:val="24"/>
                <w:shd w:val="clear" w:color="auto" w:fill="FFFFFF"/>
              </w:rPr>
            </w:pPr>
            <w:r w:rsidRPr="00335BBB">
              <w:rPr>
                <w:rFonts w:ascii="Bookman Old Style" w:hAnsi="Bookman Old Style" w:cs="Arial"/>
                <w:b/>
                <w:bCs/>
                <w:szCs w:val="24"/>
                <w:shd w:val="clear" w:color="auto" w:fill="FFFFFF"/>
                <w:lang w:val="es"/>
              </w:rPr>
              <w:t>4,9%</w:t>
            </w:r>
          </w:p>
        </w:tc>
      </w:tr>
    </w:tbl>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r w:rsidRPr="00335BBB">
        <w:rPr>
          <w:rFonts w:ascii="Bookman Old Style" w:hAnsi="Bookman Old Style" w:cs="Arial"/>
          <w:bCs/>
          <w:szCs w:val="24"/>
          <w:shd w:val="clear" w:color="auto" w:fill="FFFFFF"/>
          <w:lang w:val="es"/>
        </w:rPr>
        <w:t> </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lang w:val="es"/>
        </w:rPr>
      </w:pPr>
    </w:p>
    <w:tbl>
      <w:tblPr>
        <w:tblW w:w="7361" w:type="dxa"/>
        <w:jc w:val="center"/>
        <w:tblCellMar>
          <w:left w:w="10" w:type="dxa"/>
          <w:right w:w="10" w:type="dxa"/>
        </w:tblCellMar>
        <w:tblLook w:val="0000" w:firstRow="0" w:lastRow="0" w:firstColumn="0" w:lastColumn="0" w:noHBand="0" w:noVBand="0"/>
      </w:tblPr>
      <w:tblGrid>
        <w:gridCol w:w="787"/>
        <w:gridCol w:w="2038"/>
        <w:gridCol w:w="1560"/>
        <w:gridCol w:w="1417"/>
        <w:gridCol w:w="1559"/>
      </w:tblGrid>
      <w:tr w:rsidR="007779A1" w:rsidRPr="00335BBB" w:rsidTr="000B7824">
        <w:trPr>
          <w:trHeight w:val="826"/>
          <w:jc w:val="center"/>
        </w:trPr>
        <w:tc>
          <w:tcPr>
            <w:tcW w:w="787" w:type="dxa"/>
            <w:tcBorders>
              <w:top w:val="single" w:sz="8" w:space="0" w:color="000000"/>
              <w:left w:val="single" w:sz="8" w:space="0" w:color="000000"/>
              <w:bottom w:val="single" w:sz="8" w:space="0" w:color="000000"/>
              <w:right w:val="single" w:sz="4" w:space="0" w:color="000000"/>
            </w:tcBorders>
            <w:shd w:val="clear" w:color="auto" w:fill="FFFFFF" w:themeFill="background1"/>
            <w:noWrap/>
            <w:tcMar>
              <w:top w:w="0" w:type="dxa"/>
              <w:left w:w="70" w:type="dxa"/>
              <w:bottom w:w="0" w:type="dxa"/>
              <w:right w:w="70" w:type="dxa"/>
            </w:tcMar>
            <w:vAlign w:val="center"/>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Año</w:t>
            </w:r>
          </w:p>
        </w:tc>
        <w:tc>
          <w:tcPr>
            <w:tcW w:w="2038" w:type="dxa"/>
            <w:tcBorders>
              <w:top w:val="single" w:sz="8"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Valor Avaluó Catastral</w:t>
            </w:r>
          </w:p>
        </w:tc>
        <w:tc>
          <w:tcPr>
            <w:tcW w:w="1560" w:type="dxa"/>
            <w:tcBorders>
              <w:top w:val="single" w:sz="8"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Variación Valor Av</w:t>
            </w:r>
            <w:r w:rsidRPr="00335BBB">
              <w:rPr>
                <w:rFonts w:ascii="Bookman Old Style" w:hAnsi="Bookman Old Style" w:cs="Arial"/>
                <w:b/>
                <w:bCs/>
                <w:szCs w:val="24"/>
                <w:shd w:val="clear" w:color="auto" w:fill="FFFFFF"/>
              </w:rPr>
              <w:t>a</w:t>
            </w:r>
            <w:r w:rsidRPr="00335BBB">
              <w:rPr>
                <w:rFonts w:ascii="Bookman Old Style" w:hAnsi="Bookman Old Style" w:cs="Arial"/>
                <w:b/>
                <w:bCs/>
                <w:szCs w:val="24"/>
                <w:shd w:val="clear" w:color="auto" w:fill="FFFFFF"/>
              </w:rPr>
              <w:t>luó Cata</w:t>
            </w:r>
            <w:r w:rsidRPr="00335BBB">
              <w:rPr>
                <w:rFonts w:ascii="Bookman Old Style" w:hAnsi="Bookman Old Style" w:cs="Arial"/>
                <w:b/>
                <w:bCs/>
                <w:szCs w:val="24"/>
                <w:shd w:val="clear" w:color="auto" w:fill="FFFFFF"/>
              </w:rPr>
              <w:t>s</w:t>
            </w:r>
            <w:r w:rsidRPr="00335BBB">
              <w:rPr>
                <w:rFonts w:ascii="Bookman Old Style" w:hAnsi="Bookman Old Style" w:cs="Arial"/>
                <w:b/>
                <w:bCs/>
                <w:szCs w:val="24"/>
                <w:shd w:val="clear" w:color="auto" w:fill="FFFFFF"/>
              </w:rPr>
              <w:t>tral</w:t>
            </w:r>
          </w:p>
        </w:tc>
        <w:tc>
          <w:tcPr>
            <w:tcW w:w="1417" w:type="dxa"/>
            <w:tcBorders>
              <w:top w:val="single" w:sz="8"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IPC B</w:t>
            </w:r>
            <w:r w:rsidRPr="00335BBB">
              <w:rPr>
                <w:rFonts w:ascii="Bookman Old Style" w:hAnsi="Bookman Old Style" w:cs="Arial"/>
                <w:b/>
                <w:bCs/>
                <w:szCs w:val="24"/>
                <w:shd w:val="clear" w:color="auto" w:fill="FFFFFF"/>
              </w:rPr>
              <w:t>o</w:t>
            </w:r>
            <w:r w:rsidRPr="00335BBB">
              <w:rPr>
                <w:rFonts w:ascii="Bookman Old Style" w:hAnsi="Bookman Old Style" w:cs="Arial"/>
                <w:b/>
                <w:bCs/>
                <w:szCs w:val="24"/>
                <w:shd w:val="clear" w:color="auto" w:fill="FFFFFF"/>
              </w:rPr>
              <w:t>gotá</w:t>
            </w:r>
          </w:p>
        </w:tc>
        <w:tc>
          <w:tcPr>
            <w:tcW w:w="1559" w:type="dxa"/>
            <w:tcBorders>
              <w:top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 Adici</w:t>
            </w:r>
            <w:r w:rsidRPr="00335BBB">
              <w:rPr>
                <w:rFonts w:ascii="Bookman Old Style" w:hAnsi="Bookman Old Style" w:cs="Arial"/>
                <w:b/>
                <w:bCs/>
                <w:szCs w:val="24"/>
                <w:shd w:val="clear" w:color="auto" w:fill="FFFFFF"/>
              </w:rPr>
              <w:t>o</w:t>
            </w:r>
            <w:r w:rsidRPr="00335BBB">
              <w:rPr>
                <w:rFonts w:ascii="Bookman Old Style" w:hAnsi="Bookman Old Style" w:cs="Arial"/>
                <w:b/>
                <w:bCs/>
                <w:szCs w:val="24"/>
                <w:shd w:val="clear" w:color="auto" w:fill="FFFFFF"/>
              </w:rPr>
              <w:t>nal Cobr</w:t>
            </w:r>
            <w:r w:rsidRPr="00335BBB">
              <w:rPr>
                <w:rFonts w:ascii="Bookman Old Style" w:hAnsi="Bookman Old Style" w:cs="Arial"/>
                <w:b/>
                <w:bCs/>
                <w:szCs w:val="24"/>
                <w:shd w:val="clear" w:color="auto" w:fill="FFFFFF"/>
              </w:rPr>
              <w:t>a</w:t>
            </w:r>
            <w:r w:rsidRPr="00335BBB">
              <w:rPr>
                <w:rFonts w:ascii="Bookman Old Style" w:hAnsi="Bookman Old Style" w:cs="Arial"/>
                <w:b/>
                <w:bCs/>
                <w:szCs w:val="24"/>
                <w:shd w:val="clear" w:color="auto" w:fill="FFFFFF"/>
              </w:rPr>
              <w:t>do sobre el IPC</w:t>
            </w:r>
          </w:p>
        </w:tc>
      </w:tr>
      <w:tr w:rsidR="007779A1" w:rsidRPr="00335BBB" w:rsidTr="000B7824">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2010</w:t>
            </w:r>
          </w:p>
        </w:tc>
        <w:tc>
          <w:tcPr>
            <w:tcW w:w="203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196.614.218</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27,69%</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3,25%</w:t>
            </w:r>
          </w:p>
        </w:tc>
        <w:tc>
          <w:tcPr>
            <w:tcW w:w="1559" w:type="dxa"/>
            <w:tcBorders>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24%</w:t>
            </w:r>
          </w:p>
        </w:tc>
      </w:tr>
      <w:tr w:rsidR="007779A1" w:rsidRPr="00335BBB" w:rsidTr="000B7824">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2011</w:t>
            </w:r>
          </w:p>
        </w:tc>
        <w:tc>
          <w:tcPr>
            <w:tcW w:w="203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239.175.187</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21,65%</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3,21%</w:t>
            </w:r>
          </w:p>
        </w:tc>
        <w:tc>
          <w:tcPr>
            <w:tcW w:w="1559" w:type="dxa"/>
            <w:tcBorders>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18%</w:t>
            </w:r>
          </w:p>
        </w:tc>
      </w:tr>
      <w:tr w:rsidR="007779A1" w:rsidRPr="00335BBB" w:rsidTr="000B7824">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2012</w:t>
            </w:r>
          </w:p>
        </w:tc>
        <w:tc>
          <w:tcPr>
            <w:tcW w:w="203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280.079.627</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17,10%</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2,43%</w:t>
            </w:r>
          </w:p>
        </w:tc>
        <w:tc>
          <w:tcPr>
            <w:tcW w:w="1559" w:type="dxa"/>
            <w:tcBorders>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14%</w:t>
            </w:r>
          </w:p>
        </w:tc>
      </w:tr>
      <w:tr w:rsidR="007779A1" w:rsidRPr="00335BBB" w:rsidTr="000B7824">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2013</w:t>
            </w:r>
          </w:p>
        </w:tc>
        <w:tc>
          <w:tcPr>
            <w:tcW w:w="203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333.689.470</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19,14%</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2,43%</w:t>
            </w:r>
          </w:p>
        </w:tc>
        <w:tc>
          <w:tcPr>
            <w:tcW w:w="1559" w:type="dxa"/>
            <w:tcBorders>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16%</w:t>
            </w:r>
          </w:p>
        </w:tc>
      </w:tr>
      <w:tr w:rsidR="007779A1" w:rsidRPr="00335BBB" w:rsidTr="000B7824">
        <w:trPr>
          <w:trHeight w:val="300"/>
          <w:jc w:val="center"/>
        </w:trPr>
        <w:tc>
          <w:tcPr>
            <w:tcW w:w="78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2014</w:t>
            </w:r>
          </w:p>
        </w:tc>
        <w:tc>
          <w:tcPr>
            <w:tcW w:w="203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387.932.398</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16,26%</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3,77%</w:t>
            </w:r>
          </w:p>
        </w:tc>
        <w:tc>
          <w:tcPr>
            <w:tcW w:w="1559" w:type="dxa"/>
            <w:tcBorders>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12%</w:t>
            </w:r>
          </w:p>
        </w:tc>
      </w:tr>
      <w:tr w:rsidR="007779A1" w:rsidRPr="00335BBB" w:rsidTr="000B7824">
        <w:trPr>
          <w:trHeight w:val="315"/>
          <w:jc w:val="center"/>
        </w:trPr>
        <w:tc>
          <w:tcPr>
            <w:tcW w:w="787"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2015</w:t>
            </w:r>
          </w:p>
        </w:tc>
        <w:tc>
          <w:tcPr>
            <w:tcW w:w="2038"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446.907.541</w:t>
            </w:r>
          </w:p>
        </w:tc>
        <w:tc>
          <w:tcPr>
            <w:tcW w:w="1560"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15,20%</w:t>
            </w:r>
          </w:p>
        </w:tc>
        <w:tc>
          <w:tcPr>
            <w:tcW w:w="1417"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7779A1" w:rsidRPr="00335BBB" w:rsidRDefault="007779A1" w:rsidP="000B7824">
            <w:pPr>
              <w:spacing w:line="276" w:lineRule="auto"/>
              <w:ind w:right="51"/>
              <w:rPr>
                <w:rFonts w:ascii="Bookman Old Style" w:hAnsi="Bookman Old Style" w:cs="Arial"/>
                <w:bCs/>
                <w:szCs w:val="24"/>
                <w:shd w:val="clear" w:color="auto" w:fill="FFFFFF"/>
              </w:rPr>
            </w:pPr>
            <w:r>
              <w:rPr>
                <w:rFonts w:ascii="Bookman Old Style" w:hAnsi="Bookman Old Style" w:cs="Arial"/>
                <w:bCs/>
                <w:szCs w:val="24"/>
                <w:shd w:val="clear" w:color="auto" w:fill="FFFFFF"/>
              </w:rPr>
              <w:t>6,22%</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7779A1" w:rsidRPr="003B4030" w:rsidRDefault="007779A1" w:rsidP="000B7824">
            <w:pPr>
              <w:spacing w:line="276" w:lineRule="auto"/>
              <w:ind w:right="51"/>
              <w:rPr>
                <w:rFonts w:ascii="Bookman Old Style" w:hAnsi="Bookman Old Style" w:cs="Arial"/>
                <w:b/>
                <w:bCs/>
                <w:szCs w:val="24"/>
                <w:shd w:val="clear" w:color="auto" w:fill="FFFFFF"/>
              </w:rPr>
            </w:pPr>
            <w:r>
              <w:rPr>
                <w:rFonts w:ascii="Bookman Old Style" w:hAnsi="Bookman Old Style" w:cs="Arial"/>
                <w:b/>
                <w:bCs/>
                <w:szCs w:val="24"/>
                <w:shd w:val="clear" w:color="auto" w:fill="FFFFFF"/>
              </w:rPr>
              <w:t>9%</w:t>
            </w:r>
          </w:p>
        </w:tc>
      </w:tr>
    </w:tbl>
    <w:p w:rsidR="007779A1" w:rsidRPr="00335BBB" w:rsidRDefault="007779A1" w:rsidP="007779A1">
      <w:pPr>
        <w:spacing w:line="276" w:lineRule="auto"/>
        <w:ind w:left="708" w:right="51" w:firstLine="708"/>
        <w:jc w:val="both"/>
        <w:rPr>
          <w:rFonts w:ascii="Bookman Old Style" w:hAnsi="Bookman Old Style" w:cs="Arial"/>
          <w:bCs/>
          <w:i/>
          <w:szCs w:val="24"/>
          <w:shd w:val="clear" w:color="auto" w:fill="FFFFFF"/>
        </w:rPr>
      </w:pPr>
      <w:r w:rsidRPr="00335BBB">
        <w:rPr>
          <w:rFonts w:ascii="Bookman Old Style" w:hAnsi="Bookman Old Style" w:cs="Arial"/>
          <w:bCs/>
          <w:i/>
          <w:szCs w:val="24"/>
          <w:shd w:val="clear" w:color="auto" w:fill="FFFFFF"/>
        </w:rPr>
        <w:lastRenderedPageBreak/>
        <w:t xml:space="preserve">Fuente: Catastro Distrital </w:t>
      </w:r>
      <w:r>
        <w:rPr>
          <w:rFonts w:ascii="Bookman Old Style" w:hAnsi="Bookman Old Style" w:cs="Arial"/>
          <w:bCs/>
          <w:i/>
          <w:szCs w:val="24"/>
          <w:shd w:val="clear" w:color="auto" w:fill="FFFFFF"/>
        </w:rPr>
        <w:t>-</w:t>
      </w:r>
      <w:r w:rsidRPr="00335BBB">
        <w:rPr>
          <w:rFonts w:ascii="Bookman Old Style" w:hAnsi="Bookman Old Style" w:cs="Arial"/>
          <w:bCs/>
          <w:i/>
          <w:szCs w:val="24"/>
          <w:shd w:val="clear" w:color="auto" w:fill="FFFFFF"/>
        </w:rPr>
        <w:t xml:space="preserve"> </w:t>
      </w:r>
      <w:r>
        <w:rPr>
          <w:rFonts w:ascii="Bookman Old Style" w:hAnsi="Bookman Old Style" w:cs="Arial"/>
          <w:bCs/>
          <w:i/>
          <w:szCs w:val="24"/>
          <w:shd w:val="clear" w:color="auto" w:fill="FFFFFF"/>
        </w:rPr>
        <w:t>BANREP - DANE</w:t>
      </w:r>
    </w:p>
    <w:p w:rsidR="007779A1" w:rsidRPr="00335BBB" w:rsidRDefault="007779A1" w:rsidP="007779A1">
      <w:pPr>
        <w:spacing w:line="276" w:lineRule="auto"/>
        <w:ind w:left="708" w:right="51" w:firstLine="708"/>
        <w:jc w:val="both"/>
        <w:rPr>
          <w:rFonts w:ascii="Bookman Old Style" w:hAnsi="Bookman Old Style" w:cs="Arial"/>
          <w:bCs/>
          <w:i/>
          <w:szCs w:val="24"/>
          <w:shd w:val="clear" w:color="auto" w:fill="FFFFFF"/>
        </w:rPr>
      </w:pPr>
    </w:p>
    <w:p w:rsidR="007779A1" w:rsidRPr="00335BBB" w:rsidRDefault="007779A1" w:rsidP="007779A1">
      <w:pPr>
        <w:spacing w:line="276" w:lineRule="auto"/>
        <w:ind w:left="708" w:right="51" w:firstLine="708"/>
        <w:rPr>
          <w:rFonts w:ascii="Bookman Old Style" w:hAnsi="Bookman Old Style" w:cs="Arial"/>
          <w:b/>
          <w:bCs/>
          <w:i/>
          <w:color w:val="FF0000"/>
          <w:szCs w:val="24"/>
          <w:shd w:val="clear" w:color="auto" w:fill="FFFFFF"/>
        </w:rPr>
      </w:pPr>
      <w:r w:rsidRPr="00335BBB">
        <w:rPr>
          <w:rFonts w:ascii="Bookman Old Style" w:hAnsi="Bookman Old Style" w:cs="Arial"/>
          <w:b/>
          <w:bCs/>
          <w:i/>
          <w:color w:val="FF0000"/>
          <w:szCs w:val="24"/>
          <w:shd w:val="clear" w:color="auto" w:fill="FFFFFF"/>
        </w:rPr>
        <w:t>GRAFICA</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EL INCREMENTO DEL SALARIO MÍNIMO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92"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la mano del IPC tenemos la variable de crecimiento del salario mín</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mo mensual legal vigente- SMMLV, la cual refleja la capacidad de ingr</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 xml:space="preserve">so de los ciudadanos. En este sentido, al comparar porcentualmente el crecimiento anual del SMMLV frente al crecimiento de los </w:t>
      </w:r>
      <w:r w:rsidRPr="00335BBB">
        <w:rPr>
          <w:rFonts w:ascii="Bookman Old Style" w:hAnsi="Bookman Old Style" w:cs="Arial"/>
          <w:bCs/>
          <w:i/>
          <w:szCs w:val="24"/>
          <w:shd w:val="clear" w:color="auto" w:fill="FFFFFF"/>
        </w:rPr>
        <w:t>avalúos cata</w:t>
      </w:r>
      <w:r w:rsidRPr="00335BBB">
        <w:rPr>
          <w:rFonts w:ascii="Bookman Old Style" w:hAnsi="Bookman Old Style" w:cs="Arial"/>
          <w:bCs/>
          <w:i/>
          <w:szCs w:val="24"/>
          <w:shd w:val="clear" w:color="auto" w:fill="FFFFFF"/>
        </w:rPr>
        <w:t>s</w:t>
      </w:r>
      <w:r w:rsidRPr="00335BBB">
        <w:rPr>
          <w:rFonts w:ascii="Bookman Old Style" w:hAnsi="Bookman Old Style" w:cs="Arial"/>
          <w:bCs/>
          <w:i/>
          <w:szCs w:val="24"/>
          <w:shd w:val="clear" w:color="auto" w:fill="FFFFFF"/>
        </w:rPr>
        <w:t>trales</w:t>
      </w:r>
      <w:r w:rsidRPr="00335BBB">
        <w:rPr>
          <w:rFonts w:ascii="Bookman Old Style" w:hAnsi="Bookman Old Style" w:cs="Arial"/>
          <w:bCs/>
          <w:szCs w:val="24"/>
          <w:shd w:val="clear" w:color="auto" w:fill="FFFFFF"/>
        </w:rPr>
        <w:t xml:space="preserve"> de los últimos 4 años, observamos, como lo muestra el siguiente cuadro y gráfica, una brecha creciente entre las mismas, así:</w:t>
      </w:r>
    </w:p>
    <w:p w:rsidR="007779A1" w:rsidRPr="00335BBB" w:rsidRDefault="007779A1" w:rsidP="007779A1">
      <w:pPr>
        <w:spacing w:line="276" w:lineRule="auto"/>
        <w:ind w:left="792"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92" w:right="51"/>
        <w:rPr>
          <w:rFonts w:ascii="Bookman Old Style" w:hAnsi="Bookman Old Style" w:cs="Arial"/>
          <w:bCs/>
          <w:szCs w:val="24"/>
          <w:shd w:val="clear" w:color="auto" w:fill="FFFFFF"/>
        </w:rPr>
      </w:pPr>
    </w:p>
    <w:tbl>
      <w:tblPr>
        <w:tblStyle w:val="Tablaconcuadrcula"/>
        <w:tblW w:w="0" w:type="auto"/>
        <w:jc w:val="center"/>
        <w:tblLook w:val="04A0" w:firstRow="1" w:lastRow="0" w:firstColumn="1" w:lastColumn="0" w:noHBand="0" w:noVBand="1"/>
      </w:tblPr>
      <w:tblGrid>
        <w:gridCol w:w="1940"/>
        <w:gridCol w:w="2450"/>
        <w:gridCol w:w="2450"/>
      </w:tblGrid>
      <w:tr w:rsidR="007779A1" w:rsidRPr="00335BBB" w:rsidTr="000B7824">
        <w:trPr>
          <w:trHeight w:val="511"/>
          <w:jc w:val="center"/>
        </w:trPr>
        <w:tc>
          <w:tcPr>
            <w:tcW w:w="1940" w:type="dxa"/>
            <w:noWrap/>
            <w:vAlign w:val="center"/>
            <w:hideMark/>
          </w:tcPr>
          <w:p w:rsidR="007779A1" w:rsidRPr="00335BBB" w:rsidRDefault="007779A1" w:rsidP="000B7824">
            <w:pPr>
              <w:spacing w:line="276" w:lineRule="auto"/>
              <w:ind w:right="51"/>
              <w:jc w:val="center"/>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AÑO</w:t>
            </w:r>
          </w:p>
        </w:tc>
        <w:tc>
          <w:tcPr>
            <w:tcW w:w="2450" w:type="dxa"/>
            <w:noWrap/>
            <w:vAlign w:val="center"/>
            <w:hideMark/>
          </w:tcPr>
          <w:p w:rsidR="007779A1" w:rsidRPr="00335BBB" w:rsidRDefault="007779A1" w:rsidP="000B7824">
            <w:pPr>
              <w:spacing w:line="276" w:lineRule="auto"/>
              <w:ind w:right="51"/>
              <w:jc w:val="center"/>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Incremento Av</w:t>
            </w:r>
            <w:r w:rsidRPr="00335BBB">
              <w:rPr>
                <w:rFonts w:ascii="Bookman Old Style" w:hAnsi="Bookman Old Style" w:cs="Arial"/>
                <w:b/>
                <w:bCs/>
                <w:szCs w:val="24"/>
                <w:shd w:val="clear" w:color="auto" w:fill="FFFFFF"/>
              </w:rPr>
              <w:t>a</w:t>
            </w:r>
            <w:r w:rsidRPr="00335BBB">
              <w:rPr>
                <w:rFonts w:ascii="Bookman Old Style" w:hAnsi="Bookman Old Style" w:cs="Arial"/>
                <w:b/>
                <w:bCs/>
                <w:szCs w:val="24"/>
                <w:shd w:val="clear" w:color="auto" w:fill="FFFFFF"/>
              </w:rPr>
              <w:t>lúos Catastrales</w:t>
            </w:r>
          </w:p>
        </w:tc>
        <w:tc>
          <w:tcPr>
            <w:tcW w:w="2450" w:type="dxa"/>
            <w:vAlign w:val="center"/>
          </w:tcPr>
          <w:p w:rsidR="007779A1" w:rsidRPr="00335BBB" w:rsidRDefault="007779A1" w:rsidP="000B7824">
            <w:pPr>
              <w:spacing w:line="276" w:lineRule="auto"/>
              <w:ind w:right="51"/>
              <w:jc w:val="center"/>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Incremento</w:t>
            </w:r>
          </w:p>
          <w:p w:rsidR="007779A1" w:rsidRPr="00335BBB" w:rsidRDefault="007779A1" w:rsidP="000B7824">
            <w:pPr>
              <w:spacing w:line="276" w:lineRule="auto"/>
              <w:ind w:right="51"/>
              <w:jc w:val="center"/>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SMMLV</w:t>
            </w:r>
          </w:p>
        </w:tc>
      </w:tr>
      <w:tr w:rsidR="007779A1" w:rsidRPr="00335BBB" w:rsidTr="000B7824">
        <w:trPr>
          <w:trHeight w:val="315"/>
          <w:jc w:val="center"/>
        </w:trPr>
        <w:tc>
          <w:tcPr>
            <w:tcW w:w="1940" w:type="dxa"/>
            <w:noWrap/>
            <w:vAlign w:val="center"/>
          </w:tcPr>
          <w:p w:rsidR="007779A1" w:rsidRDefault="007779A1" w:rsidP="000B7824">
            <w:pPr>
              <w:spacing w:line="276" w:lineRule="auto"/>
              <w:ind w:right="51"/>
              <w:jc w:val="center"/>
              <w:rPr>
                <w:rFonts w:ascii="Bookman Old Style" w:hAnsi="Bookman Old Style" w:cs="Arial"/>
                <w:bCs/>
                <w:szCs w:val="24"/>
                <w:shd w:val="clear" w:color="auto" w:fill="FFFFFF"/>
              </w:rPr>
            </w:pPr>
            <w:r>
              <w:rPr>
                <w:rFonts w:ascii="Bookman Old Style" w:hAnsi="Bookman Old Style" w:cs="Arial"/>
                <w:bCs/>
                <w:szCs w:val="24"/>
                <w:shd w:val="clear" w:color="auto" w:fill="FFFFFF"/>
              </w:rPr>
              <w:t>2010</w:t>
            </w:r>
          </w:p>
        </w:tc>
        <w:tc>
          <w:tcPr>
            <w:tcW w:w="2450" w:type="dxa"/>
            <w:tcBorders>
              <w:bottom w:val="single" w:sz="4" w:space="0" w:color="000000"/>
              <w:right w:val="single" w:sz="4" w:space="0" w:color="000000"/>
            </w:tcBorders>
            <w:shd w:val="clear" w:color="auto" w:fill="auto"/>
            <w:noWrap/>
            <w:vAlign w:val="bottom"/>
          </w:tcPr>
          <w:p w:rsidR="007779A1" w:rsidRPr="007A662D"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27,69%</w:t>
            </w:r>
          </w:p>
        </w:tc>
        <w:tc>
          <w:tcPr>
            <w:tcW w:w="2450" w:type="dxa"/>
            <w:vAlign w:val="bottom"/>
          </w:tcPr>
          <w:p w:rsidR="007779A1" w:rsidRDefault="007779A1" w:rsidP="000B7824">
            <w:pPr>
              <w:spacing w:line="276" w:lineRule="auto"/>
              <w:ind w:right="51"/>
              <w:jc w:val="center"/>
              <w:rPr>
                <w:rFonts w:ascii="Bookman Old Style" w:hAnsi="Bookman Old Style" w:cs="Arial"/>
                <w:bCs/>
                <w:szCs w:val="24"/>
                <w:shd w:val="clear" w:color="auto" w:fill="FFFFFF"/>
              </w:rPr>
            </w:pPr>
            <w:r>
              <w:rPr>
                <w:rFonts w:ascii="Bookman Old Style" w:hAnsi="Bookman Old Style" w:cs="Arial"/>
                <w:bCs/>
                <w:szCs w:val="24"/>
                <w:shd w:val="clear" w:color="auto" w:fill="FFFFFF"/>
              </w:rPr>
              <w:t>3,60</w:t>
            </w:r>
          </w:p>
        </w:tc>
      </w:tr>
      <w:tr w:rsidR="007779A1" w:rsidRPr="00335BBB" w:rsidTr="000B7824">
        <w:trPr>
          <w:trHeight w:val="315"/>
          <w:jc w:val="center"/>
        </w:trPr>
        <w:tc>
          <w:tcPr>
            <w:tcW w:w="1940" w:type="dxa"/>
            <w:noWrap/>
            <w:vAlign w:val="center"/>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Pr>
                <w:rFonts w:ascii="Bookman Old Style" w:hAnsi="Bookman Old Style" w:cs="Arial"/>
                <w:bCs/>
                <w:szCs w:val="24"/>
                <w:shd w:val="clear" w:color="auto" w:fill="FFFFFF"/>
              </w:rPr>
              <w:t>2011</w:t>
            </w:r>
          </w:p>
        </w:tc>
        <w:tc>
          <w:tcPr>
            <w:tcW w:w="2450" w:type="dxa"/>
            <w:tcBorders>
              <w:bottom w:val="single" w:sz="4" w:space="0" w:color="000000"/>
              <w:right w:val="single" w:sz="4" w:space="0" w:color="000000"/>
            </w:tcBorders>
            <w:shd w:val="clear" w:color="auto" w:fill="auto"/>
            <w:noWrap/>
            <w:vAlign w:val="bottom"/>
          </w:tcPr>
          <w:p w:rsidR="007779A1" w:rsidRPr="007A662D"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21,65%</w:t>
            </w:r>
          </w:p>
        </w:tc>
        <w:tc>
          <w:tcPr>
            <w:tcW w:w="2450" w:type="dxa"/>
            <w:vAlign w:val="bottom"/>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Pr>
                <w:rFonts w:ascii="Bookman Old Style" w:hAnsi="Bookman Old Style" w:cs="Arial"/>
                <w:bCs/>
                <w:szCs w:val="24"/>
                <w:shd w:val="clear" w:color="auto" w:fill="FFFFFF"/>
              </w:rPr>
              <w:t>4,00</w:t>
            </w:r>
          </w:p>
        </w:tc>
      </w:tr>
      <w:tr w:rsidR="007779A1" w:rsidRPr="00335BBB" w:rsidTr="000B7824">
        <w:trPr>
          <w:trHeight w:val="315"/>
          <w:jc w:val="center"/>
        </w:trPr>
        <w:tc>
          <w:tcPr>
            <w:tcW w:w="1940" w:type="dxa"/>
            <w:noWrap/>
            <w:vAlign w:val="center"/>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2012</w:t>
            </w:r>
          </w:p>
        </w:tc>
        <w:tc>
          <w:tcPr>
            <w:tcW w:w="2450" w:type="dxa"/>
            <w:tcBorders>
              <w:bottom w:val="single" w:sz="4" w:space="0" w:color="000000"/>
              <w:right w:val="single" w:sz="4" w:space="0" w:color="000000"/>
            </w:tcBorders>
            <w:shd w:val="clear" w:color="auto" w:fill="auto"/>
            <w:noWrap/>
            <w:vAlign w:val="bottom"/>
          </w:tcPr>
          <w:p w:rsidR="007779A1" w:rsidRPr="007A662D" w:rsidRDefault="007779A1" w:rsidP="000B7824">
            <w:pPr>
              <w:spacing w:line="276" w:lineRule="auto"/>
              <w:ind w:right="51"/>
              <w:jc w:val="center"/>
              <w:rPr>
                <w:rFonts w:ascii="Bookman Old Style" w:hAnsi="Bookman Old Style" w:cs="Arial"/>
                <w:bCs/>
                <w:color w:val="FF0000"/>
                <w:szCs w:val="24"/>
                <w:shd w:val="clear" w:color="auto" w:fill="FFFFFF"/>
              </w:rPr>
            </w:pPr>
            <w:r w:rsidRPr="00335BBB">
              <w:rPr>
                <w:rFonts w:ascii="Bookman Old Style" w:hAnsi="Bookman Old Style" w:cs="Arial"/>
                <w:bCs/>
                <w:szCs w:val="24"/>
                <w:shd w:val="clear" w:color="auto" w:fill="FFFFFF"/>
              </w:rPr>
              <w:t>17,10%</w:t>
            </w:r>
          </w:p>
        </w:tc>
        <w:tc>
          <w:tcPr>
            <w:tcW w:w="2450" w:type="dxa"/>
            <w:vAlign w:val="bottom"/>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5,8</w:t>
            </w:r>
            <w:r>
              <w:rPr>
                <w:rFonts w:ascii="Bookman Old Style" w:hAnsi="Bookman Old Style" w:cs="Arial"/>
                <w:bCs/>
                <w:szCs w:val="24"/>
                <w:shd w:val="clear" w:color="auto" w:fill="FFFFFF"/>
              </w:rPr>
              <w:t>1</w:t>
            </w:r>
          </w:p>
        </w:tc>
      </w:tr>
      <w:tr w:rsidR="007779A1" w:rsidRPr="00335BBB" w:rsidTr="000B7824">
        <w:trPr>
          <w:trHeight w:val="315"/>
          <w:jc w:val="center"/>
        </w:trPr>
        <w:tc>
          <w:tcPr>
            <w:tcW w:w="1940" w:type="dxa"/>
            <w:noWrap/>
            <w:vAlign w:val="center"/>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2013</w:t>
            </w:r>
          </w:p>
        </w:tc>
        <w:tc>
          <w:tcPr>
            <w:tcW w:w="2450" w:type="dxa"/>
            <w:tcBorders>
              <w:bottom w:val="single" w:sz="4" w:space="0" w:color="000000"/>
              <w:right w:val="single" w:sz="4" w:space="0" w:color="000000"/>
            </w:tcBorders>
            <w:shd w:val="clear" w:color="auto" w:fill="auto"/>
            <w:noWrap/>
            <w:vAlign w:val="bottom"/>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19,14%</w:t>
            </w:r>
          </w:p>
        </w:tc>
        <w:tc>
          <w:tcPr>
            <w:tcW w:w="2450" w:type="dxa"/>
            <w:vAlign w:val="bottom"/>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4,02</w:t>
            </w:r>
          </w:p>
        </w:tc>
      </w:tr>
      <w:tr w:rsidR="007779A1" w:rsidRPr="00335BBB" w:rsidTr="000B7824">
        <w:trPr>
          <w:trHeight w:val="300"/>
          <w:jc w:val="center"/>
        </w:trPr>
        <w:tc>
          <w:tcPr>
            <w:tcW w:w="1940" w:type="dxa"/>
            <w:noWrap/>
            <w:vAlign w:val="center"/>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2014</w:t>
            </w:r>
          </w:p>
        </w:tc>
        <w:tc>
          <w:tcPr>
            <w:tcW w:w="2450" w:type="dxa"/>
            <w:tcBorders>
              <w:bottom w:val="single" w:sz="4" w:space="0" w:color="000000"/>
              <w:right w:val="single" w:sz="4" w:space="0" w:color="000000"/>
            </w:tcBorders>
            <w:shd w:val="clear" w:color="auto" w:fill="auto"/>
            <w:noWrap/>
            <w:vAlign w:val="bottom"/>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16,26%</w:t>
            </w:r>
          </w:p>
        </w:tc>
        <w:tc>
          <w:tcPr>
            <w:tcW w:w="2450" w:type="dxa"/>
            <w:vAlign w:val="bottom"/>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4,50</w:t>
            </w:r>
          </w:p>
        </w:tc>
      </w:tr>
      <w:tr w:rsidR="007779A1" w:rsidRPr="00335BBB" w:rsidTr="000B7824">
        <w:trPr>
          <w:trHeight w:val="300"/>
          <w:jc w:val="center"/>
        </w:trPr>
        <w:tc>
          <w:tcPr>
            <w:tcW w:w="1940" w:type="dxa"/>
            <w:noWrap/>
            <w:vAlign w:val="center"/>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2015</w:t>
            </w:r>
          </w:p>
        </w:tc>
        <w:tc>
          <w:tcPr>
            <w:tcW w:w="2450" w:type="dxa"/>
            <w:tcBorders>
              <w:bottom w:val="single" w:sz="8" w:space="0" w:color="000000"/>
              <w:right w:val="single" w:sz="4" w:space="0" w:color="000000"/>
            </w:tcBorders>
            <w:shd w:val="clear" w:color="auto" w:fill="auto"/>
            <w:noWrap/>
            <w:vAlign w:val="bottom"/>
            <w:hideMark/>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15,20%</w:t>
            </w:r>
          </w:p>
        </w:tc>
        <w:tc>
          <w:tcPr>
            <w:tcW w:w="2450" w:type="dxa"/>
            <w:vAlign w:val="bottom"/>
          </w:tcPr>
          <w:p w:rsidR="007779A1" w:rsidRPr="00335BBB" w:rsidRDefault="007779A1" w:rsidP="000B7824">
            <w:pPr>
              <w:spacing w:line="276" w:lineRule="auto"/>
              <w:ind w:right="51"/>
              <w:jc w:val="center"/>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4,60</w:t>
            </w:r>
          </w:p>
        </w:tc>
      </w:tr>
    </w:tbl>
    <w:p w:rsidR="007779A1" w:rsidRPr="00335BBB" w:rsidRDefault="007779A1" w:rsidP="007779A1">
      <w:pPr>
        <w:spacing w:line="276" w:lineRule="auto"/>
        <w:ind w:right="51"/>
        <w:rPr>
          <w:rFonts w:ascii="Bookman Old Style" w:hAnsi="Bookman Old Style" w:cs="Arial"/>
          <w:bCs/>
          <w:szCs w:val="24"/>
          <w:shd w:val="clear" w:color="auto" w:fill="FFFFFF"/>
        </w:rPr>
      </w:pPr>
      <w:bookmarkStart w:id="1" w:name="OLE_LINK1"/>
      <w:r w:rsidRPr="00335BBB">
        <w:rPr>
          <w:rFonts w:ascii="Bookman Old Style" w:hAnsi="Bookman Old Style" w:cs="Arial"/>
          <w:bCs/>
          <w:i/>
          <w:szCs w:val="24"/>
          <w:shd w:val="clear" w:color="auto" w:fill="FFFFFF"/>
        </w:rPr>
        <w:t>Fuente: Secretaría de Hacienda distrital</w:t>
      </w:r>
      <w:bookmarkEnd w:id="1"/>
      <w:r w:rsidRPr="00335BBB">
        <w:rPr>
          <w:rFonts w:ascii="Bookman Old Style" w:hAnsi="Bookman Old Style" w:cs="Arial"/>
          <w:bCs/>
          <w:szCs w:val="24"/>
          <w:shd w:val="clear" w:color="auto" w:fill="FFFFFF"/>
        </w:rPr>
        <w:t>.</w:t>
      </w:r>
      <w:r>
        <w:rPr>
          <w:rFonts w:ascii="Bookman Old Style" w:hAnsi="Bookman Old Style" w:cs="Arial"/>
          <w:bCs/>
          <w:szCs w:val="24"/>
          <w:shd w:val="clear" w:color="auto" w:fill="FFFFFF"/>
        </w:rPr>
        <w:t xml:space="preserve"> - </w:t>
      </w:r>
      <w:proofErr w:type="spellStart"/>
      <w:r>
        <w:rPr>
          <w:rFonts w:ascii="Bookman Old Style" w:hAnsi="Bookman Old Style" w:cs="Arial"/>
          <w:bCs/>
          <w:szCs w:val="24"/>
          <w:shd w:val="clear" w:color="auto" w:fill="FFFFFF"/>
        </w:rPr>
        <w:t>Banrep</w:t>
      </w:r>
      <w:proofErr w:type="spellEnd"/>
      <w:r w:rsidRPr="00335BBB">
        <w:rPr>
          <w:rFonts w:ascii="Bookman Old Style" w:hAnsi="Bookman Old Style" w:cs="Arial"/>
          <w:bCs/>
          <w:szCs w:val="24"/>
          <w:shd w:val="clear" w:color="auto" w:fill="FFFFFF"/>
        </w:rPr>
        <w:tab/>
      </w:r>
      <w:r w:rsidRPr="00335BBB">
        <w:rPr>
          <w:rFonts w:ascii="Bookman Old Style" w:hAnsi="Bookman Old Style" w:cs="Arial"/>
          <w:bCs/>
          <w:szCs w:val="24"/>
          <w:shd w:val="clear" w:color="auto" w:fill="FFFFFF"/>
        </w:rPr>
        <w:tab/>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El gráfico evidencia la brecha señalada entre el crecimiento del salario mínimo –SMMLV con relación al crecimiento de los avalúos catastrales en Bogotá D.C., aplicados a los contribuyentes por la Administración en materia de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(Año base 2012).</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rPr>
          <w:rFonts w:ascii="Bookman Old Style" w:hAnsi="Bookman Old Style" w:cs="Arial"/>
          <w:b/>
          <w:bCs/>
          <w:szCs w:val="24"/>
          <w:shd w:val="clear" w:color="auto" w:fill="FFFFFF"/>
        </w:rPr>
      </w:pPr>
      <w:r>
        <w:rPr>
          <w:noProof/>
          <w:lang w:val="es-CO" w:eastAsia="es-CO"/>
        </w:rPr>
        <w:lastRenderedPageBreak/>
        <w:drawing>
          <wp:inline distT="0" distB="0" distL="0" distR="0" wp14:anchorId="42A9E229" wp14:editId="0A56282C">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Dado que el porcentaje de incremento aplicado al SMMLV, que sirve de punto de referencia para aumentar el salario de todos los empleados y trabajadores del país, y por ende fijar su ingreso, no crece en igual pr</w:t>
      </w:r>
      <w:r w:rsidRPr="00335BBB">
        <w:rPr>
          <w:rFonts w:ascii="Bookman Old Style" w:hAnsi="Bookman Old Style" w:cs="Arial"/>
          <w:bCs/>
          <w:szCs w:val="24"/>
          <w:shd w:val="clear" w:color="auto" w:fill="FFFFFF"/>
        </w:rPr>
        <w:t>o</w:t>
      </w:r>
      <w:r w:rsidRPr="00335BBB">
        <w:rPr>
          <w:rFonts w:ascii="Bookman Old Style" w:hAnsi="Bookman Old Style" w:cs="Arial"/>
          <w:bCs/>
          <w:szCs w:val="24"/>
          <w:shd w:val="clear" w:color="auto" w:fill="FFFFFF"/>
        </w:rPr>
        <w:t>porción al incremento del cobro que en Bogotá D.C. se ha venido apl</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 xml:space="preserve">cando al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se comprende con claridad que dicho tributo  impacta y merma de manera negativa el bolsillo de los bogot</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nos, en especial de aquellos que ostentan como único ingreso su salario o su pensión, en razón de la creciente brecha entre las dos variables, la cual se acrecienta año a año.</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Default="007779A1" w:rsidP="007779A1">
      <w:pPr>
        <w:spacing w:line="276" w:lineRule="auto"/>
        <w:ind w:right="51"/>
        <w:rPr>
          <w:rFonts w:ascii="Bookman Old Style" w:hAnsi="Bookman Old Style" w:cs="Arial"/>
          <w:b/>
          <w:bCs/>
          <w:szCs w:val="24"/>
          <w:shd w:val="clear" w:color="auto" w:fill="FFFFFF"/>
        </w:rPr>
      </w:pPr>
      <w:r w:rsidRPr="00335BBB">
        <w:rPr>
          <w:rFonts w:ascii="Bookman Old Style" w:hAnsi="Bookman Old Style" w:cs="Arial"/>
          <w:b/>
          <w:bCs/>
          <w:szCs w:val="24"/>
          <w:highlight w:val="red"/>
          <w:shd w:val="clear" w:color="auto" w:fill="FFFFFF"/>
        </w:rPr>
        <w:t>EJEMPLO</w:t>
      </w:r>
    </w:p>
    <w:p w:rsidR="007779A1" w:rsidRDefault="007779A1" w:rsidP="007779A1">
      <w:pPr>
        <w:spacing w:line="276" w:lineRule="auto"/>
        <w:ind w:right="51"/>
        <w:jc w:val="both"/>
        <w:rPr>
          <w:rFonts w:ascii="Bookman Old Style" w:hAnsi="Bookman Old Style" w:cs="Arial"/>
          <w:b/>
          <w:bCs/>
          <w:szCs w:val="24"/>
          <w:shd w:val="clear" w:color="auto" w:fill="FFFFFF"/>
        </w:rPr>
      </w:pPr>
    </w:p>
    <w:p w:rsidR="007779A1" w:rsidRPr="00AC5FAB" w:rsidRDefault="007779A1" w:rsidP="007779A1">
      <w:pPr>
        <w:spacing w:line="276" w:lineRule="auto"/>
        <w:ind w:right="51"/>
        <w:jc w:val="both"/>
        <w:rPr>
          <w:rFonts w:ascii="Bookman Old Style" w:hAnsi="Bookman Old Style" w:cs="Arial"/>
          <w:bCs/>
          <w:szCs w:val="24"/>
          <w:shd w:val="clear" w:color="auto" w:fill="FFFFFF"/>
        </w:rPr>
      </w:pPr>
      <w:r>
        <w:rPr>
          <w:rFonts w:ascii="Bookman Old Style" w:hAnsi="Bookman Old Style" w:cs="Arial"/>
          <w:bCs/>
          <w:szCs w:val="24"/>
          <w:shd w:val="clear" w:color="auto" w:fill="FFFFFF"/>
        </w:rPr>
        <w:t>C</w:t>
      </w:r>
      <w:r w:rsidRPr="00AC5FAB">
        <w:rPr>
          <w:rFonts w:ascii="Bookman Old Style" w:hAnsi="Bookman Old Style" w:cs="Arial"/>
          <w:bCs/>
          <w:szCs w:val="24"/>
          <w:shd w:val="clear" w:color="auto" w:fill="FFFFFF"/>
        </w:rPr>
        <w:t xml:space="preserve">omo corolario podría decirse que de mantenerse las anteriores tendencias, el poder adquisitivo del contribuyente año a año se ve reducido mientras el valor del impuesto va creciendo, con lo cual llegará el momento en que para poder pagar el impuesto predial se verá en la obligación de vender el predio. </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t>LA ESCASEZ DE SUELO</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El origen directo del problema se encuentra en la falta de suelo para pr</w:t>
      </w:r>
      <w:r w:rsidRPr="00335BBB">
        <w:rPr>
          <w:rFonts w:ascii="Bookman Old Style" w:hAnsi="Bookman Old Style" w:cs="Arial"/>
          <w:bCs/>
          <w:szCs w:val="24"/>
          <w:shd w:val="clear" w:color="auto" w:fill="FFFFFF"/>
        </w:rPr>
        <w:t>o</w:t>
      </w:r>
      <w:r w:rsidRPr="00335BBB">
        <w:rPr>
          <w:rFonts w:ascii="Bookman Old Style" w:hAnsi="Bookman Old Style" w:cs="Arial"/>
          <w:bCs/>
          <w:szCs w:val="24"/>
          <w:shd w:val="clear" w:color="auto" w:fill="FFFFFF"/>
        </w:rPr>
        <w:t xml:space="preserve">yectos de construcción en la ciudad, lo cual lleva a los especuladores a </w:t>
      </w:r>
      <w:r w:rsidRPr="00335BBB">
        <w:rPr>
          <w:rFonts w:ascii="Bookman Old Style" w:hAnsi="Bookman Old Style" w:cs="Arial"/>
          <w:bCs/>
          <w:szCs w:val="24"/>
          <w:shd w:val="clear" w:color="auto" w:fill="FFFFFF"/>
        </w:rPr>
        <w:lastRenderedPageBreak/>
        <w:t>presionar, gracias al libre juego de la oferta y la demanda, el incremento generalizado de los precios del sector inmobiliario.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En la actualidad la política en materia fiscal que rige para la ciudad de Bogotá D.C. se encuentra </w:t>
      </w:r>
      <w:proofErr w:type="spellStart"/>
      <w:r w:rsidRPr="00335BBB">
        <w:rPr>
          <w:rFonts w:ascii="Bookman Old Style" w:hAnsi="Bookman Old Style" w:cs="Arial"/>
          <w:bCs/>
          <w:szCs w:val="24"/>
          <w:shd w:val="clear" w:color="auto" w:fill="FFFFFF"/>
        </w:rPr>
        <w:t>normatizada</w:t>
      </w:r>
      <w:proofErr w:type="spellEnd"/>
      <w:r w:rsidRPr="00335BBB">
        <w:rPr>
          <w:rFonts w:ascii="Bookman Old Style" w:hAnsi="Bookman Old Style" w:cs="Arial"/>
          <w:bCs/>
          <w:szCs w:val="24"/>
          <w:shd w:val="clear" w:color="auto" w:fill="FFFFFF"/>
        </w:rPr>
        <w:t xml:space="preserve"> en los diferentes acuerdos y d</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 xml:space="preserve">cretos y apunta, como objetivo principal, a maximizar el recaudo. </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esta manera, para la Administración Distrital, todos los contribuye</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 xml:space="preserve">tes del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son potenciales vendedores en el me</w:t>
      </w:r>
      <w:r w:rsidRPr="00335BBB">
        <w:rPr>
          <w:rFonts w:ascii="Bookman Old Style" w:hAnsi="Bookman Old Style" w:cs="Arial"/>
          <w:bCs/>
          <w:szCs w:val="24"/>
          <w:shd w:val="clear" w:color="auto" w:fill="FFFFFF"/>
        </w:rPr>
        <w:t>r</w:t>
      </w:r>
      <w:r w:rsidRPr="00335BBB">
        <w:rPr>
          <w:rFonts w:ascii="Bookman Old Style" w:hAnsi="Bookman Old Style" w:cs="Arial"/>
          <w:bCs/>
          <w:szCs w:val="24"/>
          <w:shd w:val="clear" w:color="auto" w:fill="FFFFFF"/>
        </w:rPr>
        <w:t>cado de capitales. Y como tales, se les cobra de acuerdo a la dinámica de crecimiento del sector inmobiliario.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Esta política fiscalista y alcabalera desconoce que una mayoría signific</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tiva de contribuyentes no adquieren sus predios como una inversión de capital, susceptible de ser transada en cualquier momento en el mercado de finca raíz, sino que le dan otros destinos como el de vivienda familiar.</w:t>
      </w:r>
    </w:p>
    <w:p w:rsidR="007779A1" w:rsidRPr="00335BBB" w:rsidRDefault="007779A1" w:rsidP="007779A1">
      <w:pPr>
        <w:rPr>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Este concepto, que determina que la base gravable del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sea el avalúo catastral y que en dicho avalúo se considere al predio como un bien para el mercado de capitales, distorsiona el merc</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do, pues los usos y destinos de los predios son diferentes. Para los co</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tribuyentes, vender el predio no es la única opción ni la más importante dentro de las posibilidades de uso del inmueble de su propiedad cuando este es el techo de su hogar.</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Dado que el valor del avalúo catastral recoge la dinámica del sector i</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mobiliario; este afecta positivamente a los directos beneficiarios de la e</w:t>
      </w:r>
      <w:r w:rsidRPr="00335BBB">
        <w:rPr>
          <w:rFonts w:ascii="Bookman Old Style" w:hAnsi="Bookman Old Style" w:cs="Arial"/>
          <w:bCs/>
          <w:szCs w:val="24"/>
          <w:shd w:val="clear" w:color="auto" w:fill="FFFFFF"/>
        </w:rPr>
        <w:t>s</w:t>
      </w:r>
      <w:r w:rsidRPr="00335BBB">
        <w:rPr>
          <w:rFonts w:ascii="Bookman Old Style" w:hAnsi="Bookman Old Style" w:cs="Arial"/>
          <w:bCs/>
          <w:szCs w:val="24"/>
          <w:shd w:val="clear" w:color="auto" w:fill="FFFFFF"/>
        </w:rPr>
        <w:t xml:space="preserve">peculación inmobiliaria, y negativamente a los propietarios de los predios cuyo objetivo NO es el aprovechamiento de la tendencia especulativa.  </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Para la vigencia 2015, el 60% de los predios de la ciudad incrementaron su avalúo catastral por encima del 10% anual, mientras que el salario mínimo de los colombianos se incrementó tan solo en un 4.6%. Estas c</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fras son acumulativas y generan una brecha que crece año a año.</w:t>
      </w:r>
    </w:p>
    <w:p w:rsidR="007779A1" w:rsidRDefault="007779A1" w:rsidP="007779A1">
      <w:pPr>
        <w:spacing w:line="276" w:lineRule="auto"/>
        <w:ind w:right="51"/>
        <w:jc w:val="both"/>
        <w:rPr>
          <w:rFonts w:ascii="Bookman Old Style" w:hAnsi="Bookman Old Style" w:cs="Arial"/>
          <w:b/>
          <w:bCs/>
          <w:szCs w:val="24"/>
          <w:shd w:val="clear" w:color="auto" w:fill="FFFFFF"/>
        </w:rPr>
      </w:pPr>
    </w:p>
    <w:p w:rsidR="007779A1"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numPr>
          <w:ilvl w:val="0"/>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shd w:val="clear" w:color="auto" w:fill="FFFFFF"/>
        </w:rPr>
        <w:lastRenderedPageBreak/>
        <w:t>ALTERNATIVAS DE SOLUCIÓN PROPUESTAS</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360"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Estamos ante un problema de lobos y ovejas. ¿Cómo proteger a las ovejas? Frente al vaivén del mercado inmobiliario los propietarios o poseedores de predios que los utilizan como única vivienda familiar se muestran totalme</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 xml:space="preserve">te indefensos. </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u w:val="single"/>
          <w:shd w:val="clear" w:color="auto" w:fill="FFFFFF"/>
        </w:rPr>
        <w:t>PROPUESTA 1</w:t>
      </w:r>
      <w:r w:rsidRPr="00335BBB">
        <w:rPr>
          <w:rFonts w:ascii="Bookman Old Style" w:hAnsi="Bookman Old Style" w:cs="Arial"/>
          <w:b/>
          <w:bCs/>
          <w:szCs w:val="24"/>
          <w:shd w:val="clear" w:color="auto" w:fill="FFFFFF"/>
        </w:rPr>
        <w:t>. Definir el avalúo catastral de los predios con base en su productividad.</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lo que se trata es considerar a cada predio no como un bien transable y redimible, sino como una inversión permanente susceptible de generar rendimientos financieros, es decir una inversión generadora de renta.</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 esta manera, el incremento de los avalúos catastrales se haría con base en el crecimiento del promedio de los cánones de arrendamiento y no con la dinámica de crecimiento basada en el mercado inmobiliario.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Este alivio en la curva de crecimiento del avaluó del </w:t>
      </w:r>
      <w:r w:rsidRPr="00F94282">
        <w:rPr>
          <w:rFonts w:ascii="Bookman Old Style" w:hAnsi="Bookman Old Style" w:cs="Arial"/>
          <w:bCs/>
          <w:i/>
          <w:szCs w:val="24"/>
          <w:shd w:val="clear" w:color="auto" w:fill="FFFFFF"/>
        </w:rPr>
        <w:t>impuesto predial un</w:t>
      </w:r>
      <w:r w:rsidRPr="00F94282">
        <w:rPr>
          <w:rFonts w:ascii="Bookman Old Style" w:hAnsi="Bookman Old Style" w:cs="Arial"/>
          <w:bCs/>
          <w:i/>
          <w:szCs w:val="24"/>
          <w:shd w:val="clear" w:color="auto" w:fill="FFFFFF"/>
        </w:rPr>
        <w:t>i</w:t>
      </w:r>
      <w:r w:rsidRPr="00F94282">
        <w:rPr>
          <w:rFonts w:ascii="Bookman Old Style" w:hAnsi="Bookman Old Style" w:cs="Arial"/>
          <w:bCs/>
          <w:i/>
          <w:szCs w:val="24"/>
          <w:shd w:val="clear" w:color="auto" w:fill="FFFFFF"/>
        </w:rPr>
        <w:t xml:space="preserve">ficado </w:t>
      </w:r>
      <w:r w:rsidRPr="00335BBB">
        <w:rPr>
          <w:rFonts w:ascii="Bookman Old Style" w:hAnsi="Bookman Old Style" w:cs="Arial"/>
          <w:bCs/>
          <w:szCs w:val="24"/>
          <w:shd w:val="clear" w:color="auto" w:fill="FFFFFF"/>
        </w:rPr>
        <w:t>es más acorde a las condiciones reales de productividad de los predios y coherente con las condiciones de crecimiento macroeconómico. La posibilidad del predio de ser arrendado reemplazaría al criterio de la posibilidad de ser vendido que se aplica en la actualidad para determinar el incremento de los avalúos catastrales del predio.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El monto máximo de un canon de arrendamiento está fijado por la ley en un 1% del valor del avalúo comercial del predio. Lo que equivale a una tasa efectiva anual del 12.7%, la cual es superior a la tasa de interés de  referencia del Banco de la República fijada en la actualidad en 4.5%.</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El porcentaje del avalúo comercial que los arrendatarios están dispuestos a pagar como canon de arrendamiento en determinada zona de la ci</w:t>
      </w:r>
      <w:r w:rsidRPr="00335BBB">
        <w:rPr>
          <w:rFonts w:ascii="Bookman Old Style" w:hAnsi="Bookman Old Style" w:cs="Arial"/>
          <w:bCs/>
          <w:szCs w:val="24"/>
          <w:shd w:val="clear" w:color="auto" w:fill="FFFFFF"/>
        </w:rPr>
        <w:t>u</w:t>
      </w:r>
      <w:r w:rsidRPr="00335BBB">
        <w:rPr>
          <w:rFonts w:ascii="Bookman Old Style" w:hAnsi="Bookman Old Style" w:cs="Arial"/>
          <w:bCs/>
          <w:szCs w:val="24"/>
          <w:shd w:val="clear" w:color="auto" w:fill="FFFFFF"/>
        </w:rPr>
        <w:t>dad, marcaría el criterio del incremento del avalúo catastral de los i</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 xml:space="preserve">muebles año a año para esa zona. </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lastRenderedPageBreak/>
        <w:t>Si bien esta opción es altamente favorable a los propósitos del presente proyecto, ha de ser claro que la competencia para acometer una modif</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cación estructural del avalúo catastral es del legislador, y excede por e</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de, las atribuciones del concejo de la ciudad.</w:t>
      </w:r>
      <w:r>
        <w:rPr>
          <w:rFonts w:ascii="Bookman Old Style" w:hAnsi="Bookman Old Style" w:cs="Arial"/>
          <w:bCs/>
          <w:szCs w:val="24"/>
          <w:shd w:val="clear" w:color="auto" w:fill="FFFFFF"/>
        </w:rPr>
        <w:t xml:space="preserve"> </w:t>
      </w:r>
      <w:r w:rsidRPr="00F94282">
        <w:rPr>
          <w:rFonts w:ascii="Bookman Old Style" w:hAnsi="Bookman Old Style" w:cs="Arial"/>
          <w:bCs/>
          <w:szCs w:val="24"/>
          <w:highlight w:val="red"/>
          <w:shd w:val="clear" w:color="auto" w:fill="FFFFFF"/>
        </w:rPr>
        <w:t xml:space="preserve">NORMA </w:t>
      </w:r>
    </w:p>
    <w:p w:rsidR="007779A1" w:rsidRPr="00335BBB" w:rsidRDefault="007779A1" w:rsidP="007779A1">
      <w:pPr>
        <w:spacing w:line="276" w:lineRule="auto"/>
        <w:ind w:left="360" w:right="51"/>
        <w:jc w:val="both"/>
        <w:rPr>
          <w:rFonts w:ascii="Bookman Old Style" w:hAnsi="Bookman Old Style" w:cs="Arial"/>
          <w:bCs/>
          <w:szCs w:val="24"/>
          <w:shd w:val="clear" w:color="auto" w:fill="FFFFFF"/>
        </w:rPr>
      </w:pP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u w:val="single"/>
          <w:shd w:val="clear" w:color="auto" w:fill="FFFFFF"/>
        </w:rPr>
        <w:t>PROPUESTA 2</w:t>
      </w:r>
      <w:r w:rsidRPr="00335BBB">
        <w:rPr>
          <w:rFonts w:ascii="Bookman Old Style" w:hAnsi="Bookman Old Style" w:cs="Arial"/>
          <w:b/>
          <w:bCs/>
          <w:szCs w:val="24"/>
          <w:shd w:val="clear" w:color="auto" w:fill="FFFFFF"/>
        </w:rPr>
        <w:t>. Disminuir la tarifa en el 0.5 por mil (1000) del Impuesto Predial Unificado para los contribuyentes con único pr</w:t>
      </w:r>
      <w:r w:rsidRPr="00335BBB">
        <w:rPr>
          <w:rFonts w:ascii="Bookman Old Style" w:hAnsi="Bookman Old Style" w:cs="Arial"/>
          <w:b/>
          <w:bCs/>
          <w:szCs w:val="24"/>
          <w:shd w:val="clear" w:color="auto" w:fill="FFFFFF"/>
        </w:rPr>
        <w:t>e</w:t>
      </w:r>
      <w:r w:rsidRPr="00335BBB">
        <w:rPr>
          <w:rFonts w:ascii="Bookman Old Style" w:hAnsi="Bookman Old Style" w:cs="Arial"/>
          <w:b/>
          <w:bCs/>
          <w:szCs w:val="24"/>
          <w:shd w:val="clear" w:color="auto" w:fill="FFFFFF"/>
        </w:rPr>
        <w:t>dio residencial y aumentar en igual proporción para los contrib</w:t>
      </w:r>
      <w:r w:rsidRPr="00335BBB">
        <w:rPr>
          <w:rFonts w:ascii="Bookman Old Style" w:hAnsi="Bookman Old Style" w:cs="Arial"/>
          <w:b/>
          <w:bCs/>
          <w:szCs w:val="24"/>
          <w:shd w:val="clear" w:color="auto" w:fill="FFFFFF"/>
        </w:rPr>
        <w:t>u</w:t>
      </w:r>
      <w:r w:rsidRPr="00335BBB">
        <w:rPr>
          <w:rFonts w:ascii="Bookman Old Style" w:hAnsi="Bookman Old Style" w:cs="Arial"/>
          <w:b/>
          <w:bCs/>
          <w:szCs w:val="24"/>
          <w:shd w:val="clear" w:color="auto" w:fill="FFFFFF"/>
        </w:rPr>
        <w:t>yentes con más de un predio.</w:t>
      </w:r>
    </w:p>
    <w:p w:rsidR="007779A1" w:rsidRPr="00335BBB" w:rsidRDefault="007779A1" w:rsidP="007779A1">
      <w:pPr>
        <w:spacing w:line="276" w:lineRule="auto"/>
        <w:ind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 un hecho que un gran número de bogotanos utilizan sus predios c</w:t>
      </w:r>
      <w:r w:rsidRPr="00335BBB">
        <w:rPr>
          <w:rFonts w:ascii="Bookman Old Style" w:hAnsi="Bookman Old Style" w:cs="Arial"/>
          <w:bCs/>
          <w:szCs w:val="24"/>
          <w:shd w:val="clear" w:color="auto" w:fill="FFFFFF"/>
        </w:rPr>
        <w:t>o</w:t>
      </w:r>
      <w:r w:rsidRPr="00335BBB">
        <w:rPr>
          <w:rFonts w:ascii="Bookman Old Style" w:hAnsi="Bookman Old Style" w:cs="Arial"/>
          <w:bCs/>
          <w:szCs w:val="24"/>
          <w:shd w:val="clear" w:color="auto" w:fill="FFFFFF"/>
        </w:rPr>
        <w:t>mo vivienda familiar y, normalmente, permanecen ajenos a la condición de vendedores y participantes del mercado inmobiliario, por cuanto su interés primordial es desarrollar su vida de manera habitual dentro del mismo.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 xml:space="preserve">Estos contribuyentes del </w:t>
      </w:r>
      <w:r w:rsidRPr="00335BBB">
        <w:rPr>
          <w:rFonts w:ascii="Bookman Old Style" w:hAnsi="Bookman Old Style" w:cs="Arial"/>
          <w:bCs/>
          <w:i/>
          <w:szCs w:val="24"/>
          <w:shd w:val="clear" w:color="auto" w:fill="FFFFFF"/>
        </w:rPr>
        <w:t>impuesto predial unificado</w:t>
      </w:r>
      <w:r w:rsidRPr="00335BBB">
        <w:rPr>
          <w:rFonts w:ascii="Bookman Old Style" w:hAnsi="Bookman Old Style" w:cs="Arial"/>
          <w:bCs/>
          <w:szCs w:val="24"/>
          <w:shd w:val="clear" w:color="auto" w:fill="FFFFFF"/>
        </w:rPr>
        <w:t xml:space="preserve"> se ven seriamente afectados al pagar este tributo, cuando su única fuente de ingresos d</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pende de su salario mensual o de su pensión, puesto como se ha señal</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do con antelación, jamás el ingreso crece a la par del tributo, con lo cual la carga impositiva  para estas personas termina siendo un pesado lastre que mengua su calidad de vida.</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
          <w:bCs/>
          <w:szCs w:val="24"/>
          <w:shd w:val="clear" w:color="auto" w:fill="FFFFFF"/>
        </w:rPr>
      </w:pPr>
      <w:r w:rsidRPr="00335BBB">
        <w:rPr>
          <w:rFonts w:ascii="Bookman Old Style" w:hAnsi="Bookman Old Style" w:cs="Arial"/>
          <w:b/>
          <w:bCs/>
          <w:szCs w:val="24"/>
          <w:highlight w:val="red"/>
          <w:shd w:val="clear" w:color="auto" w:fill="FFFFFF"/>
        </w:rPr>
        <w:t>(</w:t>
      </w:r>
      <w:proofErr w:type="gramStart"/>
      <w:r w:rsidRPr="00335BBB">
        <w:rPr>
          <w:rFonts w:ascii="Bookman Old Style" w:hAnsi="Bookman Old Style" w:cs="Arial"/>
          <w:b/>
          <w:bCs/>
          <w:szCs w:val="24"/>
          <w:highlight w:val="red"/>
          <w:shd w:val="clear" w:color="auto" w:fill="FFFFFF"/>
        </w:rPr>
        <w:t>::::</w:t>
      </w:r>
      <w:proofErr w:type="gramEnd"/>
      <w:r w:rsidRPr="00335BBB">
        <w:rPr>
          <w:rFonts w:ascii="Bookman Old Style" w:hAnsi="Bookman Old Style" w:cs="Arial"/>
          <w:b/>
          <w:bCs/>
          <w:szCs w:val="24"/>
          <w:highlight w:val="red"/>
          <w:shd w:val="clear" w:color="auto" w:fill="FFFFFF"/>
        </w:rPr>
        <w:t xml:space="preserve"> CIFRAS Y ESTADISTICAS DE ARRENDAMIENTO / MULTIPR</w:t>
      </w:r>
      <w:r w:rsidRPr="00335BBB">
        <w:rPr>
          <w:rFonts w:ascii="Bookman Old Style" w:hAnsi="Bookman Old Style" w:cs="Arial"/>
          <w:b/>
          <w:bCs/>
          <w:szCs w:val="24"/>
          <w:highlight w:val="red"/>
          <w:shd w:val="clear" w:color="auto" w:fill="FFFFFF"/>
        </w:rPr>
        <w:t>O</w:t>
      </w:r>
      <w:r w:rsidRPr="00335BBB">
        <w:rPr>
          <w:rFonts w:ascii="Bookman Old Style" w:hAnsi="Bookman Old Style" w:cs="Arial"/>
          <w:b/>
          <w:bCs/>
          <w:szCs w:val="24"/>
          <w:highlight w:val="red"/>
          <w:shd w:val="clear" w:color="auto" w:fill="FFFFFF"/>
        </w:rPr>
        <w:t>PIESTARIOS)</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Por tal razón, esta propuesta busca beneficiar a aquel grupo de contrib</w:t>
      </w:r>
      <w:r w:rsidRPr="00335BBB">
        <w:rPr>
          <w:rFonts w:ascii="Bookman Old Style" w:hAnsi="Bookman Old Style" w:cs="Arial"/>
          <w:bCs/>
          <w:szCs w:val="24"/>
          <w:shd w:val="clear" w:color="auto" w:fill="FFFFFF"/>
        </w:rPr>
        <w:t>u</w:t>
      </w:r>
      <w:r w:rsidRPr="00335BBB">
        <w:rPr>
          <w:rFonts w:ascii="Bookman Old Style" w:hAnsi="Bookman Old Style" w:cs="Arial"/>
          <w:bCs/>
          <w:szCs w:val="24"/>
          <w:shd w:val="clear" w:color="auto" w:fill="FFFFFF"/>
        </w:rPr>
        <w:t>yentes cuyo único predio tiene como finalidad, no la renta, sino la vivie</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da familiar habitual, de manera que para ellos se aplique una reducción tarifaria de 0.5 por mil (o/</w:t>
      </w:r>
      <w:proofErr w:type="spellStart"/>
      <w:r w:rsidRPr="00335BBB">
        <w:rPr>
          <w:rFonts w:ascii="Bookman Old Style" w:hAnsi="Bookman Old Style" w:cs="Arial"/>
          <w:bCs/>
          <w:szCs w:val="24"/>
          <w:shd w:val="clear" w:color="auto" w:fill="FFFFFF"/>
        </w:rPr>
        <w:t>oo</w:t>
      </w:r>
      <w:proofErr w:type="spellEnd"/>
      <w:r w:rsidRPr="00335BBB">
        <w:rPr>
          <w:rFonts w:ascii="Bookman Old Style" w:hAnsi="Bookman Old Style" w:cs="Arial"/>
          <w:bCs/>
          <w:szCs w:val="24"/>
          <w:shd w:val="clear" w:color="auto" w:fill="FFFFFF"/>
        </w:rPr>
        <w:t>)</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 claro que con esta modificación no se solucionan las precarias arcas familiares de estos contribuyentes, pero si ayuda a aliviar la carga que año a año ha venido aumentando en su contra, buscando atenuarla h</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 xml:space="preserve">cia futuro, por cuanto ellos tan solo son meros espectadores del mercado </w:t>
      </w:r>
      <w:r w:rsidRPr="00335BBB">
        <w:rPr>
          <w:rFonts w:ascii="Bookman Old Style" w:hAnsi="Bookman Old Style" w:cs="Arial"/>
          <w:bCs/>
          <w:szCs w:val="24"/>
          <w:shd w:val="clear" w:color="auto" w:fill="FFFFFF"/>
        </w:rPr>
        <w:lastRenderedPageBreak/>
        <w:t>inmobiliario – testigos mudos de la especulación financiera- que les afe</w:t>
      </w:r>
      <w:r w:rsidRPr="00335BBB">
        <w:rPr>
          <w:rFonts w:ascii="Bookman Old Style" w:hAnsi="Bookman Old Style" w:cs="Arial"/>
          <w:bCs/>
          <w:szCs w:val="24"/>
          <w:shd w:val="clear" w:color="auto" w:fill="FFFFFF"/>
        </w:rPr>
        <w:t>c</w:t>
      </w:r>
      <w:r w:rsidRPr="00335BBB">
        <w:rPr>
          <w:rFonts w:ascii="Bookman Old Style" w:hAnsi="Bookman Old Style" w:cs="Arial"/>
          <w:bCs/>
          <w:szCs w:val="24"/>
          <w:shd w:val="clear" w:color="auto" w:fill="FFFFFF"/>
        </w:rPr>
        <w:t>ta gravosamente sin obtener ningún beneficio a cambio.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Con el objetivo de que esta propuesta de equidad social no afecte negat</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vamente los ingresos corrientes del Distrito Capital, se propone a la par de la disminución señalada, efectuar un incremento de la tarifa en el 0.5 por mil (o/</w:t>
      </w:r>
      <w:proofErr w:type="spellStart"/>
      <w:r w:rsidRPr="00335BBB">
        <w:rPr>
          <w:rFonts w:ascii="Bookman Old Style" w:hAnsi="Bookman Old Style" w:cs="Arial"/>
          <w:bCs/>
          <w:szCs w:val="24"/>
          <w:shd w:val="clear" w:color="auto" w:fill="FFFFFF"/>
        </w:rPr>
        <w:t>oo</w:t>
      </w:r>
      <w:proofErr w:type="spellEnd"/>
      <w:r w:rsidRPr="00335BBB">
        <w:rPr>
          <w:rFonts w:ascii="Bookman Old Style" w:hAnsi="Bookman Old Style" w:cs="Arial"/>
          <w:bCs/>
          <w:szCs w:val="24"/>
          <w:shd w:val="clear" w:color="auto" w:fill="FFFFFF"/>
        </w:rPr>
        <w:t>) del Impuesto Predial Unificado para los contribuyentes con más de un predio, independientemente de la categoría en la cual se clas</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fiquen los mismos.</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Esta propuesta implica:</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pStyle w:val="Prrafodelista"/>
        <w:numPr>
          <w:ilvl w:val="0"/>
          <w:numId w:val="7"/>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Identificar y clasificar a los contribuyentes entre “</w:t>
      </w:r>
      <w:proofErr w:type="spellStart"/>
      <w:r w:rsidRPr="00335BBB">
        <w:rPr>
          <w:rFonts w:ascii="Bookman Old Style" w:hAnsi="Bookman Old Style" w:cs="Arial"/>
          <w:bCs/>
          <w:szCs w:val="24"/>
          <w:shd w:val="clear" w:color="auto" w:fill="FFFFFF"/>
        </w:rPr>
        <w:t>monopropiet</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rios</w:t>
      </w:r>
      <w:proofErr w:type="spellEnd"/>
      <w:r w:rsidRPr="00335BBB">
        <w:rPr>
          <w:rFonts w:ascii="Bookman Old Style" w:hAnsi="Bookman Old Style" w:cs="Arial"/>
          <w:bCs/>
          <w:szCs w:val="24"/>
          <w:shd w:val="clear" w:color="auto" w:fill="FFFFFF"/>
        </w:rPr>
        <w:t>” y “</w:t>
      </w:r>
      <w:proofErr w:type="spellStart"/>
      <w:r w:rsidRPr="00335BBB">
        <w:rPr>
          <w:rFonts w:ascii="Bookman Old Style" w:hAnsi="Bookman Old Style" w:cs="Arial"/>
          <w:bCs/>
          <w:szCs w:val="24"/>
          <w:shd w:val="clear" w:color="auto" w:fill="FFFFFF"/>
        </w:rPr>
        <w:t>multipropietarios</w:t>
      </w:r>
      <w:proofErr w:type="spellEnd"/>
      <w:r w:rsidRPr="00335BBB">
        <w:rPr>
          <w:rFonts w:ascii="Bookman Old Style" w:hAnsi="Bookman Old Style" w:cs="Arial"/>
          <w:bCs/>
          <w:szCs w:val="24"/>
          <w:shd w:val="clear" w:color="auto" w:fill="FFFFFF"/>
        </w:rPr>
        <w:t>”.</w:t>
      </w:r>
    </w:p>
    <w:p w:rsidR="007779A1" w:rsidRPr="00335BBB" w:rsidRDefault="007779A1" w:rsidP="007779A1">
      <w:pPr>
        <w:pStyle w:val="Prrafodelista"/>
        <w:spacing w:line="276" w:lineRule="auto"/>
        <w:ind w:left="1428" w:right="51"/>
        <w:jc w:val="both"/>
        <w:rPr>
          <w:rFonts w:ascii="Bookman Old Style" w:hAnsi="Bookman Old Style" w:cs="Arial"/>
          <w:bCs/>
          <w:szCs w:val="24"/>
          <w:shd w:val="clear" w:color="auto" w:fill="FFFFFF"/>
        </w:rPr>
      </w:pPr>
    </w:p>
    <w:p w:rsidR="007779A1" w:rsidRPr="00335BBB" w:rsidRDefault="007779A1" w:rsidP="007779A1">
      <w:pPr>
        <w:pStyle w:val="Prrafodelista"/>
        <w:numPr>
          <w:ilvl w:val="0"/>
          <w:numId w:val="7"/>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Del grupo de “</w:t>
      </w:r>
      <w:proofErr w:type="spellStart"/>
      <w:r w:rsidRPr="00335BBB">
        <w:rPr>
          <w:rFonts w:ascii="Bookman Old Style" w:hAnsi="Bookman Old Style" w:cs="Arial"/>
          <w:bCs/>
          <w:szCs w:val="24"/>
          <w:u w:val="single"/>
          <w:shd w:val="clear" w:color="auto" w:fill="FFFFFF"/>
        </w:rPr>
        <w:t>monopropietarios</w:t>
      </w:r>
      <w:proofErr w:type="spellEnd"/>
      <w:r w:rsidRPr="00335BBB">
        <w:rPr>
          <w:rFonts w:ascii="Bookman Old Style" w:hAnsi="Bookman Old Style" w:cs="Arial"/>
          <w:bCs/>
          <w:szCs w:val="24"/>
          <w:shd w:val="clear" w:color="auto" w:fill="FFFFFF"/>
        </w:rPr>
        <w:t>” verificar a aquellos que corre</w:t>
      </w:r>
      <w:r w:rsidRPr="00335BBB">
        <w:rPr>
          <w:rFonts w:ascii="Bookman Old Style" w:hAnsi="Bookman Old Style" w:cs="Arial"/>
          <w:bCs/>
          <w:szCs w:val="24"/>
          <w:shd w:val="clear" w:color="auto" w:fill="FFFFFF"/>
        </w:rPr>
        <w:t>s</w:t>
      </w:r>
      <w:r w:rsidRPr="00335BBB">
        <w:rPr>
          <w:rFonts w:ascii="Bookman Old Style" w:hAnsi="Bookman Old Style" w:cs="Arial"/>
          <w:bCs/>
          <w:szCs w:val="24"/>
          <w:shd w:val="clear" w:color="auto" w:fill="FFFFFF"/>
        </w:rPr>
        <w:t>pondan a predios destinados únicamente para vivienda familiar, es decir residenciales de carácter urbano o rural.</w:t>
      </w:r>
    </w:p>
    <w:p w:rsidR="007779A1" w:rsidRPr="00335BBB" w:rsidRDefault="007779A1" w:rsidP="007779A1">
      <w:pPr>
        <w:pStyle w:val="Prrafodelista"/>
        <w:rPr>
          <w:rFonts w:ascii="Bookman Old Style" w:hAnsi="Bookman Old Style" w:cs="Arial"/>
          <w:bCs/>
          <w:szCs w:val="24"/>
          <w:shd w:val="clear" w:color="auto" w:fill="FFFFFF"/>
        </w:rPr>
      </w:pPr>
    </w:p>
    <w:p w:rsidR="007779A1" w:rsidRDefault="007779A1" w:rsidP="007779A1">
      <w:pPr>
        <w:pStyle w:val="Prrafodelista"/>
        <w:numPr>
          <w:ilvl w:val="0"/>
          <w:numId w:val="7"/>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Del grupo de “</w:t>
      </w:r>
      <w:proofErr w:type="spellStart"/>
      <w:r w:rsidRPr="00335BBB">
        <w:rPr>
          <w:rFonts w:ascii="Bookman Old Style" w:hAnsi="Bookman Old Style" w:cs="Arial"/>
          <w:bCs/>
          <w:szCs w:val="24"/>
          <w:u w:val="single"/>
          <w:shd w:val="clear" w:color="auto" w:fill="FFFFFF"/>
        </w:rPr>
        <w:t>multipropietarios</w:t>
      </w:r>
      <w:proofErr w:type="spellEnd"/>
      <w:r w:rsidRPr="00335BBB">
        <w:rPr>
          <w:rFonts w:ascii="Bookman Old Style" w:hAnsi="Bookman Old Style" w:cs="Arial"/>
          <w:bCs/>
          <w:szCs w:val="24"/>
          <w:shd w:val="clear" w:color="auto" w:fill="FFFFFF"/>
        </w:rPr>
        <w:t>” discriminar el número total de predios por cada contribuyente, para que de manera simple le i</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dique a la administración el destinado por él para vivienda fam</w:t>
      </w:r>
      <w:r w:rsidRPr="00335BBB">
        <w:rPr>
          <w:rFonts w:ascii="Bookman Old Style" w:hAnsi="Bookman Old Style" w:cs="Arial"/>
          <w:bCs/>
          <w:szCs w:val="24"/>
          <w:shd w:val="clear" w:color="auto" w:fill="FFFFFF"/>
        </w:rPr>
        <w:t>i</w:t>
      </w:r>
      <w:r w:rsidRPr="00335BBB">
        <w:rPr>
          <w:rFonts w:ascii="Bookman Old Style" w:hAnsi="Bookman Old Style" w:cs="Arial"/>
          <w:bCs/>
          <w:szCs w:val="24"/>
          <w:shd w:val="clear" w:color="auto" w:fill="FFFFFF"/>
        </w:rPr>
        <w:t>liar, es decir residencial de carácter urbano o rural, y por ende b</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neficiario de la señalada reducción tarifaria. Los restantes predios se presumen destinados para la renta, independientemente que sean residenciales y por lo tanto acreedores al incremento de la t</w:t>
      </w:r>
      <w:r w:rsidRPr="00335BBB">
        <w:rPr>
          <w:rFonts w:ascii="Bookman Old Style" w:hAnsi="Bookman Old Style" w:cs="Arial"/>
          <w:bCs/>
          <w:szCs w:val="24"/>
          <w:shd w:val="clear" w:color="auto" w:fill="FFFFFF"/>
        </w:rPr>
        <w:t>a</w:t>
      </w:r>
      <w:r w:rsidRPr="00335BBB">
        <w:rPr>
          <w:rFonts w:ascii="Bookman Old Style" w:hAnsi="Bookman Old Style" w:cs="Arial"/>
          <w:bCs/>
          <w:szCs w:val="24"/>
          <w:shd w:val="clear" w:color="auto" w:fill="FFFFFF"/>
        </w:rPr>
        <w:t>rifa en el 0.5 por mil (o/</w:t>
      </w:r>
      <w:proofErr w:type="spellStart"/>
      <w:r w:rsidRPr="00335BBB">
        <w:rPr>
          <w:rFonts w:ascii="Bookman Old Style" w:hAnsi="Bookman Old Style" w:cs="Arial"/>
          <w:bCs/>
          <w:szCs w:val="24"/>
          <w:shd w:val="clear" w:color="auto" w:fill="FFFFFF"/>
        </w:rPr>
        <w:t>oo</w:t>
      </w:r>
      <w:proofErr w:type="spellEnd"/>
      <w:r w:rsidRPr="00335BBB">
        <w:rPr>
          <w:rFonts w:ascii="Bookman Old Style" w:hAnsi="Bookman Old Style" w:cs="Arial"/>
          <w:bCs/>
          <w:szCs w:val="24"/>
          <w:shd w:val="clear" w:color="auto" w:fill="FFFFFF"/>
        </w:rPr>
        <w:t>).</w:t>
      </w:r>
    </w:p>
    <w:p w:rsidR="007779A1" w:rsidRPr="00DE5B4C" w:rsidRDefault="007779A1" w:rsidP="007779A1">
      <w:pPr>
        <w:pStyle w:val="Prrafodelista"/>
        <w:rPr>
          <w:rFonts w:ascii="Bookman Old Style" w:hAnsi="Bookman Old Style" w:cs="Arial"/>
          <w:bCs/>
          <w:szCs w:val="24"/>
          <w:shd w:val="clear" w:color="auto" w:fill="FFFFFF"/>
        </w:rPr>
      </w:pPr>
    </w:p>
    <w:p w:rsidR="007779A1" w:rsidRPr="00335BBB" w:rsidRDefault="007779A1" w:rsidP="007779A1">
      <w:pPr>
        <w:pStyle w:val="Prrafodelista"/>
        <w:spacing w:line="276" w:lineRule="auto"/>
        <w:ind w:left="1428" w:right="51"/>
        <w:jc w:val="both"/>
        <w:rPr>
          <w:rFonts w:ascii="Bookman Old Style" w:hAnsi="Bookman Old Style" w:cs="Arial"/>
          <w:bCs/>
          <w:szCs w:val="24"/>
          <w:shd w:val="clear" w:color="auto" w:fill="FFFFFF"/>
        </w:rPr>
      </w:pPr>
    </w:p>
    <w:p w:rsidR="007779A1" w:rsidRPr="00335BBB" w:rsidRDefault="007779A1" w:rsidP="007779A1">
      <w:pPr>
        <w:numPr>
          <w:ilvl w:val="1"/>
          <w:numId w:val="6"/>
        </w:numPr>
        <w:spacing w:line="276" w:lineRule="auto"/>
        <w:ind w:right="51"/>
        <w:jc w:val="both"/>
        <w:rPr>
          <w:rFonts w:ascii="Bookman Old Style" w:hAnsi="Bookman Old Style" w:cs="Arial"/>
          <w:b/>
          <w:bCs/>
          <w:szCs w:val="24"/>
          <w:shd w:val="clear" w:color="auto" w:fill="FFFFFF"/>
        </w:rPr>
      </w:pPr>
      <w:r w:rsidRPr="00335BBB">
        <w:rPr>
          <w:rFonts w:ascii="Bookman Old Style" w:hAnsi="Bookman Old Style" w:cs="Arial"/>
          <w:b/>
          <w:bCs/>
          <w:szCs w:val="24"/>
          <w:u w:val="single"/>
          <w:shd w:val="clear" w:color="auto" w:fill="FFFFFF"/>
        </w:rPr>
        <w:t>PROPUESTA 3.</w:t>
      </w:r>
      <w:r w:rsidRPr="00335BBB">
        <w:rPr>
          <w:rFonts w:ascii="Bookman Old Style" w:hAnsi="Bookman Old Style" w:cs="Arial"/>
          <w:b/>
          <w:bCs/>
          <w:szCs w:val="24"/>
          <w:shd w:val="clear" w:color="auto" w:fill="FFFFFF"/>
        </w:rPr>
        <w:t xml:space="preserve"> El pago bimestral del impuesto predial unific</w:t>
      </w:r>
      <w:r w:rsidRPr="00335BBB">
        <w:rPr>
          <w:rFonts w:ascii="Bookman Old Style" w:hAnsi="Bookman Old Style" w:cs="Arial"/>
          <w:b/>
          <w:bCs/>
          <w:szCs w:val="24"/>
          <w:shd w:val="clear" w:color="auto" w:fill="FFFFFF"/>
        </w:rPr>
        <w:t>a</w:t>
      </w:r>
      <w:r w:rsidRPr="00335BBB">
        <w:rPr>
          <w:rFonts w:ascii="Bookman Old Style" w:hAnsi="Bookman Old Style" w:cs="Arial"/>
          <w:b/>
          <w:bCs/>
          <w:szCs w:val="24"/>
          <w:shd w:val="clear" w:color="auto" w:fill="FFFFFF"/>
        </w:rPr>
        <w:t xml:space="preserve">do. </w:t>
      </w:r>
    </w:p>
    <w:p w:rsidR="007779A1" w:rsidRPr="00335BBB" w:rsidRDefault="007779A1" w:rsidP="007779A1">
      <w:pPr>
        <w:spacing w:line="276" w:lineRule="auto"/>
        <w:ind w:left="360" w:right="51"/>
        <w:jc w:val="both"/>
        <w:rPr>
          <w:rFonts w:ascii="Bookman Old Style" w:hAnsi="Bookman Old Style" w:cs="Arial"/>
          <w:b/>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i/>
          <w:szCs w:val="24"/>
          <w:shd w:val="clear" w:color="auto" w:fill="FFFFFF"/>
        </w:rPr>
      </w:pPr>
      <w:r w:rsidRPr="00335BBB">
        <w:rPr>
          <w:rFonts w:ascii="Bookman Old Style" w:hAnsi="Bookman Old Style" w:cs="Arial"/>
          <w:bCs/>
          <w:szCs w:val="24"/>
          <w:shd w:val="clear" w:color="auto" w:fill="FFFFFF"/>
        </w:rPr>
        <w:t>También como parte del alivio a los contribuyentes denominados dentro de este proyecto como “</w:t>
      </w:r>
      <w:proofErr w:type="spellStart"/>
      <w:r w:rsidRPr="00335BBB">
        <w:rPr>
          <w:rFonts w:ascii="Bookman Old Style" w:hAnsi="Bookman Old Style" w:cs="Arial"/>
          <w:bCs/>
          <w:szCs w:val="24"/>
          <w:shd w:val="clear" w:color="auto" w:fill="FFFFFF"/>
        </w:rPr>
        <w:t>monopropietarios</w:t>
      </w:r>
      <w:proofErr w:type="spellEnd"/>
      <w:r w:rsidRPr="00335BBB">
        <w:rPr>
          <w:rFonts w:ascii="Bookman Old Style" w:hAnsi="Bookman Old Style" w:cs="Arial"/>
          <w:bCs/>
          <w:szCs w:val="24"/>
          <w:shd w:val="clear" w:color="auto" w:fill="FFFFFF"/>
        </w:rPr>
        <w:t xml:space="preserve">”, se propone ajustar los plazos de pago, generándoles la opción de cancelar bimestral el </w:t>
      </w:r>
      <w:r w:rsidRPr="00335BBB">
        <w:rPr>
          <w:rFonts w:ascii="Bookman Old Style" w:hAnsi="Bookman Old Style" w:cs="Arial"/>
          <w:bCs/>
          <w:i/>
          <w:szCs w:val="24"/>
          <w:shd w:val="clear" w:color="auto" w:fill="FFFFFF"/>
        </w:rPr>
        <w:t>impuesto predial unificado.</w:t>
      </w:r>
    </w:p>
    <w:p w:rsidR="007779A1" w:rsidRPr="00335BBB" w:rsidRDefault="007779A1" w:rsidP="007779A1">
      <w:pPr>
        <w:spacing w:line="276" w:lineRule="auto"/>
        <w:ind w:left="708" w:right="51"/>
        <w:jc w:val="both"/>
        <w:rPr>
          <w:rFonts w:ascii="Bookman Old Style" w:hAnsi="Bookman Old Style" w:cs="Arial"/>
          <w:bCs/>
          <w:i/>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Con ello la carga impositiva puede ser amortiguada dentro de la vigencia fiscal, pues es claro que para un asalariado o un pensionado nunca será igual, por ejemplo, desembolsar en un solo contado el valor de un millón doscientos mil pesos ($1.200.000), que cancelarlos bimestralmente en cuotas</w:t>
      </w:r>
      <w:r w:rsidRPr="00335BBB">
        <w:rPr>
          <w:rFonts w:ascii="Bookman Old Style" w:hAnsi="Bookman Old Style" w:cs="Arial"/>
          <w:bCs/>
          <w:i/>
          <w:szCs w:val="24"/>
          <w:shd w:val="clear" w:color="auto" w:fill="FFFFFF"/>
        </w:rPr>
        <w:t xml:space="preserve"> </w:t>
      </w:r>
      <w:r w:rsidRPr="00335BBB">
        <w:rPr>
          <w:rFonts w:ascii="Bookman Old Style" w:hAnsi="Bookman Old Style" w:cs="Arial"/>
          <w:bCs/>
          <w:szCs w:val="24"/>
          <w:shd w:val="clear" w:color="auto" w:fill="FFFFFF"/>
        </w:rPr>
        <w:t>de doscientos mil pesos ($200.000).</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Esta propuesta implica:</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pStyle w:val="Prrafodelista"/>
        <w:numPr>
          <w:ilvl w:val="0"/>
          <w:numId w:val="8"/>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Es exclusiva para los contribuyentes “</w:t>
      </w:r>
      <w:proofErr w:type="spellStart"/>
      <w:r w:rsidRPr="00335BBB">
        <w:rPr>
          <w:rFonts w:ascii="Bookman Old Style" w:hAnsi="Bookman Old Style" w:cs="Arial"/>
          <w:bCs/>
          <w:szCs w:val="24"/>
          <w:shd w:val="clear" w:color="auto" w:fill="FFFFFF"/>
        </w:rPr>
        <w:t>monopropietarios</w:t>
      </w:r>
      <w:proofErr w:type="spellEnd"/>
      <w:r w:rsidRPr="00335BBB">
        <w:rPr>
          <w:rFonts w:ascii="Bookman Old Style" w:hAnsi="Bookman Old Style" w:cs="Arial"/>
          <w:bCs/>
          <w:szCs w:val="24"/>
          <w:shd w:val="clear" w:color="auto" w:fill="FFFFFF"/>
        </w:rPr>
        <w:t>”</w:t>
      </w:r>
      <w:r>
        <w:rPr>
          <w:rFonts w:ascii="Bookman Old Style" w:hAnsi="Bookman Old Style" w:cs="Arial"/>
          <w:bCs/>
          <w:szCs w:val="24"/>
          <w:shd w:val="clear" w:color="auto" w:fill="FFFFFF"/>
        </w:rPr>
        <w:t xml:space="preserve"> cuyos predios sean </w:t>
      </w:r>
      <w:r w:rsidRPr="00335BBB">
        <w:rPr>
          <w:rFonts w:ascii="Bookman Old Style" w:hAnsi="Bookman Old Style" w:cs="Arial"/>
          <w:bCs/>
          <w:szCs w:val="24"/>
          <w:shd w:val="clear" w:color="auto" w:fill="FFFFFF"/>
        </w:rPr>
        <w:t>destinados únicamente para vivienda familiar, es d</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cir residenciales de carácter urbano o rural</w:t>
      </w:r>
    </w:p>
    <w:p w:rsidR="007779A1" w:rsidRPr="00335BBB" w:rsidRDefault="007779A1" w:rsidP="007779A1">
      <w:pPr>
        <w:pStyle w:val="Prrafodelista"/>
        <w:spacing w:line="276" w:lineRule="auto"/>
        <w:ind w:left="1428" w:right="51"/>
        <w:jc w:val="both"/>
        <w:rPr>
          <w:rFonts w:ascii="Bookman Old Style" w:hAnsi="Bookman Old Style" w:cs="Arial"/>
          <w:bCs/>
          <w:szCs w:val="24"/>
          <w:shd w:val="clear" w:color="auto" w:fill="FFFFFF"/>
        </w:rPr>
      </w:pPr>
    </w:p>
    <w:p w:rsidR="007779A1" w:rsidRPr="00335BBB" w:rsidRDefault="007779A1" w:rsidP="007779A1">
      <w:pPr>
        <w:pStyle w:val="Prrafodelista"/>
        <w:numPr>
          <w:ilvl w:val="0"/>
          <w:numId w:val="8"/>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Para los demás contribuyentes no aplica la opción de pago bime</w:t>
      </w:r>
      <w:r w:rsidRPr="00335BBB">
        <w:rPr>
          <w:rFonts w:ascii="Bookman Old Style" w:hAnsi="Bookman Old Style" w:cs="Arial"/>
          <w:bCs/>
          <w:szCs w:val="24"/>
          <w:shd w:val="clear" w:color="auto" w:fill="FFFFFF"/>
        </w:rPr>
        <w:t>s</w:t>
      </w:r>
      <w:r w:rsidRPr="00335BBB">
        <w:rPr>
          <w:rFonts w:ascii="Bookman Old Style" w:hAnsi="Bookman Old Style" w:cs="Arial"/>
          <w:bCs/>
          <w:szCs w:val="24"/>
          <w:shd w:val="clear" w:color="auto" w:fill="FFFFFF"/>
        </w:rPr>
        <w:t>tral.</w:t>
      </w:r>
    </w:p>
    <w:p w:rsidR="007779A1" w:rsidRPr="00335BBB" w:rsidRDefault="007779A1" w:rsidP="007779A1">
      <w:pPr>
        <w:spacing w:line="276" w:lineRule="auto"/>
        <w:ind w:right="51"/>
        <w:jc w:val="both"/>
        <w:rPr>
          <w:rFonts w:ascii="Bookman Old Style" w:hAnsi="Bookman Old Style" w:cs="Arial"/>
          <w:bCs/>
          <w:szCs w:val="24"/>
          <w:shd w:val="clear" w:color="auto" w:fill="FFFFFF"/>
        </w:rPr>
      </w:pPr>
    </w:p>
    <w:p w:rsidR="007779A1" w:rsidRPr="00335BBB" w:rsidRDefault="007779A1" w:rsidP="007779A1">
      <w:pPr>
        <w:pStyle w:val="Prrafodelista"/>
        <w:numPr>
          <w:ilvl w:val="0"/>
          <w:numId w:val="8"/>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Protege la cultura tributaria alcanzada en la ciudad, toda vez que los demás contribuyentes continuarán bajo el esquema de pago a</w:t>
      </w:r>
      <w:r w:rsidRPr="00335BBB">
        <w:rPr>
          <w:rFonts w:ascii="Bookman Old Style" w:hAnsi="Bookman Old Style" w:cs="Arial"/>
          <w:bCs/>
          <w:szCs w:val="24"/>
          <w:shd w:val="clear" w:color="auto" w:fill="FFFFFF"/>
        </w:rPr>
        <w:t>c</w:t>
      </w:r>
      <w:r w:rsidRPr="00335BBB">
        <w:rPr>
          <w:rFonts w:ascii="Bookman Old Style" w:hAnsi="Bookman Old Style" w:cs="Arial"/>
          <w:bCs/>
          <w:szCs w:val="24"/>
          <w:shd w:val="clear" w:color="auto" w:fill="FFFFFF"/>
        </w:rPr>
        <w:t>tual.</w:t>
      </w:r>
    </w:p>
    <w:p w:rsidR="007779A1" w:rsidRPr="00335BBB" w:rsidRDefault="007779A1" w:rsidP="007779A1">
      <w:pPr>
        <w:pStyle w:val="Prrafodelista"/>
        <w:rPr>
          <w:rFonts w:ascii="Bookman Old Style" w:hAnsi="Bookman Old Style" w:cs="Arial"/>
          <w:bCs/>
          <w:szCs w:val="24"/>
          <w:shd w:val="clear" w:color="auto" w:fill="FFFFFF"/>
        </w:rPr>
      </w:pPr>
    </w:p>
    <w:p w:rsidR="007779A1" w:rsidRPr="00335BBB" w:rsidRDefault="007779A1" w:rsidP="007779A1">
      <w:pPr>
        <w:pStyle w:val="Prrafodelista"/>
        <w:numPr>
          <w:ilvl w:val="0"/>
          <w:numId w:val="8"/>
        </w:numPr>
        <w:spacing w:line="276" w:lineRule="auto"/>
        <w:ind w:right="51"/>
        <w:contextualSpacing/>
        <w:jc w:val="both"/>
        <w:rPr>
          <w:rFonts w:ascii="Bookman Old Style" w:hAnsi="Bookman Old Style" w:cs="Arial"/>
          <w:bCs/>
          <w:szCs w:val="24"/>
          <w:shd w:val="clear" w:color="auto" w:fill="FFFFFF"/>
        </w:rPr>
      </w:pPr>
      <w:r w:rsidRPr="00335BBB">
        <w:rPr>
          <w:rFonts w:ascii="Bookman Old Style" w:hAnsi="Bookman Old Style" w:cs="Arial"/>
          <w:bCs/>
          <w:szCs w:val="24"/>
          <w:shd w:val="clear" w:color="auto" w:fill="FFFFFF"/>
        </w:rPr>
        <w:t>Para ninguno de los contribuyentes se elimina la opción y el de</w:t>
      </w:r>
      <w:r w:rsidRPr="00335BBB">
        <w:rPr>
          <w:rFonts w:ascii="Bookman Old Style" w:hAnsi="Bookman Old Style" w:cs="Arial"/>
          <w:bCs/>
          <w:szCs w:val="24"/>
          <w:shd w:val="clear" w:color="auto" w:fill="FFFFFF"/>
        </w:rPr>
        <w:t>s</w:t>
      </w:r>
      <w:r w:rsidRPr="00335BBB">
        <w:rPr>
          <w:rFonts w:ascii="Bookman Old Style" w:hAnsi="Bookman Old Style" w:cs="Arial"/>
          <w:bCs/>
          <w:szCs w:val="24"/>
          <w:shd w:val="clear" w:color="auto" w:fill="FFFFFF"/>
        </w:rPr>
        <w:t>cuento por pronto pago.</w:t>
      </w:r>
    </w:p>
    <w:p w:rsidR="007779A1" w:rsidRPr="00335BBB" w:rsidRDefault="007779A1" w:rsidP="007779A1">
      <w:pPr>
        <w:spacing w:line="276" w:lineRule="auto"/>
        <w:ind w:left="708" w:right="51"/>
        <w:jc w:val="both"/>
        <w:rPr>
          <w:rFonts w:ascii="Bookman Old Style" w:hAnsi="Bookman Old Style" w:cs="Arial"/>
          <w:bCs/>
          <w:szCs w:val="24"/>
          <w:shd w:val="clear" w:color="auto" w:fill="FFFFFF"/>
        </w:rPr>
      </w:pPr>
    </w:p>
    <w:p w:rsidR="007779A1" w:rsidRPr="00335BBB" w:rsidRDefault="007779A1" w:rsidP="007779A1">
      <w:pPr>
        <w:tabs>
          <w:tab w:val="center" w:pos="4419"/>
          <w:tab w:val="right" w:pos="8838"/>
        </w:tabs>
        <w:spacing w:line="276" w:lineRule="auto"/>
        <w:jc w:val="both"/>
        <w:rPr>
          <w:rFonts w:ascii="Bookman Old Style" w:hAnsi="Bookman Old Style" w:cs="Arial"/>
          <w:b/>
          <w:szCs w:val="24"/>
        </w:rPr>
      </w:pPr>
    </w:p>
    <w:p w:rsidR="007779A1" w:rsidRPr="00335BBB" w:rsidRDefault="007779A1" w:rsidP="007779A1">
      <w:pPr>
        <w:numPr>
          <w:ilvl w:val="0"/>
          <w:numId w:val="6"/>
        </w:numPr>
        <w:spacing w:line="276" w:lineRule="auto"/>
        <w:ind w:right="51"/>
        <w:jc w:val="both"/>
        <w:rPr>
          <w:rFonts w:ascii="Bookman Old Style" w:hAnsi="Bookman Old Style"/>
          <w:b/>
          <w:szCs w:val="24"/>
        </w:rPr>
      </w:pPr>
      <w:r w:rsidRPr="00335BBB">
        <w:rPr>
          <w:rFonts w:ascii="Bookman Old Style" w:hAnsi="Bookman Old Style" w:cs="Arial"/>
          <w:b/>
          <w:bCs/>
          <w:szCs w:val="24"/>
          <w:shd w:val="clear" w:color="auto" w:fill="FFFFFF"/>
        </w:rPr>
        <w:t>MARCO</w:t>
      </w:r>
      <w:r w:rsidRPr="00335BBB">
        <w:rPr>
          <w:rFonts w:ascii="Bookman Old Style" w:hAnsi="Bookman Old Style"/>
          <w:b/>
          <w:szCs w:val="24"/>
        </w:rPr>
        <w:t xml:space="preserve"> JURIDICO</w:t>
      </w:r>
    </w:p>
    <w:p w:rsidR="007779A1" w:rsidRPr="00335BBB" w:rsidRDefault="007779A1" w:rsidP="007779A1">
      <w:pPr>
        <w:jc w:val="both"/>
        <w:rPr>
          <w:rFonts w:ascii="Bookman Old Style" w:hAnsi="Bookman Old Style"/>
          <w:b/>
          <w:szCs w:val="24"/>
        </w:rPr>
      </w:pPr>
    </w:p>
    <w:p w:rsidR="007779A1" w:rsidRPr="00335BBB" w:rsidRDefault="007779A1" w:rsidP="007779A1">
      <w:pPr>
        <w:numPr>
          <w:ilvl w:val="1"/>
          <w:numId w:val="6"/>
        </w:numPr>
        <w:spacing w:line="276" w:lineRule="auto"/>
        <w:ind w:right="51"/>
        <w:jc w:val="both"/>
        <w:rPr>
          <w:rFonts w:ascii="Bookman Old Style" w:hAnsi="Bookman Old Style"/>
          <w:b/>
          <w:szCs w:val="24"/>
        </w:rPr>
      </w:pPr>
      <w:r w:rsidRPr="00335BBB">
        <w:rPr>
          <w:rFonts w:ascii="Bookman Old Style" w:hAnsi="Bookman Old Style"/>
          <w:b/>
          <w:szCs w:val="24"/>
        </w:rPr>
        <w:t>CONSTITUCION POLITICA</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Bookman Old Style" w:hAnsi="Bookman Old Style" w:cs="Arial"/>
          <w:b/>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1. </w:t>
      </w:r>
      <w:r w:rsidRPr="00335BBB">
        <w:rPr>
          <w:rFonts w:ascii="Bookman Old Style" w:hAnsi="Bookman Old Style" w:cs="Arial"/>
          <w:szCs w:val="24"/>
          <w:lang w:eastAsia="es-CO"/>
        </w:rPr>
        <w:t>Colombia es un Estado social de derecho, organizado en forma de República unitaria, descentralizada, con autonomía de sus entidades territoriales, democrática, participativa y pluralista, fu</w:t>
      </w:r>
      <w:r w:rsidRPr="00335BBB">
        <w:rPr>
          <w:rFonts w:ascii="Bookman Old Style" w:hAnsi="Bookman Old Style" w:cs="Arial"/>
          <w:szCs w:val="24"/>
          <w:lang w:eastAsia="es-CO"/>
        </w:rPr>
        <w:t>n</w:t>
      </w:r>
      <w:r w:rsidRPr="00335BBB">
        <w:rPr>
          <w:rFonts w:ascii="Bookman Old Style" w:hAnsi="Bookman Old Style" w:cs="Arial"/>
          <w:szCs w:val="24"/>
          <w:lang w:eastAsia="es-CO"/>
        </w:rPr>
        <w:t>dada en el respeto de la dignidad humana, en el trabajo y la solid</w:t>
      </w:r>
      <w:r w:rsidRPr="00335BBB">
        <w:rPr>
          <w:rFonts w:ascii="Bookman Old Style" w:hAnsi="Bookman Old Style" w:cs="Arial"/>
          <w:szCs w:val="24"/>
          <w:lang w:eastAsia="es-CO"/>
        </w:rPr>
        <w:t>a</w:t>
      </w:r>
      <w:r w:rsidRPr="00335BBB">
        <w:rPr>
          <w:rFonts w:ascii="Bookman Old Style" w:hAnsi="Bookman Old Style" w:cs="Arial"/>
          <w:szCs w:val="24"/>
          <w:lang w:eastAsia="es-CO"/>
        </w:rPr>
        <w:t>ridad de las personas que la integran y en la prevalencia del interés general.</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b/>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2. </w:t>
      </w:r>
      <w:r w:rsidRPr="00335BBB">
        <w:rPr>
          <w:rFonts w:ascii="Bookman Old Style" w:hAnsi="Bookman Old Style" w:cs="Arial"/>
          <w:szCs w:val="24"/>
          <w:lang w:eastAsia="es-CO"/>
        </w:rPr>
        <w:t>Son fines esenciales del Estado: servir a la comunidad, promover la prosperidad general y garantizar la efectividad de los principios, derechos y deberes consagrados en la Constitución; facil</w:t>
      </w:r>
      <w:r w:rsidRPr="00335BBB">
        <w:rPr>
          <w:rFonts w:ascii="Bookman Old Style" w:hAnsi="Bookman Old Style" w:cs="Arial"/>
          <w:szCs w:val="24"/>
          <w:lang w:eastAsia="es-CO"/>
        </w:rPr>
        <w:t>i</w:t>
      </w:r>
      <w:r w:rsidRPr="00335BBB">
        <w:rPr>
          <w:rFonts w:ascii="Bookman Old Style" w:hAnsi="Bookman Old Style" w:cs="Arial"/>
          <w:szCs w:val="24"/>
          <w:lang w:eastAsia="es-CO"/>
        </w:rPr>
        <w:lastRenderedPageBreak/>
        <w:t>tar la participación de todos en las decisiones que los afectan y en la vida económica, política, administrativa y cultural de la Nación; d</w:t>
      </w:r>
      <w:r w:rsidRPr="00335BBB">
        <w:rPr>
          <w:rFonts w:ascii="Bookman Old Style" w:hAnsi="Bookman Old Style" w:cs="Arial"/>
          <w:szCs w:val="24"/>
          <w:lang w:eastAsia="es-CO"/>
        </w:rPr>
        <w:t>e</w:t>
      </w:r>
      <w:r w:rsidRPr="00335BBB">
        <w:rPr>
          <w:rFonts w:ascii="Bookman Old Style" w:hAnsi="Bookman Old Style" w:cs="Arial"/>
          <w:szCs w:val="24"/>
          <w:lang w:eastAsia="es-CO"/>
        </w:rPr>
        <w:t>fender la independencia nacional, mantener la integridad territorial y asegurar la convivencia pacífica y la vigencia de un orden justo.</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szCs w:val="24"/>
          <w:lang w:eastAsia="es-CO"/>
        </w:rPr>
      </w:pPr>
      <w:r w:rsidRPr="00335BBB">
        <w:rPr>
          <w:rFonts w:ascii="Bookman Old Style" w:hAnsi="Bookman Old Style" w:cs="Arial"/>
          <w:szCs w:val="24"/>
          <w:lang w:eastAsia="es-CO"/>
        </w:rPr>
        <w:t>Las autoridades de la República están instituidas para proteger a t</w:t>
      </w:r>
      <w:r w:rsidRPr="00335BBB">
        <w:rPr>
          <w:rFonts w:ascii="Bookman Old Style" w:hAnsi="Bookman Old Style" w:cs="Arial"/>
          <w:szCs w:val="24"/>
          <w:lang w:eastAsia="es-CO"/>
        </w:rPr>
        <w:t>o</w:t>
      </w:r>
      <w:r w:rsidRPr="00335BBB">
        <w:rPr>
          <w:rFonts w:ascii="Bookman Old Style" w:hAnsi="Bookman Old Style" w:cs="Arial"/>
          <w:szCs w:val="24"/>
          <w:lang w:eastAsia="es-CO"/>
        </w:rPr>
        <w:t>das las personas residentes en Colombia, en su vida, honra, bienes, creencias, y demás derechos y libertades, y para asegurar el cu</w:t>
      </w:r>
      <w:r w:rsidRPr="00335BBB">
        <w:rPr>
          <w:rFonts w:ascii="Bookman Old Style" w:hAnsi="Bookman Old Style" w:cs="Arial"/>
          <w:szCs w:val="24"/>
          <w:lang w:eastAsia="es-CO"/>
        </w:rPr>
        <w:t>m</w:t>
      </w:r>
      <w:r w:rsidRPr="00335BBB">
        <w:rPr>
          <w:rFonts w:ascii="Bookman Old Style" w:hAnsi="Bookman Old Style" w:cs="Arial"/>
          <w:szCs w:val="24"/>
          <w:lang w:eastAsia="es-CO"/>
        </w:rPr>
        <w:t>plimiento de los deberes sociales del Estado y de los particulares.</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46. </w:t>
      </w:r>
      <w:r w:rsidRPr="00335BBB">
        <w:rPr>
          <w:rFonts w:ascii="Bookman Old Style" w:hAnsi="Bookman Old Style" w:cs="Arial"/>
          <w:szCs w:val="24"/>
          <w:lang w:eastAsia="es-CO"/>
        </w:rPr>
        <w:t>El Estado, la sociedad y la familia concurrirán para la protección y la asistencia de las personas de la tercera edad y pr</w:t>
      </w:r>
      <w:r w:rsidRPr="00335BBB">
        <w:rPr>
          <w:rFonts w:ascii="Bookman Old Style" w:hAnsi="Bookman Old Style" w:cs="Arial"/>
          <w:szCs w:val="24"/>
          <w:lang w:eastAsia="es-CO"/>
        </w:rPr>
        <w:t>o</w:t>
      </w:r>
      <w:r w:rsidRPr="00335BBB">
        <w:rPr>
          <w:rFonts w:ascii="Bookman Old Style" w:hAnsi="Bookman Old Style" w:cs="Arial"/>
          <w:szCs w:val="24"/>
          <w:lang w:eastAsia="es-CO"/>
        </w:rPr>
        <w:t>moverán su integración a la vida activa y comunitaria.</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El Estado les garantizará los servicios de la seguridad social integral y el subsidio alimentario en caso de indigencia.</w:t>
      </w:r>
    </w:p>
    <w:p w:rsidR="007779A1" w:rsidRPr="00335BBB" w:rsidRDefault="007779A1" w:rsidP="007779A1">
      <w:pPr>
        <w:spacing w:before="100" w:beforeAutospacing="1" w:after="100" w:afterAutospacing="1"/>
        <w:ind w:left="708"/>
        <w:jc w:val="both"/>
        <w:rPr>
          <w:rFonts w:ascii="Bookman Old Style" w:hAnsi="Bookman Old Style"/>
          <w:szCs w:val="24"/>
          <w:lang w:eastAsia="es-CO"/>
        </w:rPr>
      </w:pPr>
      <w:r w:rsidRPr="00335BBB">
        <w:rPr>
          <w:rFonts w:ascii="Bookman Old Style" w:hAnsi="Bookman Old Style" w:cs="Arial"/>
          <w:b/>
          <w:szCs w:val="24"/>
          <w:lang w:eastAsia="es-CO"/>
        </w:rPr>
        <w:t xml:space="preserve">Artículo 286. </w:t>
      </w:r>
      <w:r w:rsidRPr="00335BBB">
        <w:rPr>
          <w:rFonts w:ascii="Bookman Old Style" w:hAnsi="Bookman Old Style" w:cs="Arial"/>
          <w:szCs w:val="24"/>
          <w:lang w:eastAsia="es-CO"/>
        </w:rPr>
        <w:t>Son entidades territoriales los departamentos, los distritos, los municipios y los territorios indígenas.</w:t>
      </w:r>
    </w:p>
    <w:p w:rsidR="007779A1" w:rsidRPr="00335BBB" w:rsidRDefault="007779A1" w:rsidP="007779A1">
      <w:pPr>
        <w:spacing w:before="100" w:beforeAutospacing="1" w:after="100" w:afterAutospacing="1"/>
        <w:ind w:left="708"/>
        <w:rPr>
          <w:rFonts w:ascii="Bookman Old Style" w:hAnsi="Bookman Old Style"/>
          <w:szCs w:val="24"/>
          <w:lang w:eastAsia="es-CO"/>
        </w:rPr>
      </w:pPr>
      <w:r w:rsidRPr="00335BBB">
        <w:rPr>
          <w:rFonts w:ascii="Bookman Old Style" w:hAnsi="Bookman Old Style" w:cs="Arial"/>
          <w:szCs w:val="24"/>
          <w:lang w:eastAsia="es-CO"/>
        </w:rPr>
        <w:t>La ley podrá darles el carácter de entidades territoriales a las regiones y provincias que se constituyan en los términos de la Constitución y de la ley.</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b/>
          <w:szCs w:val="24"/>
          <w:lang w:eastAsia="es-CO"/>
        </w:rPr>
        <w:t> </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b/>
          <w:bCs/>
          <w:szCs w:val="24"/>
          <w:lang w:eastAsia="es-CO"/>
        </w:rPr>
        <w:t>Artículo 287.</w:t>
      </w:r>
      <w:r w:rsidRPr="00335BBB">
        <w:rPr>
          <w:rFonts w:ascii="Bookman Old Style" w:hAnsi="Bookman Old Style" w:cs="Arial"/>
          <w:b/>
          <w:bCs/>
          <w:i/>
          <w:szCs w:val="24"/>
          <w:lang w:eastAsia="es-CO"/>
        </w:rPr>
        <w:t xml:space="preserve"> </w:t>
      </w:r>
      <w:r w:rsidRPr="00335BBB">
        <w:rPr>
          <w:rFonts w:ascii="Bookman Old Style" w:hAnsi="Bookman Old Style" w:cs="Arial"/>
          <w:i/>
          <w:szCs w:val="24"/>
          <w:lang w:eastAsia="es-CO"/>
        </w:rPr>
        <w:t>Las entidades territoriales gozan de autonomía para la ge</w:t>
      </w:r>
      <w:r w:rsidRPr="00335BBB">
        <w:rPr>
          <w:rFonts w:ascii="Bookman Old Style" w:hAnsi="Bookman Old Style" w:cs="Arial"/>
          <w:i/>
          <w:szCs w:val="24"/>
          <w:lang w:eastAsia="es-CO"/>
        </w:rPr>
        <w:t>s</w:t>
      </w:r>
      <w:r w:rsidRPr="00335BBB">
        <w:rPr>
          <w:rFonts w:ascii="Bookman Old Style" w:hAnsi="Bookman Old Style" w:cs="Arial"/>
          <w:i/>
          <w:szCs w:val="24"/>
          <w:lang w:eastAsia="es-CO"/>
        </w:rPr>
        <w:t>tión de sus intereses, y dentro de los límites de la Constitución y la ley. En tal virtud tendrán los siguientes derechos:</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 </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1. Gobernarse por autoridades propias.</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 </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2. Ejercer las competencias que les correspondan.</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 </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3. Administrar los recursos y establecer los tributos necesarios para el cumplimiento de sus funciones.</w:t>
      </w: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i/>
          <w:szCs w:val="24"/>
          <w:lang w:eastAsia="es-CO"/>
        </w:rPr>
        <w:t> </w:t>
      </w:r>
    </w:p>
    <w:p w:rsidR="007779A1" w:rsidRPr="00335BBB" w:rsidRDefault="007779A1" w:rsidP="007779A1">
      <w:pPr>
        <w:ind w:left="708"/>
        <w:jc w:val="both"/>
        <w:rPr>
          <w:rFonts w:ascii="Bookman Old Style" w:hAnsi="Bookman Old Style" w:cs="Arial"/>
          <w:i/>
          <w:szCs w:val="24"/>
          <w:lang w:eastAsia="es-CO"/>
        </w:rPr>
      </w:pPr>
      <w:r w:rsidRPr="00335BBB">
        <w:rPr>
          <w:rFonts w:ascii="Bookman Old Style" w:hAnsi="Bookman Old Style" w:cs="Arial"/>
          <w:i/>
          <w:szCs w:val="24"/>
          <w:lang w:eastAsia="es-CO"/>
        </w:rPr>
        <w:t>4. Participar en las rentas nacionales.</w:t>
      </w:r>
    </w:p>
    <w:p w:rsidR="007779A1" w:rsidRPr="00335BBB" w:rsidRDefault="007779A1" w:rsidP="007779A1">
      <w:pPr>
        <w:ind w:left="708"/>
        <w:jc w:val="both"/>
        <w:rPr>
          <w:rFonts w:ascii="Bookman Old Style" w:hAnsi="Bookman Old Style"/>
          <w:szCs w:val="24"/>
          <w:lang w:eastAsia="es-CO"/>
        </w:rPr>
      </w:pPr>
    </w:p>
    <w:p w:rsidR="007779A1" w:rsidRPr="00335BBB" w:rsidRDefault="007779A1" w:rsidP="007779A1">
      <w:pPr>
        <w:ind w:left="708"/>
        <w:rPr>
          <w:rFonts w:ascii="Bookman Old Style" w:hAnsi="Bookman Old Style"/>
          <w:szCs w:val="24"/>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bCs/>
          <w:i/>
          <w:szCs w:val="24"/>
          <w:lang w:eastAsia="es-CO"/>
        </w:rPr>
      </w:pPr>
      <w:r w:rsidRPr="00335BBB">
        <w:rPr>
          <w:rFonts w:ascii="Bookman Old Style" w:hAnsi="Bookman Old Style" w:cs="Arial"/>
          <w:b/>
          <w:bCs/>
          <w:szCs w:val="24"/>
          <w:lang w:eastAsia="es-CO"/>
        </w:rPr>
        <w:t xml:space="preserve">Artículo 294. </w:t>
      </w:r>
      <w:r w:rsidRPr="00335BBB">
        <w:rPr>
          <w:rFonts w:ascii="Bookman Old Style" w:hAnsi="Bookman Old Style" w:cs="Arial"/>
          <w:bCs/>
          <w:szCs w:val="24"/>
          <w:lang w:eastAsia="es-CO"/>
        </w:rPr>
        <w:t>La ley no podrá conceder exenciones ni tratamientos preferenciales en relación con los tributos de propiedad de las ent</w:t>
      </w:r>
      <w:r w:rsidRPr="00335BBB">
        <w:rPr>
          <w:rFonts w:ascii="Bookman Old Style" w:hAnsi="Bookman Old Style" w:cs="Arial"/>
          <w:bCs/>
          <w:szCs w:val="24"/>
          <w:lang w:eastAsia="es-CO"/>
        </w:rPr>
        <w:t>i</w:t>
      </w:r>
      <w:r w:rsidRPr="00335BBB">
        <w:rPr>
          <w:rFonts w:ascii="Bookman Old Style" w:hAnsi="Bookman Old Style" w:cs="Arial"/>
          <w:bCs/>
          <w:szCs w:val="24"/>
          <w:lang w:eastAsia="es-CO"/>
        </w:rPr>
        <w:lastRenderedPageBreak/>
        <w:t>dades territoriales. Tampoco podrá imponer recargos sobre sus i</w:t>
      </w:r>
      <w:r w:rsidRPr="00335BBB">
        <w:rPr>
          <w:rFonts w:ascii="Bookman Old Style" w:hAnsi="Bookman Old Style" w:cs="Arial"/>
          <w:bCs/>
          <w:szCs w:val="24"/>
          <w:lang w:eastAsia="es-CO"/>
        </w:rPr>
        <w:t>m</w:t>
      </w:r>
      <w:r w:rsidRPr="00335BBB">
        <w:rPr>
          <w:rFonts w:ascii="Bookman Old Style" w:hAnsi="Bookman Old Style" w:cs="Arial"/>
          <w:bCs/>
          <w:szCs w:val="24"/>
          <w:lang w:eastAsia="es-CO"/>
        </w:rPr>
        <w:t>puestos salvo lo dispuesto en el artículo 317.</w:t>
      </w:r>
      <w:r w:rsidRPr="00335BBB">
        <w:rPr>
          <w:rFonts w:ascii="Bookman Old Style" w:hAnsi="Bookman Old Style" w:cs="Arial"/>
          <w:bCs/>
          <w:i/>
          <w:szCs w:val="24"/>
          <w:lang w:eastAsia="es-CO"/>
        </w:rPr>
        <w:t xml:space="preserve">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bCs/>
          <w:i/>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311. </w:t>
      </w:r>
      <w:r w:rsidRPr="00335BBB">
        <w:rPr>
          <w:rFonts w:ascii="Bookman Old Style" w:hAnsi="Bookman Old Style" w:cs="Arial"/>
          <w:szCs w:val="24"/>
          <w:lang w:eastAsia="es-CO"/>
        </w:rPr>
        <w:t>Al municipio como entidad fundamental de la división político</w:t>
      </w:r>
      <w:r w:rsidRPr="00335BBB">
        <w:rPr>
          <w:rFonts w:ascii="Bookman Old Style" w:hAnsi="Bookman Old Style" w:cs="Arial"/>
          <w:szCs w:val="24"/>
          <w:lang w:eastAsia="es-CO"/>
        </w:rPr>
        <w:noBreakHyphen/>
        <w:t>administrativa del Estado le corresponde prestar los serv</w:t>
      </w:r>
      <w:r w:rsidRPr="00335BBB">
        <w:rPr>
          <w:rFonts w:ascii="Bookman Old Style" w:hAnsi="Bookman Old Style" w:cs="Arial"/>
          <w:szCs w:val="24"/>
          <w:lang w:eastAsia="es-CO"/>
        </w:rPr>
        <w:t>i</w:t>
      </w:r>
      <w:r w:rsidRPr="00335BBB">
        <w:rPr>
          <w:rFonts w:ascii="Bookman Old Style" w:hAnsi="Bookman Old Style" w:cs="Arial"/>
          <w:szCs w:val="24"/>
          <w:lang w:eastAsia="es-CO"/>
        </w:rPr>
        <w:t>cios públicos que determine la ley, construir las obras que demande el progreso local, ordenar el desarrollo de su territorio, promover la participación comunitaria, el mejoramiento social y cultural de sus habitantes y cumplir las demás funciones que le asignen la Const</w:t>
      </w:r>
      <w:r w:rsidRPr="00335BBB">
        <w:rPr>
          <w:rFonts w:ascii="Bookman Old Style" w:hAnsi="Bookman Old Style" w:cs="Arial"/>
          <w:szCs w:val="24"/>
          <w:lang w:eastAsia="es-CO"/>
        </w:rPr>
        <w:t>i</w:t>
      </w:r>
      <w:r w:rsidRPr="00335BBB">
        <w:rPr>
          <w:rFonts w:ascii="Bookman Old Style" w:hAnsi="Bookman Old Style" w:cs="Arial"/>
          <w:szCs w:val="24"/>
          <w:lang w:eastAsia="es-CO"/>
        </w:rPr>
        <w:t>tución y las leyes.</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cs="Arial"/>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313. </w:t>
      </w:r>
      <w:r w:rsidRPr="00335BBB">
        <w:rPr>
          <w:rFonts w:ascii="Bookman Old Style" w:hAnsi="Bookman Old Style" w:cs="Arial"/>
          <w:szCs w:val="24"/>
          <w:lang w:eastAsia="es-CO"/>
        </w:rPr>
        <w:t xml:space="preserve">Corresponde a los concejos: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szCs w:val="24"/>
          <w:lang w:eastAsia="es-CO"/>
        </w:rPr>
      </w:pPr>
      <w:r w:rsidRPr="00335BBB">
        <w:rPr>
          <w:rFonts w:ascii="Bookman Old Style" w:hAnsi="Bookman Old Style" w:cs="Arial"/>
          <w:szCs w:val="24"/>
          <w:lang w:eastAsia="es-CO"/>
        </w:rPr>
        <w:t xml:space="preserve">1. Reglamentar las funciones y la eficiente prestación de los servicios a cargo del municipio.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cs="Arial"/>
          <w:szCs w:val="24"/>
          <w:lang w:eastAsia="es-CO"/>
        </w:rPr>
      </w:pPr>
      <w:r w:rsidRPr="00335BBB">
        <w:rPr>
          <w:rFonts w:ascii="Bookman Old Style" w:hAnsi="Bookman Old Style" w:cs="Arial"/>
          <w:szCs w:val="24"/>
          <w:lang w:eastAsia="es-CO"/>
        </w:rPr>
        <w:t xml:space="preserve">2. Adoptar los correspondientes planes y programas de desarrollo económico y social y de obras públicas.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 xml:space="preserve">3. Autorizar al alcalde para celebrar contratos y ejercer pro tempore precisas funciones de las que corresponden al Concejo.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 xml:space="preserve">4. Votar de conformidad con la Constitución y la ley los tributos y los gastos locales.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5. Dictar las normas orgánicas del presupuesto y expedir anualme</w:t>
      </w:r>
      <w:r w:rsidRPr="00335BBB">
        <w:rPr>
          <w:rFonts w:ascii="Bookman Old Style" w:hAnsi="Bookman Old Style" w:cs="Arial"/>
          <w:szCs w:val="24"/>
          <w:lang w:eastAsia="es-CO"/>
        </w:rPr>
        <w:t>n</w:t>
      </w:r>
      <w:r w:rsidRPr="00335BBB">
        <w:rPr>
          <w:rFonts w:ascii="Bookman Old Style" w:hAnsi="Bookman Old Style" w:cs="Arial"/>
          <w:szCs w:val="24"/>
          <w:lang w:eastAsia="es-CO"/>
        </w:rPr>
        <w:t xml:space="preserve">te el presupuesto de rentas y gastos.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6. Determinar la estructura de la administración municipal y las funciones de sus dependencias; las escalas de remuneración corre</w:t>
      </w:r>
      <w:r w:rsidRPr="00335BBB">
        <w:rPr>
          <w:rFonts w:ascii="Bookman Old Style" w:hAnsi="Bookman Old Style" w:cs="Arial"/>
          <w:szCs w:val="24"/>
          <w:lang w:eastAsia="es-CO"/>
        </w:rPr>
        <w:t>s</w:t>
      </w:r>
      <w:r w:rsidRPr="00335BBB">
        <w:rPr>
          <w:rFonts w:ascii="Bookman Old Style" w:hAnsi="Bookman Old Style" w:cs="Arial"/>
          <w:szCs w:val="24"/>
          <w:lang w:eastAsia="es-CO"/>
        </w:rPr>
        <w:t>pondientes a las distintas categorías de empleos; crear, a iniciativa del alcalde, establecimientos públicos y empresas industriales o c</w:t>
      </w:r>
      <w:r w:rsidRPr="00335BBB">
        <w:rPr>
          <w:rFonts w:ascii="Bookman Old Style" w:hAnsi="Bookman Old Style" w:cs="Arial"/>
          <w:szCs w:val="24"/>
          <w:lang w:eastAsia="es-CO"/>
        </w:rPr>
        <w:t>o</w:t>
      </w:r>
      <w:r w:rsidRPr="00335BBB">
        <w:rPr>
          <w:rFonts w:ascii="Bookman Old Style" w:hAnsi="Bookman Old Style" w:cs="Arial"/>
          <w:szCs w:val="24"/>
          <w:lang w:eastAsia="es-CO"/>
        </w:rPr>
        <w:t>merciales y autorizar la constitución de sociedades de economía mi</w:t>
      </w:r>
      <w:r w:rsidRPr="00335BBB">
        <w:rPr>
          <w:rFonts w:ascii="Bookman Old Style" w:hAnsi="Bookman Old Style" w:cs="Arial"/>
          <w:szCs w:val="24"/>
          <w:lang w:eastAsia="es-CO"/>
        </w:rPr>
        <w:t>x</w:t>
      </w:r>
      <w:r w:rsidRPr="00335BBB">
        <w:rPr>
          <w:rFonts w:ascii="Bookman Old Style" w:hAnsi="Bookman Old Style" w:cs="Arial"/>
          <w:szCs w:val="24"/>
          <w:lang w:eastAsia="es-CO"/>
        </w:rPr>
        <w:t xml:space="preserve">ta.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7. Reglamentar los usos del suelo y, dentro de los límites que fije la ley, vigilar y controlar las actividades relacionadas con la constru</w:t>
      </w:r>
      <w:r w:rsidRPr="00335BBB">
        <w:rPr>
          <w:rFonts w:ascii="Bookman Old Style" w:hAnsi="Bookman Old Style" w:cs="Arial"/>
          <w:szCs w:val="24"/>
          <w:lang w:eastAsia="es-CO"/>
        </w:rPr>
        <w:t>c</w:t>
      </w:r>
      <w:r w:rsidRPr="00335BBB">
        <w:rPr>
          <w:rFonts w:ascii="Bookman Old Style" w:hAnsi="Bookman Old Style" w:cs="Arial"/>
          <w:szCs w:val="24"/>
          <w:lang w:eastAsia="es-CO"/>
        </w:rPr>
        <w:t xml:space="preserve">ción y enajenación de inmuebles destinados a vivienda.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8. Elegir Personero para el período que fije la ley y los demás funci</w:t>
      </w:r>
      <w:r w:rsidRPr="00335BBB">
        <w:rPr>
          <w:rFonts w:ascii="Bookman Old Style" w:hAnsi="Bookman Old Style" w:cs="Arial"/>
          <w:szCs w:val="24"/>
          <w:lang w:eastAsia="es-CO"/>
        </w:rPr>
        <w:t>o</w:t>
      </w:r>
      <w:r w:rsidRPr="00335BBB">
        <w:rPr>
          <w:rFonts w:ascii="Bookman Old Style" w:hAnsi="Bookman Old Style" w:cs="Arial"/>
          <w:szCs w:val="24"/>
          <w:lang w:eastAsia="es-CO"/>
        </w:rPr>
        <w:t xml:space="preserve">narios que ésta determine.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lastRenderedPageBreak/>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9. Dictar las normas necesarias para el control, la preservación y d</w:t>
      </w:r>
      <w:r w:rsidRPr="00335BBB">
        <w:rPr>
          <w:rFonts w:ascii="Bookman Old Style" w:hAnsi="Bookman Old Style" w:cs="Arial"/>
          <w:szCs w:val="24"/>
          <w:lang w:eastAsia="es-CO"/>
        </w:rPr>
        <w:t>e</w:t>
      </w:r>
      <w:r w:rsidRPr="00335BBB">
        <w:rPr>
          <w:rFonts w:ascii="Bookman Old Style" w:hAnsi="Bookman Old Style" w:cs="Arial"/>
          <w:szCs w:val="24"/>
          <w:lang w:eastAsia="es-CO"/>
        </w:rPr>
        <w:t xml:space="preserve">fensa del patrimonio ecológico y cultural del municipio.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10. Las demás que la Constitución y la ley le asignen.</w:t>
      </w:r>
    </w:p>
    <w:p w:rsidR="007779A1" w:rsidRPr="00335BBB" w:rsidRDefault="007779A1" w:rsidP="007779A1">
      <w:pPr>
        <w:ind w:left="708"/>
        <w:rPr>
          <w:rFonts w:ascii="Bookman Old Style" w:hAnsi="Bookman Old Style"/>
          <w:szCs w:val="24"/>
        </w:rPr>
      </w:pP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b/>
          <w:szCs w:val="24"/>
          <w:lang w:eastAsia="es-CO"/>
        </w:rPr>
        <w:t xml:space="preserve">Artículo 317. </w:t>
      </w:r>
      <w:r w:rsidRPr="00335BBB">
        <w:rPr>
          <w:rFonts w:ascii="Bookman Old Style" w:hAnsi="Bookman Old Style" w:cs="Arial"/>
          <w:szCs w:val="24"/>
          <w:lang w:eastAsia="es-CO"/>
        </w:rPr>
        <w:t>Solo los municipios podrán gravar la propiedad i</w:t>
      </w:r>
      <w:r w:rsidRPr="00335BBB">
        <w:rPr>
          <w:rFonts w:ascii="Bookman Old Style" w:hAnsi="Bookman Old Style" w:cs="Arial"/>
          <w:szCs w:val="24"/>
          <w:lang w:eastAsia="es-CO"/>
        </w:rPr>
        <w:t>n</w:t>
      </w:r>
      <w:r w:rsidRPr="00335BBB">
        <w:rPr>
          <w:rFonts w:ascii="Bookman Old Style" w:hAnsi="Bookman Old Style" w:cs="Arial"/>
          <w:szCs w:val="24"/>
          <w:lang w:eastAsia="es-CO"/>
        </w:rPr>
        <w:t>mueble. Lo anterior no obsta para que otras entidades impongan contribución de valorización.</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5" w:right="567"/>
        <w:jc w:val="both"/>
        <w:rPr>
          <w:rFonts w:ascii="Bookman Old Style" w:hAnsi="Bookman Old Style"/>
          <w:szCs w:val="24"/>
          <w:lang w:eastAsia="es-CO"/>
        </w:rPr>
      </w:pPr>
      <w:r w:rsidRPr="00335BBB">
        <w:rPr>
          <w:rFonts w:ascii="Bookman Old Style" w:hAnsi="Bookman Old Style" w:cs="Arial"/>
          <w:szCs w:val="24"/>
          <w:lang w:eastAsia="es-CO"/>
        </w:rPr>
        <w:t> </w:t>
      </w:r>
    </w:p>
    <w:p w:rsidR="007779A1" w:rsidRPr="00335BBB" w:rsidRDefault="007779A1" w:rsidP="0077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ight="567"/>
        <w:jc w:val="both"/>
        <w:rPr>
          <w:rFonts w:ascii="Bookman Old Style" w:hAnsi="Bookman Old Style"/>
          <w:szCs w:val="24"/>
          <w:lang w:eastAsia="es-CO"/>
        </w:rPr>
      </w:pPr>
      <w:r w:rsidRPr="00335BBB">
        <w:rPr>
          <w:rFonts w:ascii="Bookman Old Style" w:hAnsi="Bookman Old Style" w:cs="Arial"/>
          <w:szCs w:val="24"/>
          <w:lang w:eastAsia="es-CO"/>
        </w:rPr>
        <w:t>La ley destinará un porcentaje de estos tributos, que no podrá exc</w:t>
      </w:r>
      <w:r w:rsidRPr="00335BBB">
        <w:rPr>
          <w:rFonts w:ascii="Bookman Old Style" w:hAnsi="Bookman Old Style" w:cs="Arial"/>
          <w:szCs w:val="24"/>
          <w:lang w:eastAsia="es-CO"/>
        </w:rPr>
        <w:t>e</w:t>
      </w:r>
      <w:r w:rsidRPr="00335BBB">
        <w:rPr>
          <w:rFonts w:ascii="Bookman Old Style" w:hAnsi="Bookman Old Style" w:cs="Arial"/>
          <w:szCs w:val="24"/>
          <w:lang w:eastAsia="es-CO"/>
        </w:rPr>
        <w:t>der del promedio de las sobretasas existentes, a las entidades enca</w:t>
      </w:r>
      <w:r w:rsidRPr="00335BBB">
        <w:rPr>
          <w:rFonts w:ascii="Bookman Old Style" w:hAnsi="Bookman Old Style" w:cs="Arial"/>
          <w:szCs w:val="24"/>
          <w:lang w:eastAsia="es-CO"/>
        </w:rPr>
        <w:t>r</w:t>
      </w:r>
      <w:r w:rsidRPr="00335BBB">
        <w:rPr>
          <w:rFonts w:ascii="Bookman Old Style" w:hAnsi="Bookman Old Style" w:cs="Arial"/>
          <w:szCs w:val="24"/>
          <w:lang w:eastAsia="es-CO"/>
        </w:rPr>
        <w:t>gadas del manejo y conservación del ambiente y de los recursos n</w:t>
      </w:r>
      <w:r w:rsidRPr="00335BBB">
        <w:rPr>
          <w:rFonts w:ascii="Bookman Old Style" w:hAnsi="Bookman Old Style" w:cs="Arial"/>
          <w:szCs w:val="24"/>
          <w:lang w:eastAsia="es-CO"/>
        </w:rPr>
        <w:t>a</w:t>
      </w:r>
      <w:r w:rsidRPr="00335BBB">
        <w:rPr>
          <w:rFonts w:ascii="Bookman Old Style" w:hAnsi="Bookman Old Style" w:cs="Arial"/>
          <w:szCs w:val="24"/>
          <w:lang w:eastAsia="es-CO"/>
        </w:rPr>
        <w:t>turales renovables, de acuerdo con los planes de desarrollo de los municipios del área de su jurisdicción.</w:t>
      </w:r>
    </w:p>
    <w:p w:rsidR="007779A1" w:rsidRPr="00335BBB" w:rsidRDefault="007779A1" w:rsidP="007779A1">
      <w:pPr>
        <w:ind w:left="708"/>
        <w:rPr>
          <w:rFonts w:ascii="Bookman Old Style" w:hAnsi="Bookman Old Style"/>
          <w:szCs w:val="24"/>
        </w:rPr>
      </w:pPr>
    </w:p>
    <w:p w:rsidR="007779A1" w:rsidRPr="00335BBB" w:rsidRDefault="007779A1" w:rsidP="007779A1">
      <w:pPr>
        <w:ind w:left="708"/>
        <w:jc w:val="both"/>
        <w:rPr>
          <w:rFonts w:ascii="Bookman Old Style" w:hAnsi="Bookman Old Style"/>
          <w:szCs w:val="24"/>
          <w:lang w:eastAsia="es-CO"/>
        </w:rPr>
      </w:pPr>
      <w:r w:rsidRPr="00335BBB">
        <w:rPr>
          <w:rFonts w:ascii="Bookman Old Style" w:hAnsi="Bookman Old Style" w:cs="Arial"/>
          <w:b/>
          <w:szCs w:val="24"/>
          <w:lang w:eastAsia="es-CO"/>
        </w:rPr>
        <w:t>Artículo 322</w:t>
      </w:r>
      <w:r w:rsidRPr="00335BBB">
        <w:rPr>
          <w:rFonts w:ascii="Bookman Old Style" w:hAnsi="Bookman Old Style" w:cs="Arial"/>
          <w:b/>
          <w:bCs/>
          <w:szCs w:val="24"/>
          <w:lang w:eastAsia="es-CO"/>
        </w:rPr>
        <w:t xml:space="preserve">. Modificado por el Acto Legislativo </w:t>
      </w:r>
      <w:r w:rsidRPr="00335BBB">
        <w:rPr>
          <w:rFonts w:ascii="Bookman Old Style" w:hAnsi="Bookman Old Style" w:cs="Arial"/>
          <w:b/>
          <w:szCs w:val="24"/>
          <w:lang w:eastAsia="es-CO"/>
        </w:rPr>
        <w:t>01 de 2000. El nu</w:t>
      </w:r>
      <w:r w:rsidRPr="00335BBB">
        <w:rPr>
          <w:rFonts w:ascii="Bookman Old Style" w:hAnsi="Bookman Old Style" w:cs="Arial"/>
          <w:b/>
          <w:szCs w:val="24"/>
          <w:lang w:eastAsia="es-CO"/>
        </w:rPr>
        <w:t>e</w:t>
      </w:r>
      <w:r w:rsidRPr="00335BBB">
        <w:rPr>
          <w:rFonts w:ascii="Bookman Old Style" w:hAnsi="Bookman Old Style" w:cs="Arial"/>
          <w:b/>
          <w:szCs w:val="24"/>
          <w:lang w:eastAsia="es-CO"/>
        </w:rPr>
        <w:t xml:space="preserve">vo texto es el siguiente. </w:t>
      </w:r>
      <w:r w:rsidRPr="00335BBB">
        <w:rPr>
          <w:rFonts w:ascii="Bookman Old Style" w:hAnsi="Bookman Old Style" w:cs="Arial"/>
          <w:szCs w:val="24"/>
          <w:lang w:eastAsia="es-CO"/>
        </w:rPr>
        <w:t>Bogotá, Capital de la República y el Depart</w:t>
      </w:r>
      <w:r w:rsidRPr="00335BBB">
        <w:rPr>
          <w:rFonts w:ascii="Bookman Old Style" w:hAnsi="Bookman Old Style" w:cs="Arial"/>
          <w:szCs w:val="24"/>
          <w:lang w:eastAsia="es-CO"/>
        </w:rPr>
        <w:t>a</w:t>
      </w:r>
      <w:r w:rsidRPr="00335BBB">
        <w:rPr>
          <w:rFonts w:ascii="Bookman Old Style" w:hAnsi="Bookman Old Style" w:cs="Arial"/>
          <w:szCs w:val="24"/>
          <w:lang w:eastAsia="es-CO"/>
        </w:rPr>
        <w:t>mento de Cundinamarca, se organiza como Distrito Capital.</w:t>
      </w:r>
    </w:p>
    <w:p w:rsidR="007779A1" w:rsidRPr="00335BBB" w:rsidRDefault="007779A1" w:rsidP="007779A1">
      <w:pPr>
        <w:spacing w:before="100" w:beforeAutospacing="1" w:after="100" w:afterAutospacing="1"/>
        <w:ind w:left="708"/>
        <w:jc w:val="both"/>
        <w:rPr>
          <w:rFonts w:ascii="Bookman Old Style" w:hAnsi="Bookman Old Style"/>
          <w:szCs w:val="24"/>
          <w:lang w:eastAsia="es-CO"/>
        </w:rPr>
      </w:pPr>
      <w:r w:rsidRPr="00335BBB">
        <w:rPr>
          <w:rFonts w:ascii="Bookman Old Style" w:hAnsi="Bookman Old Style" w:cs="Arial"/>
          <w:szCs w:val="24"/>
          <w:lang w:eastAsia="es-CO"/>
        </w:rPr>
        <w:t>Su régimen político, fiscal y administrativo será el que determinen la Constitución, las leyes especiales que para el mismo se dicten y las di</w:t>
      </w:r>
      <w:r w:rsidRPr="00335BBB">
        <w:rPr>
          <w:rFonts w:ascii="Bookman Old Style" w:hAnsi="Bookman Old Style" w:cs="Arial"/>
          <w:szCs w:val="24"/>
          <w:lang w:eastAsia="es-CO"/>
        </w:rPr>
        <w:t>s</w:t>
      </w:r>
      <w:r w:rsidRPr="00335BBB">
        <w:rPr>
          <w:rFonts w:ascii="Bookman Old Style" w:hAnsi="Bookman Old Style" w:cs="Arial"/>
          <w:szCs w:val="24"/>
          <w:lang w:eastAsia="es-CO"/>
        </w:rPr>
        <w:t>posiciones vigentes para los municipios.</w:t>
      </w:r>
    </w:p>
    <w:p w:rsidR="007779A1" w:rsidRPr="00335BBB" w:rsidRDefault="007779A1" w:rsidP="007779A1">
      <w:pPr>
        <w:spacing w:before="100" w:beforeAutospacing="1" w:after="100" w:afterAutospacing="1"/>
        <w:ind w:left="708"/>
        <w:jc w:val="both"/>
        <w:rPr>
          <w:rFonts w:ascii="Bookman Old Style" w:hAnsi="Bookman Old Style"/>
          <w:szCs w:val="24"/>
          <w:lang w:eastAsia="es-CO"/>
        </w:rPr>
      </w:pPr>
      <w:r w:rsidRPr="00335BBB">
        <w:rPr>
          <w:rFonts w:ascii="Bookman Old Style" w:hAnsi="Bookman Old Style" w:cs="Arial"/>
          <w:szCs w:val="24"/>
          <w:lang w:eastAsia="es-CO"/>
        </w:rPr>
        <w:t>Con base en las normas generales que establezca la ley, el concejo a in</w:t>
      </w:r>
      <w:r w:rsidRPr="00335BBB">
        <w:rPr>
          <w:rFonts w:ascii="Bookman Old Style" w:hAnsi="Bookman Old Style" w:cs="Arial"/>
          <w:szCs w:val="24"/>
          <w:lang w:eastAsia="es-CO"/>
        </w:rPr>
        <w:t>i</w:t>
      </w:r>
      <w:r w:rsidRPr="00335BBB">
        <w:rPr>
          <w:rFonts w:ascii="Bookman Old Style" w:hAnsi="Bookman Old Style" w:cs="Arial"/>
          <w:szCs w:val="24"/>
          <w:lang w:eastAsia="es-CO"/>
        </w:rPr>
        <w:t>ciativa del alcalde, dividirá el territorio distrital en localidades, de acuerdo con las características sociales de sus habitantes, y hará el correspo</w:t>
      </w:r>
      <w:r w:rsidRPr="00335BBB">
        <w:rPr>
          <w:rFonts w:ascii="Bookman Old Style" w:hAnsi="Bookman Old Style" w:cs="Arial"/>
          <w:szCs w:val="24"/>
          <w:lang w:eastAsia="es-CO"/>
        </w:rPr>
        <w:t>n</w:t>
      </w:r>
      <w:r w:rsidRPr="00335BBB">
        <w:rPr>
          <w:rFonts w:ascii="Bookman Old Style" w:hAnsi="Bookman Old Style" w:cs="Arial"/>
          <w:szCs w:val="24"/>
          <w:lang w:eastAsia="es-CO"/>
        </w:rPr>
        <w:t>diente reparto de competencias y funciones administrativas.</w:t>
      </w:r>
    </w:p>
    <w:p w:rsidR="007779A1" w:rsidRPr="00335BBB" w:rsidRDefault="007779A1" w:rsidP="007779A1">
      <w:pPr>
        <w:spacing w:before="100" w:beforeAutospacing="1" w:after="100" w:afterAutospacing="1"/>
        <w:ind w:left="708"/>
        <w:jc w:val="both"/>
        <w:rPr>
          <w:rFonts w:ascii="Bookman Old Style" w:hAnsi="Bookman Old Style" w:cs="Arial"/>
          <w:szCs w:val="24"/>
          <w:lang w:eastAsia="es-CO"/>
        </w:rPr>
      </w:pPr>
      <w:r w:rsidRPr="00335BBB">
        <w:rPr>
          <w:rFonts w:ascii="Bookman Old Style" w:hAnsi="Bookman Old Style" w:cs="Arial"/>
          <w:szCs w:val="24"/>
          <w:lang w:eastAsia="es-CO"/>
        </w:rPr>
        <w:t>A las autoridades distritales corresponderá garantizar el desarrollo arm</w:t>
      </w:r>
      <w:r w:rsidRPr="00335BBB">
        <w:rPr>
          <w:rFonts w:ascii="Bookman Old Style" w:hAnsi="Bookman Old Style" w:cs="Arial"/>
          <w:szCs w:val="24"/>
          <w:lang w:eastAsia="es-CO"/>
        </w:rPr>
        <w:t>ó</w:t>
      </w:r>
      <w:r w:rsidRPr="00335BBB">
        <w:rPr>
          <w:rFonts w:ascii="Bookman Old Style" w:hAnsi="Bookman Old Style" w:cs="Arial"/>
          <w:szCs w:val="24"/>
          <w:lang w:eastAsia="es-CO"/>
        </w:rPr>
        <w:t>nico e integrado de la ciudad y la eficiente prestación de los servicios a cargo del Distrito; a las locales, la gestión de los asuntos propios de su t</w:t>
      </w:r>
      <w:r w:rsidRPr="00335BBB">
        <w:rPr>
          <w:rFonts w:ascii="Bookman Old Style" w:hAnsi="Bookman Old Style" w:cs="Arial"/>
          <w:szCs w:val="24"/>
          <w:lang w:eastAsia="es-CO"/>
        </w:rPr>
        <w:t>e</w:t>
      </w:r>
      <w:r w:rsidRPr="00335BBB">
        <w:rPr>
          <w:rFonts w:ascii="Bookman Old Style" w:hAnsi="Bookman Old Style" w:cs="Arial"/>
          <w:szCs w:val="24"/>
          <w:lang w:eastAsia="es-CO"/>
        </w:rPr>
        <w:t>rritorio.</w:t>
      </w:r>
    </w:p>
    <w:p w:rsidR="007779A1" w:rsidRPr="00335BBB" w:rsidRDefault="007779A1" w:rsidP="007779A1">
      <w:pPr>
        <w:numPr>
          <w:ilvl w:val="1"/>
          <w:numId w:val="6"/>
        </w:numPr>
        <w:spacing w:line="276" w:lineRule="auto"/>
        <w:ind w:right="51"/>
        <w:jc w:val="both"/>
        <w:rPr>
          <w:rFonts w:ascii="Bookman Old Style" w:hAnsi="Bookman Old Style" w:cs="Arial"/>
          <w:b/>
          <w:szCs w:val="24"/>
          <w:lang w:eastAsia="es-CO"/>
        </w:rPr>
      </w:pPr>
      <w:r w:rsidRPr="00335BBB">
        <w:rPr>
          <w:rFonts w:ascii="Bookman Old Style" w:hAnsi="Bookman Old Style" w:cs="Arial"/>
          <w:b/>
          <w:szCs w:val="24"/>
          <w:lang w:eastAsia="es-CO"/>
        </w:rPr>
        <w:t>LEYES</w:t>
      </w:r>
    </w:p>
    <w:p w:rsidR="007779A1" w:rsidRPr="00335BBB" w:rsidRDefault="007779A1" w:rsidP="007779A1">
      <w:pPr>
        <w:spacing w:before="100" w:beforeAutospacing="1" w:after="100" w:afterAutospacing="1"/>
        <w:ind w:left="708"/>
        <w:jc w:val="both"/>
        <w:rPr>
          <w:rFonts w:ascii="Bookman Old Style" w:hAnsi="Bookman Old Style" w:cs="Arial"/>
          <w:b/>
          <w:bCs/>
          <w:szCs w:val="24"/>
        </w:rPr>
      </w:pPr>
      <w:r w:rsidRPr="00335BBB">
        <w:rPr>
          <w:rFonts w:ascii="Bookman Old Style" w:hAnsi="Bookman Old Style" w:cs="Arial"/>
          <w:b/>
          <w:bCs/>
          <w:szCs w:val="24"/>
        </w:rPr>
        <w:t xml:space="preserve">Ley 14 de 1983 </w:t>
      </w:r>
      <w:r w:rsidRPr="00335BBB">
        <w:rPr>
          <w:rFonts w:ascii="Bookman Old Style" w:hAnsi="Bookman Old Style" w:cs="Arial"/>
          <w:bCs/>
          <w:szCs w:val="24"/>
        </w:rPr>
        <w:t>Por la cual se fortalecen los fiscos de las entidades terr</w:t>
      </w:r>
      <w:r w:rsidRPr="00335BBB">
        <w:rPr>
          <w:rFonts w:ascii="Bookman Old Style" w:hAnsi="Bookman Old Style" w:cs="Arial"/>
          <w:bCs/>
          <w:szCs w:val="24"/>
        </w:rPr>
        <w:t>i</w:t>
      </w:r>
      <w:r w:rsidRPr="00335BBB">
        <w:rPr>
          <w:rFonts w:ascii="Bookman Old Style" w:hAnsi="Bookman Old Style" w:cs="Arial"/>
          <w:bCs/>
          <w:szCs w:val="24"/>
        </w:rPr>
        <w:t>toriales y se dictan otras disposiciones</w:t>
      </w:r>
    </w:p>
    <w:p w:rsidR="007779A1" w:rsidRPr="00335BBB" w:rsidRDefault="007779A1" w:rsidP="007779A1">
      <w:pPr>
        <w:spacing w:before="100" w:beforeAutospacing="1" w:after="100" w:afterAutospacing="1"/>
        <w:ind w:left="708"/>
        <w:jc w:val="both"/>
        <w:rPr>
          <w:rFonts w:ascii="Bookman Old Style" w:hAnsi="Bookman Old Style" w:cs="Arial"/>
          <w:b/>
          <w:bCs/>
          <w:szCs w:val="24"/>
        </w:rPr>
      </w:pPr>
      <w:r w:rsidRPr="00335BBB">
        <w:rPr>
          <w:rFonts w:ascii="Bookman Old Style" w:hAnsi="Bookman Old Style" w:cs="Arial"/>
          <w:b/>
          <w:bCs/>
          <w:szCs w:val="24"/>
        </w:rPr>
        <w:lastRenderedPageBreak/>
        <w:t xml:space="preserve">Ley 44 de 1990 </w:t>
      </w:r>
      <w:r w:rsidRPr="00335BBB">
        <w:rPr>
          <w:rFonts w:ascii="Bookman Old Style" w:hAnsi="Bookman Old Style" w:cs="Arial"/>
          <w:bCs/>
          <w:szCs w:val="24"/>
        </w:rPr>
        <w:t>Por la cual se dictan normas sobre catastro e impuestos sobre la propiedad raíz, se dictan otras disposiciones de carácter tribut</w:t>
      </w:r>
      <w:r w:rsidRPr="00335BBB">
        <w:rPr>
          <w:rFonts w:ascii="Bookman Old Style" w:hAnsi="Bookman Old Style" w:cs="Arial"/>
          <w:bCs/>
          <w:szCs w:val="24"/>
        </w:rPr>
        <w:t>a</w:t>
      </w:r>
      <w:r w:rsidRPr="00335BBB">
        <w:rPr>
          <w:rFonts w:ascii="Bookman Old Style" w:hAnsi="Bookman Old Style" w:cs="Arial"/>
          <w:bCs/>
          <w:szCs w:val="24"/>
        </w:rPr>
        <w:t>rio, y se conceden unas facultades extraordinarias.</w:t>
      </w:r>
    </w:p>
    <w:p w:rsidR="007779A1" w:rsidRPr="00335BBB" w:rsidRDefault="007779A1" w:rsidP="007779A1">
      <w:pPr>
        <w:ind w:left="708"/>
        <w:jc w:val="both"/>
        <w:rPr>
          <w:rFonts w:ascii="Bookman Old Style" w:hAnsi="Bookman Old Style"/>
          <w:szCs w:val="24"/>
        </w:rPr>
      </w:pPr>
      <w:r w:rsidRPr="00335BBB">
        <w:rPr>
          <w:rFonts w:ascii="Bookman Old Style" w:hAnsi="Bookman Old Style" w:cs="Arial"/>
          <w:b/>
          <w:bCs/>
          <w:szCs w:val="24"/>
        </w:rPr>
        <w:t xml:space="preserve">Decreto-Ley 1421 de 1993. </w:t>
      </w:r>
      <w:r w:rsidRPr="00335BBB">
        <w:rPr>
          <w:rFonts w:ascii="Bookman Old Style" w:hAnsi="Bookman Old Style"/>
          <w:szCs w:val="24"/>
        </w:rPr>
        <w:t>"Por el cual se dicta el régimen especial para el Distrito Capital de Santafé de Bogotá"</w:t>
      </w:r>
    </w:p>
    <w:p w:rsidR="007779A1" w:rsidRPr="00335BBB" w:rsidRDefault="007779A1" w:rsidP="007779A1">
      <w:pPr>
        <w:ind w:left="708"/>
        <w:jc w:val="both"/>
        <w:rPr>
          <w:rFonts w:ascii="Bookman Old Style" w:hAnsi="Bookman Old Style"/>
          <w:szCs w:val="24"/>
        </w:rPr>
      </w:pPr>
    </w:p>
    <w:p w:rsidR="007779A1" w:rsidRPr="00335BBB" w:rsidRDefault="007779A1" w:rsidP="007779A1">
      <w:pPr>
        <w:ind w:left="708"/>
        <w:jc w:val="both"/>
        <w:rPr>
          <w:rFonts w:ascii="Bookman Old Style" w:hAnsi="Bookman Old Style"/>
          <w:szCs w:val="24"/>
        </w:rPr>
      </w:pPr>
      <w:r w:rsidRPr="00335BBB">
        <w:rPr>
          <w:rFonts w:ascii="Bookman Old Style" w:hAnsi="Bookman Old Style"/>
          <w:b/>
          <w:szCs w:val="24"/>
        </w:rPr>
        <w:t>Ley 388 de 1997</w:t>
      </w:r>
      <w:r w:rsidRPr="00335BBB">
        <w:rPr>
          <w:rFonts w:ascii="Bookman Old Style" w:hAnsi="Bookman Old Style"/>
          <w:szCs w:val="24"/>
        </w:rPr>
        <w:t xml:space="preserve"> Ley de Desarrollo Territorial.</w:t>
      </w:r>
    </w:p>
    <w:p w:rsidR="007779A1" w:rsidRPr="00335BBB" w:rsidRDefault="007779A1" w:rsidP="007779A1">
      <w:pPr>
        <w:ind w:left="708"/>
        <w:jc w:val="both"/>
        <w:rPr>
          <w:rFonts w:ascii="Bookman Old Style" w:hAnsi="Bookman Old Style"/>
          <w:szCs w:val="24"/>
        </w:rPr>
      </w:pPr>
    </w:p>
    <w:p w:rsidR="007779A1" w:rsidRDefault="007779A1" w:rsidP="007779A1">
      <w:pPr>
        <w:ind w:left="708"/>
        <w:jc w:val="both"/>
        <w:rPr>
          <w:rFonts w:ascii="Bookman Old Style" w:hAnsi="Bookman Old Style"/>
          <w:szCs w:val="24"/>
        </w:rPr>
      </w:pPr>
      <w:r w:rsidRPr="00335BBB">
        <w:rPr>
          <w:rFonts w:ascii="Bookman Old Style" w:hAnsi="Bookman Old Style"/>
          <w:b/>
          <w:szCs w:val="24"/>
        </w:rPr>
        <w:t>Ley 1454 de 2011</w:t>
      </w:r>
      <w:r w:rsidRPr="00335BBB">
        <w:rPr>
          <w:rFonts w:ascii="Bookman Old Style" w:hAnsi="Bookman Old Style"/>
          <w:szCs w:val="24"/>
        </w:rPr>
        <w:t xml:space="preserve"> Ley Orgánica de Ordenamiento Territorial.</w:t>
      </w:r>
    </w:p>
    <w:p w:rsidR="007779A1" w:rsidRPr="00335BBB" w:rsidRDefault="007779A1" w:rsidP="007779A1">
      <w:pPr>
        <w:ind w:left="708"/>
        <w:jc w:val="both"/>
        <w:rPr>
          <w:rFonts w:ascii="Bookman Old Style" w:hAnsi="Bookman Old Style"/>
          <w:szCs w:val="24"/>
        </w:rPr>
      </w:pPr>
    </w:p>
    <w:p w:rsidR="007779A1" w:rsidRPr="00335BBB" w:rsidRDefault="007779A1" w:rsidP="007779A1">
      <w:pPr>
        <w:numPr>
          <w:ilvl w:val="1"/>
          <w:numId w:val="6"/>
        </w:numPr>
        <w:spacing w:line="276" w:lineRule="auto"/>
        <w:ind w:right="51"/>
        <w:jc w:val="both"/>
        <w:rPr>
          <w:rFonts w:ascii="Bookman Old Style" w:hAnsi="Bookman Old Style"/>
          <w:b/>
          <w:szCs w:val="24"/>
        </w:rPr>
      </w:pPr>
      <w:r w:rsidRPr="00335BBB">
        <w:rPr>
          <w:rFonts w:ascii="Bookman Old Style" w:hAnsi="Bookman Old Style"/>
          <w:b/>
          <w:szCs w:val="24"/>
        </w:rPr>
        <w:t>ACUERDOS.</w:t>
      </w:r>
    </w:p>
    <w:p w:rsidR="007779A1" w:rsidRPr="00335BBB" w:rsidRDefault="007779A1" w:rsidP="007779A1">
      <w:pPr>
        <w:spacing w:line="276" w:lineRule="auto"/>
        <w:ind w:right="51"/>
        <w:jc w:val="both"/>
        <w:rPr>
          <w:rFonts w:ascii="Bookman Old Style" w:hAnsi="Bookman Old Style"/>
          <w:b/>
          <w:szCs w:val="24"/>
        </w:rPr>
      </w:pPr>
    </w:p>
    <w:p w:rsidR="007779A1" w:rsidRPr="00335BBB" w:rsidRDefault="007779A1" w:rsidP="007779A1">
      <w:pPr>
        <w:spacing w:line="276" w:lineRule="auto"/>
        <w:ind w:left="360" w:right="51"/>
        <w:jc w:val="both"/>
        <w:rPr>
          <w:rFonts w:ascii="Bookman Old Style" w:hAnsi="Bookman Old Style"/>
          <w:szCs w:val="24"/>
        </w:rPr>
      </w:pPr>
      <w:r w:rsidRPr="00335BBB">
        <w:rPr>
          <w:rFonts w:ascii="Bookman Old Style" w:hAnsi="Bookman Old Style"/>
          <w:szCs w:val="24"/>
        </w:rPr>
        <w:t>ACUERDO 77 DE 2002. “Por el cual se modifica el Sistema de Beneficios Tributarios del Impuesto Predial Unificado y del Impuesto Sobre Vehículos Automotores "</w:t>
      </w:r>
    </w:p>
    <w:p w:rsidR="007779A1" w:rsidRPr="00335BBB" w:rsidRDefault="007779A1" w:rsidP="007779A1">
      <w:pPr>
        <w:spacing w:line="276" w:lineRule="auto"/>
        <w:ind w:right="51"/>
        <w:jc w:val="both"/>
        <w:rPr>
          <w:rFonts w:ascii="Bookman Old Style" w:hAnsi="Bookman Old Style"/>
          <w:szCs w:val="24"/>
        </w:rPr>
      </w:pPr>
    </w:p>
    <w:p w:rsidR="007779A1" w:rsidRPr="00335BBB" w:rsidRDefault="007779A1" w:rsidP="007779A1">
      <w:pPr>
        <w:spacing w:line="276" w:lineRule="auto"/>
        <w:ind w:left="360" w:right="51"/>
        <w:jc w:val="both"/>
        <w:rPr>
          <w:rFonts w:ascii="Bookman Old Style" w:hAnsi="Bookman Old Style"/>
          <w:szCs w:val="24"/>
        </w:rPr>
      </w:pPr>
      <w:r w:rsidRPr="00335BBB">
        <w:rPr>
          <w:rFonts w:ascii="Bookman Old Style" w:hAnsi="Bookman Old Style"/>
          <w:szCs w:val="24"/>
        </w:rPr>
        <w:t>ACUERDO 105 DE 2003. "Por el cual se adecuan las categorías tarifarias del impuesto predial unificado al Plan de Ordenamiento Territorial y se e</w:t>
      </w:r>
      <w:r w:rsidRPr="00335BBB">
        <w:rPr>
          <w:rFonts w:ascii="Bookman Old Style" w:hAnsi="Bookman Old Style"/>
          <w:szCs w:val="24"/>
        </w:rPr>
        <w:t>s</w:t>
      </w:r>
      <w:r w:rsidRPr="00335BBB">
        <w:rPr>
          <w:rFonts w:ascii="Bookman Old Style" w:hAnsi="Bookman Old Style"/>
          <w:szCs w:val="24"/>
        </w:rPr>
        <w:t xml:space="preserve">tablecen y racionalizan algunos incentivos". </w:t>
      </w:r>
    </w:p>
    <w:p w:rsidR="007779A1" w:rsidRPr="00335BBB" w:rsidRDefault="007779A1" w:rsidP="007779A1">
      <w:pPr>
        <w:spacing w:line="276" w:lineRule="auto"/>
        <w:ind w:left="360" w:right="51"/>
        <w:jc w:val="both"/>
        <w:rPr>
          <w:rFonts w:ascii="Bookman Old Style" w:hAnsi="Bookman Old Style"/>
          <w:szCs w:val="24"/>
        </w:rPr>
      </w:pPr>
    </w:p>
    <w:p w:rsidR="007779A1" w:rsidRPr="00335BBB" w:rsidRDefault="007779A1" w:rsidP="007779A1">
      <w:pPr>
        <w:spacing w:line="276" w:lineRule="auto"/>
        <w:ind w:left="360" w:right="51"/>
        <w:jc w:val="both"/>
        <w:rPr>
          <w:rFonts w:ascii="Bookman Old Style" w:hAnsi="Bookman Old Style"/>
          <w:szCs w:val="24"/>
        </w:rPr>
      </w:pPr>
      <w:r w:rsidRPr="00335BBB">
        <w:rPr>
          <w:rFonts w:ascii="Bookman Old Style" w:hAnsi="Bookman Old Style"/>
          <w:szCs w:val="24"/>
        </w:rPr>
        <w:t>ACUERDO 185 DE 2005. "por el cual se realizan unas modificaciones al Acuerdo 105 de 2003."</w:t>
      </w:r>
    </w:p>
    <w:p w:rsidR="007779A1" w:rsidRPr="00335BBB" w:rsidRDefault="007779A1" w:rsidP="007779A1">
      <w:pPr>
        <w:spacing w:line="276" w:lineRule="auto"/>
        <w:ind w:left="360" w:right="51"/>
        <w:jc w:val="both"/>
        <w:rPr>
          <w:rFonts w:ascii="Bookman Old Style" w:hAnsi="Bookman Old Style"/>
          <w:szCs w:val="24"/>
        </w:rPr>
      </w:pPr>
    </w:p>
    <w:p w:rsidR="007779A1" w:rsidRPr="00335BBB" w:rsidRDefault="007779A1" w:rsidP="007779A1">
      <w:pPr>
        <w:spacing w:line="276" w:lineRule="auto"/>
        <w:ind w:left="360" w:right="51"/>
        <w:jc w:val="both"/>
        <w:rPr>
          <w:rFonts w:ascii="Bookman Old Style" w:hAnsi="Bookman Old Style"/>
          <w:szCs w:val="24"/>
        </w:rPr>
      </w:pPr>
      <w:r w:rsidRPr="00335BBB">
        <w:rPr>
          <w:rFonts w:ascii="Bookman Old Style" w:hAnsi="Bookman Old Style"/>
          <w:szCs w:val="24"/>
        </w:rPr>
        <w:t>ACUERDO 469 DE 2011. "Por el cual se establecen medidas especiales de Pago de Tributos en el Distrito Capital y se dictan otras disposiciones"</w:t>
      </w:r>
    </w:p>
    <w:p w:rsidR="007779A1" w:rsidRPr="00335BBB" w:rsidRDefault="007779A1" w:rsidP="007779A1">
      <w:pPr>
        <w:spacing w:line="276" w:lineRule="auto"/>
        <w:ind w:right="51"/>
        <w:jc w:val="both"/>
        <w:rPr>
          <w:rFonts w:ascii="Bookman Old Style" w:hAnsi="Bookman Old Style"/>
          <w:szCs w:val="24"/>
        </w:rPr>
      </w:pPr>
    </w:p>
    <w:p w:rsidR="007779A1" w:rsidRPr="00335BBB" w:rsidRDefault="007779A1" w:rsidP="007779A1">
      <w:pPr>
        <w:ind w:left="720"/>
        <w:jc w:val="both"/>
        <w:rPr>
          <w:rFonts w:ascii="Bookman Old Style" w:hAnsi="Bookman Old Style" w:cs="Arial"/>
          <w:szCs w:val="24"/>
        </w:rPr>
      </w:pPr>
    </w:p>
    <w:p w:rsidR="007779A1" w:rsidRPr="00335BBB" w:rsidRDefault="007779A1" w:rsidP="007779A1">
      <w:pPr>
        <w:numPr>
          <w:ilvl w:val="1"/>
          <w:numId w:val="6"/>
        </w:numPr>
        <w:spacing w:line="276" w:lineRule="auto"/>
        <w:ind w:right="51"/>
        <w:jc w:val="both"/>
        <w:rPr>
          <w:rFonts w:ascii="Bookman Old Style" w:hAnsi="Bookman Old Style" w:cs="Arial"/>
          <w:b/>
          <w:szCs w:val="24"/>
          <w:lang w:eastAsia="es-CO"/>
        </w:rPr>
      </w:pPr>
      <w:r w:rsidRPr="00335BBB">
        <w:rPr>
          <w:rFonts w:ascii="Bookman Old Style" w:hAnsi="Bookman Old Style" w:cs="Arial"/>
          <w:b/>
          <w:szCs w:val="24"/>
          <w:lang w:eastAsia="es-CO"/>
        </w:rPr>
        <w:t>DECRETOS DISTRITALES</w:t>
      </w:r>
    </w:p>
    <w:p w:rsidR="007779A1" w:rsidRPr="00335BBB" w:rsidRDefault="007779A1" w:rsidP="007779A1">
      <w:pPr>
        <w:spacing w:line="276" w:lineRule="auto"/>
        <w:ind w:right="51"/>
        <w:jc w:val="both"/>
        <w:rPr>
          <w:rFonts w:ascii="Bookman Old Style" w:hAnsi="Bookman Old Style" w:cs="Arial"/>
          <w:b/>
          <w:szCs w:val="24"/>
          <w:lang w:eastAsia="es-CO"/>
        </w:rPr>
      </w:pPr>
    </w:p>
    <w:p w:rsidR="007779A1" w:rsidRPr="00335BBB" w:rsidRDefault="007779A1" w:rsidP="007779A1">
      <w:pPr>
        <w:spacing w:line="276" w:lineRule="auto"/>
        <w:ind w:left="360" w:right="51"/>
        <w:jc w:val="both"/>
        <w:rPr>
          <w:rFonts w:ascii="Bookman Old Style" w:hAnsi="Bookman Old Style" w:cs="Arial"/>
          <w:szCs w:val="24"/>
          <w:lang w:eastAsia="es-CO"/>
        </w:rPr>
      </w:pPr>
      <w:r w:rsidRPr="00335BBB">
        <w:rPr>
          <w:rFonts w:ascii="Bookman Old Style" w:hAnsi="Bookman Old Style" w:cs="Arial"/>
          <w:szCs w:val="24"/>
          <w:lang w:eastAsia="es-CO"/>
        </w:rPr>
        <w:t>DECRETO 352 DE 2002 "Por el cual se compila y actualiza la normativa sustantiva tributaria vigente, incluyendo las modificaciones generadas por la aplicación de nuevas normas nacionales que se deban aplicar a los trib</w:t>
      </w:r>
      <w:r w:rsidRPr="00335BBB">
        <w:rPr>
          <w:rFonts w:ascii="Bookman Old Style" w:hAnsi="Bookman Old Style" w:cs="Arial"/>
          <w:szCs w:val="24"/>
          <w:lang w:eastAsia="es-CO"/>
        </w:rPr>
        <w:t>u</w:t>
      </w:r>
      <w:r w:rsidRPr="00335BBB">
        <w:rPr>
          <w:rFonts w:ascii="Bookman Old Style" w:hAnsi="Bookman Old Style" w:cs="Arial"/>
          <w:szCs w:val="24"/>
          <w:lang w:eastAsia="es-CO"/>
        </w:rPr>
        <w:t>tos del Distrito Capital, y las generadas por acuerdos del orden distrital".</w:t>
      </w:r>
    </w:p>
    <w:p w:rsidR="007779A1" w:rsidRPr="00335BBB" w:rsidRDefault="007779A1" w:rsidP="007779A1">
      <w:pPr>
        <w:spacing w:line="276" w:lineRule="auto"/>
        <w:ind w:right="51"/>
        <w:jc w:val="both"/>
        <w:rPr>
          <w:rFonts w:ascii="Bookman Old Style" w:hAnsi="Bookman Old Style" w:cs="Arial"/>
          <w:b/>
          <w:szCs w:val="24"/>
          <w:lang w:eastAsia="es-CO"/>
        </w:rPr>
      </w:pPr>
    </w:p>
    <w:p w:rsidR="007779A1" w:rsidRPr="00335BBB" w:rsidRDefault="007779A1" w:rsidP="007779A1">
      <w:pPr>
        <w:numPr>
          <w:ilvl w:val="1"/>
          <w:numId w:val="6"/>
        </w:numPr>
        <w:spacing w:line="276" w:lineRule="auto"/>
        <w:ind w:right="51"/>
        <w:jc w:val="both"/>
        <w:rPr>
          <w:rFonts w:ascii="Bookman Old Style" w:hAnsi="Bookman Old Style" w:cs="Arial"/>
          <w:b/>
          <w:szCs w:val="24"/>
          <w:lang w:eastAsia="es-CO"/>
        </w:rPr>
      </w:pPr>
      <w:r w:rsidRPr="00335BBB">
        <w:rPr>
          <w:rFonts w:ascii="Bookman Old Style" w:hAnsi="Bookman Old Style" w:cs="Arial"/>
          <w:b/>
          <w:szCs w:val="24"/>
          <w:lang w:eastAsia="es-CO"/>
        </w:rPr>
        <w:t>COMPETENCIA DEL CONCEJO DE BOGOTÁ</w:t>
      </w:r>
    </w:p>
    <w:p w:rsidR="007779A1" w:rsidRPr="00335BBB" w:rsidRDefault="007779A1" w:rsidP="007779A1">
      <w:pPr>
        <w:ind w:left="708"/>
        <w:jc w:val="both"/>
        <w:rPr>
          <w:rFonts w:ascii="Bookman Old Style" w:hAnsi="Bookman Old Style"/>
          <w:b/>
          <w:szCs w:val="24"/>
        </w:rPr>
      </w:pPr>
    </w:p>
    <w:p w:rsidR="007779A1" w:rsidRPr="00335BBB" w:rsidRDefault="007779A1" w:rsidP="007779A1">
      <w:pPr>
        <w:ind w:left="708"/>
        <w:jc w:val="both"/>
        <w:rPr>
          <w:rFonts w:ascii="Bookman Old Style" w:hAnsi="Bookman Old Style"/>
          <w:b/>
          <w:szCs w:val="24"/>
        </w:rPr>
      </w:pPr>
      <w:r w:rsidRPr="00335BBB">
        <w:rPr>
          <w:rFonts w:ascii="Bookman Old Style" w:hAnsi="Bookman Old Style"/>
          <w:b/>
          <w:szCs w:val="24"/>
        </w:rPr>
        <w:t>Decreto Ley 1421 de 1993</w:t>
      </w:r>
    </w:p>
    <w:p w:rsidR="007779A1" w:rsidRPr="00335BBB" w:rsidRDefault="007779A1" w:rsidP="007779A1">
      <w:pPr>
        <w:ind w:left="708"/>
        <w:jc w:val="both"/>
        <w:rPr>
          <w:rFonts w:ascii="Bookman Old Style" w:hAnsi="Bookman Old Style"/>
          <w:szCs w:val="24"/>
        </w:rPr>
      </w:pPr>
    </w:p>
    <w:p w:rsidR="007779A1" w:rsidRPr="00335BBB" w:rsidRDefault="007779A1" w:rsidP="007779A1">
      <w:pPr>
        <w:ind w:left="708"/>
        <w:jc w:val="both"/>
        <w:rPr>
          <w:rFonts w:ascii="Bookman Old Style" w:hAnsi="Bookman Old Style"/>
          <w:szCs w:val="24"/>
        </w:rPr>
      </w:pPr>
      <w:r w:rsidRPr="00335BBB">
        <w:rPr>
          <w:rFonts w:ascii="Bookman Old Style" w:hAnsi="Bookman Old Style"/>
          <w:b/>
          <w:szCs w:val="24"/>
        </w:rPr>
        <w:t>ARTICULO 12.</w:t>
      </w:r>
      <w:r w:rsidRPr="00335BBB">
        <w:rPr>
          <w:rFonts w:ascii="Bookman Old Style" w:hAnsi="Bookman Old Style"/>
          <w:szCs w:val="24"/>
        </w:rPr>
        <w:t xml:space="preserve"> Atribuciones. Corresponde al Concejo Distrital, de co</w:t>
      </w:r>
      <w:r w:rsidRPr="00335BBB">
        <w:rPr>
          <w:rFonts w:ascii="Bookman Old Style" w:hAnsi="Bookman Old Style"/>
          <w:szCs w:val="24"/>
        </w:rPr>
        <w:t>n</w:t>
      </w:r>
      <w:r w:rsidRPr="00335BBB">
        <w:rPr>
          <w:rFonts w:ascii="Bookman Old Style" w:hAnsi="Bookman Old Style"/>
          <w:szCs w:val="24"/>
        </w:rPr>
        <w:t>formidad con la Constitución y a la ley:</w:t>
      </w:r>
    </w:p>
    <w:p w:rsidR="007779A1" w:rsidRPr="00335BBB" w:rsidRDefault="007779A1" w:rsidP="007779A1">
      <w:pPr>
        <w:ind w:left="708"/>
        <w:jc w:val="both"/>
        <w:rPr>
          <w:rFonts w:ascii="Bookman Old Style" w:hAnsi="Bookman Old Style"/>
          <w:szCs w:val="24"/>
        </w:rPr>
      </w:pPr>
    </w:p>
    <w:p w:rsidR="007779A1" w:rsidRPr="00335BBB" w:rsidRDefault="007779A1" w:rsidP="007779A1">
      <w:pPr>
        <w:ind w:left="708"/>
        <w:jc w:val="both"/>
        <w:rPr>
          <w:rFonts w:ascii="Bookman Old Style" w:hAnsi="Bookman Old Style"/>
          <w:szCs w:val="24"/>
        </w:rPr>
      </w:pPr>
      <w:r w:rsidRPr="00335BBB">
        <w:rPr>
          <w:rFonts w:ascii="Bookman Old Style" w:hAnsi="Bookman Old Style"/>
          <w:szCs w:val="24"/>
        </w:rPr>
        <w:t>1. Dictar las normas necesarias para garantizar el adecuado cumplimie</w:t>
      </w:r>
      <w:r w:rsidRPr="00335BBB">
        <w:rPr>
          <w:rFonts w:ascii="Bookman Old Style" w:hAnsi="Bookman Old Style"/>
          <w:szCs w:val="24"/>
        </w:rPr>
        <w:t>n</w:t>
      </w:r>
      <w:r w:rsidRPr="00335BBB">
        <w:rPr>
          <w:rFonts w:ascii="Bookman Old Style" w:hAnsi="Bookman Old Style"/>
          <w:szCs w:val="24"/>
        </w:rPr>
        <w:t>to de las funciones y la eficiente prestación de los servicios a cargo del Distrito.</w:t>
      </w:r>
    </w:p>
    <w:p w:rsidR="007779A1" w:rsidRPr="00335BBB" w:rsidRDefault="007779A1" w:rsidP="007779A1">
      <w:pPr>
        <w:ind w:left="708"/>
        <w:jc w:val="both"/>
        <w:rPr>
          <w:rFonts w:ascii="Bookman Old Style" w:hAnsi="Bookman Old Style"/>
          <w:szCs w:val="24"/>
        </w:rPr>
      </w:pPr>
    </w:p>
    <w:p w:rsidR="007779A1" w:rsidRPr="00335BBB" w:rsidRDefault="007779A1" w:rsidP="007779A1">
      <w:pPr>
        <w:ind w:left="708"/>
        <w:jc w:val="both"/>
        <w:rPr>
          <w:rFonts w:ascii="Bookman Old Style" w:hAnsi="Bookman Old Style"/>
          <w:szCs w:val="24"/>
        </w:rPr>
      </w:pPr>
      <w:r w:rsidRPr="00335BBB">
        <w:rPr>
          <w:rFonts w:ascii="Bookman Old Style" w:hAnsi="Bookman Old Style"/>
          <w:szCs w:val="24"/>
        </w:rPr>
        <w:t>ARTICULO 13. Iniciativa. Los proyectos de acuerdo pueden ser present</w:t>
      </w:r>
      <w:r w:rsidRPr="00335BBB">
        <w:rPr>
          <w:rFonts w:ascii="Bookman Old Style" w:hAnsi="Bookman Old Style"/>
          <w:szCs w:val="24"/>
        </w:rPr>
        <w:t>a</w:t>
      </w:r>
      <w:r w:rsidRPr="00335BBB">
        <w:rPr>
          <w:rFonts w:ascii="Bookman Old Style" w:hAnsi="Bookman Old Style"/>
          <w:szCs w:val="24"/>
        </w:rPr>
        <w:t>dos por los concejales y el alcalde mayor por conducto de sus secretarios, jefes de departamento administrativo o representantes legales de las ent</w:t>
      </w:r>
      <w:r w:rsidRPr="00335BBB">
        <w:rPr>
          <w:rFonts w:ascii="Bookman Old Style" w:hAnsi="Bookman Old Style"/>
          <w:szCs w:val="24"/>
        </w:rPr>
        <w:t>i</w:t>
      </w:r>
      <w:r w:rsidRPr="00335BBB">
        <w:rPr>
          <w:rFonts w:ascii="Bookman Old Style" w:hAnsi="Bookman Old Style"/>
          <w:szCs w:val="24"/>
        </w:rPr>
        <w:t>dades descentralizadas. El personero, el contralor y las juntas admini</w:t>
      </w:r>
      <w:r w:rsidRPr="00335BBB">
        <w:rPr>
          <w:rFonts w:ascii="Bookman Old Style" w:hAnsi="Bookman Old Style"/>
          <w:szCs w:val="24"/>
        </w:rPr>
        <w:t>s</w:t>
      </w:r>
      <w:r w:rsidRPr="00335BBB">
        <w:rPr>
          <w:rFonts w:ascii="Bookman Old Style" w:hAnsi="Bookman Old Style"/>
          <w:szCs w:val="24"/>
        </w:rPr>
        <w:t>tradoras los pueden presentar en materias relacionadas con sus atrib</w:t>
      </w:r>
      <w:r w:rsidRPr="00335BBB">
        <w:rPr>
          <w:rFonts w:ascii="Bookman Old Style" w:hAnsi="Bookman Old Style"/>
          <w:szCs w:val="24"/>
        </w:rPr>
        <w:t>u</w:t>
      </w:r>
      <w:r w:rsidRPr="00335BBB">
        <w:rPr>
          <w:rFonts w:ascii="Bookman Old Style" w:hAnsi="Bookman Old Style"/>
          <w:szCs w:val="24"/>
        </w:rPr>
        <w:t>ciones. De conformidad con la respectiva ley estatutaria, los ciudadanos y las organizaciones sociales podrán presentar proyectos de acuerdo sobre temas de interés comunitario.</w:t>
      </w:r>
    </w:p>
    <w:p w:rsidR="007779A1" w:rsidRPr="00335BBB" w:rsidRDefault="007779A1" w:rsidP="007779A1">
      <w:pPr>
        <w:ind w:left="708"/>
        <w:jc w:val="both"/>
        <w:rPr>
          <w:rFonts w:ascii="Bookman Old Style" w:hAnsi="Bookman Old Style"/>
          <w:szCs w:val="24"/>
        </w:rPr>
      </w:pPr>
    </w:p>
    <w:p w:rsidR="007779A1" w:rsidRPr="00335BBB" w:rsidRDefault="007779A1" w:rsidP="007779A1">
      <w:pPr>
        <w:ind w:left="708"/>
        <w:jc w:val="both"/>
        <w:rPr>
          <w:rFonts w:ascii="Bookman Old Style" w:hAnsi="Bookman Old Style"/>
          <w:szCs w:val="24"/>
        </w:rPr>
      </w:pPr>
      <w:r w:rsidRPr="00335BBB">
        <w:rPr>
          <w:rFonts w:ascii="Bookman Old Style" w:hAnsi="Bookman Old Style"/>
          <w:szCs w:val="24"/>
        </w:rPr>
        <w:t>Sólo podrán ser dictados o reformados a iniciativa del alcalde los acue</w:t>
      </w:r>
      <w:r w:rsidRPr="00335BBB">
        <w:rPr>
          <w:rFonts w:ascii="Bookman Old Style" w:hAnsi="Bookman Old Style"/>
          <w:szCs w:val="24"/>
        </w:rPr>
        <w:t>r</w:t>
      </w:r>
      <w:r w:rsidRPr="00335BBB">
        <w:rPr>
          <w:rFonts w:ascii="Bookman Old Style" w:hAnsi="Bookman Old Style"/>
          <w:szCs w:val="24"/>
        </w:rPr>
        <w:t>dos a que se refieren los ordinales 2°, 3°, 4°, 5°, 8°, 9°, 14, 16, 17 y 21 del artículo anterior. Igualmente, sólo podrán ser dictados o reformados a iniciativa del alcalde los acuerdos que decreten inversiones, ordenen se</w:t>
      </w:r>
      <w:r w:rsidRPr="00335BBB">
        <w:rPr>
          <w:rFonts w:ascii="Bookman Old Style" w:hAnsi="Bookman Old Style"/>
          <w:szCs w:val="24"/>
        </w:rPr>
        <w:t>r</w:t>
      </w:r>
      <w:r w:rsidRPr="00335BBB">
        <w:rPr>
          <w:rFonts w:ascii="Bookman Old Style" w:hAnsi="Bookman Old Style"/>
          <w:szCs w:val="24"/>
        </w:rPr>
        <w:t>vicios a cargo del Distrito, autoricen enajenar sus bienes y dispongan exenciones tributarias o cedan sus rentas. El Concejo podrá introducir modificaciones a los proyectos presentados por el Alcalde.</w:t>
      </w:r>
    </w:p>
    <w:p w:rsidR="007779A1" w:rsidRPr="00335BBB" w:rsidRDefault="007779A1" w:rsidP="007779A1">
      <w:pPr>
        <w:numPr>
          <w:ilvl w:val="0"/>
          <w:numId w:val="6"/>
        </w:numPr>
        <w:spacing w:line="276" w:lineRule="auto"/>
        <w:ind w:right="51"/>
        <w:jc w:val="both"/>
        <w:rPr>
          <w:rFonts w:ascii="Bookman Old Style" w:hAnsi="Bookman Old Style"/>
          <w:szCs w:val="24"/>
        </w:rPr>
      </w:pPr>
      <w:r w:rsidRPr="00335BBB">
        <w:rPr>
          <w:rFonts w:ascii="Bookman Old Style" w:hAnsi="Bookman Old Style"/>
          <w:b/>
          <w:szCs w:val="24"/>
        </w:rPr>
        <w:t>IMPACTO FISCAL</w:t>
      </w:r>
      <w:r w:rsidRPr="00335BBB">
        <w:rPr>
          <w:rFonts w:ascii="Bookman Old Style" w:hAnsi="Bookman Old Style"/>
          <w:szCs w:val="24"/>
        </w:rPr>
        <w:t xml:space="preserve"> </w:t>
      </w:r>
    </w:p>
    <w:p w:rsidR="007779A1" w:rsidRPr="00335BBB" w:rsidRDefault="007779A1" w:rsidP="007779A1">
      <w:pPr>
        <w:jc w:val="both"/>
        <w:rPr>
          <w:rFonts w:ascii="Bookman Old Style" w:hAnsi="Bookman Old Style"/>
          <w:szCs w:val="24"/>
        </w:rPr>
      </w:pPr>
    </w:p>
    <w:p w:rsidR="007779A1" w:rsidRPr="00335BBB" w:rsidRDefault="007779A1" w:rsidP="007779A1">
      <w:pPr>
        <w:ind w:left="360"/>
        <w:jc w:val="both"/>
        <w:rPr>
          <w:rFonts w:ascii="Bookman Old Style" w:hAnsi="Bookman Old Style"/>
          <w:szCs w:val="24"/>
        </w:rPr>
      </w:pPr>
      <w:r w:rsidRPr="00335BBB">
        <w:rPr>
          <w:rFonts w:ascii="Bookman Old Style" w:hAnsi="Bookman Old Style"/>
          <w:szCs w:val="24"/>
        </w:rPr>
        <w:t>Teniendo en cuenta lo establecido en el artículo 7 de la ley 819 de 2003, el presente proyecto de acuerdo no genera impacto fiscal, ni gastos en el pr</w:t>
      </w:r>
      <w:r w:rsidRPr="00335BBB">
        <w:rPr>
          <w:rFonts w:ascii="Bookman Old Style" w:hAnsi="Bookman Old Style"/>
          <w:szCs w:val="24"/>
        </w:rPr>
        <w:t>e</w:t>
      </w:r>
      <w:r w:rsidRPr="00335BBB">
        <w:rPr>
          <w:rFonts w:ascii="Bookman Old Style" w:hAnsi="Bookman Old Style"/>
          <w:szCs w:val="24"/>
        </w:rPr>
        <w:t>supuesto de la presente anualidad o futuras vigencias, puesto que existe en el Distrito la entidad especializada en el tema, que puede adelantar la reg</w:t>
      </w:r>
      <w:r w:rsidRPr="00335BBB">
        <w:rPr>
          <w:rFonts w:ascii="Bookman Old Style" w:hAnsi="Bookman Old Style"/>
          <w:szCs w:val="24"/>
        </w:rPr>
        <w:t>u</w:t>
      </w:r>
      <w:r w:rsidRPr="00335BBB">
        <w:rPr>
          <w:rFonts w:ascii="Bookman Old Style" w:hAnsi="Bookman Old Style"/>
          <w:szCs w:val="24"/>
        </w:rPr>
        <w:t>lación de esta iniciativa.</w:t>
      </w:r>
    </w:p>
    <w:p w:rsidR="007779A1" w:rsidRPr="00335BBB" w:rsidRDefault="007779A1" w:rsidP="007779A1">
      <w:pPr>
        <w:ind w:left="360"/>
        <w:jc w:val="both"/>
        <w:rPr>
          <w:rFonts w:ascii="Bookman Old Style" w:hAnsi="Bookman Old Style"/>
          <w:szCs w:val="24"/>
        </w:rPr>
      </w:pPr>
    </w:p>
    <w:p w:rsidR="007779A1" w:rsidRPr="00335BBB" w:rsidRDefault="007779A1" w:rsidP="007779A1">
      <w:pPr>
        <w:jc w:val="both"/>
        <w:rPr>
          <w:rFonts w:ascii="Bookman Old Style" w:hAnsi="Bookman Old Style"/>
          <w:szCs w:val="24"/>
        </w:rPr>
      </w:pPr>
    </w:p>
    <w:p w:rsidR="007779A1" w:rsidRPr="00AB6606" w:rsidRDefault="007779A1" w:rsidP="007779A1">
      <w:pPr>
        <w:jc w:val="both"/>
        <w:rPr>
          <w:rFonts w:ascii="Bookman Old Style" w:hAnsi="Bookman Old Style"/>
          <w:szCs w:val="24"/>
        </w:rPr>
      </w:pPr>
      <w:r w:rsidRPr="00AB6606">
        <w:rPr>
          <w:rFonts w:ascii="Bookman Old Style" w:hAnsi="Bookman Old Style"/>
          <w:szCs w:val="24"/>
        </w:rPr>
        <w:t xml:space="preserve">Cordialmente, </w:t>
      </w:r>
    </w:p>
    <w:p w:rsidR="007779A1" w:rsidRPr="00AB6606" w:rsidRDefault="007779A1" w:rsidP="007779A1">
      <w:pPr>
        <w:tabs>
          <w:tab w:val="center" w:pos="4419"/>
          <w:tab w:val="right" w:pos="8838"/>
        </w:tabs>
        <w:spacing w:line="276" w:lineRule="auto"/>
        <w:jc w:val="both"/>
        <w:rPr>
          <w:rFonts w:ascii="Bookman Old Style" w:hAnsi="Bookman Old Style" w:cs="Arial"/>
          <w:b/>
          <w:szCs w:val="24"/>
        </w:rPr>
      </w:pPr>
    </w:p>
    <w:p w:rsidR="007779A1" w:rsidRPr="00AB6606" w:rsidRDefault="007779A1" w:rsidP="007779A1">
      <w:pPr>
        <w:tabs>
          <w:tab w:val="center" w:pos="4419"/>
          <w:tab w:val="right" w:pos="8838"/>
        </w:tabs>
        <w:spacing w:line="276" w:lineRule="auto"/>
        <w:rPr>
          <w:rFonts w:ascii="Bookman Old Style" w:hAnsi="Bookman Old Style" w:cs="Arial"/>
          <w:b/>
          <w:szCs w:val="24"/>
        </w:rPr>
      </w:pPr>
    </w:p>
    <w:p w:rsidR="00AB6606" w:rsidRDefault="00AB6606" w:rsidP="00AB6606">
      <w:pPr>
        <w:rPr>
          <w:rFonts w:ascii="Bookman Old Style" w:hAnsi="Bookman Old Style"/>
          <w:bCs/>
          <w:szCs w:val="24"/>
        </w:rPr>
      </w:pPr>
    </w:p>
    <w:p w:rsidR="00AB6606" w:rsidRPr="00AB6606" w:rsidRDefault="00AB6606" w:rsidP="00AB6606">
      <w:pPr>
        <w:rPr>
          <w:rFonts w:ascii="Bookman Old Style" w:hAnsi="Bookman Old Style"/>
          <w:bCs/>
          <w:szCs w:val="24"/>
        </w:rPr>
      </w:pPr>
    </w:p>
    <w:p w:rsidR="00AB6606" w:rsidRPr="00AB6606" w:rsidRDefault="00AB6606" w:rsidP="00AB6606">
      <w:pPr>
        <w:rPr>
          <w:rFonts w:ascii="Bookman Old Style" w:hAnsi="Bookman Old Style"/>
          <w:bCs/>
          <w:szCs w:val="24"/>
        </w:rPr>
      </w:pPr>
      <w:r w:rsidRPr="00AB6606">
        <w:rPr>
          <w:rFonts w:ascii="Bookman Old Style" w:hAnsi="Bookman Old Style"/>
          <w:bCs/>
          <w:szCs w:val="24"/>
        </w:rPr>
        <w:t>MARÍA VICTORIA VARGAS SILVA</w:t>
      </w:r>
    </w:p>
    <w:p w:rsidR="00AB6606" w:rsidRPr="00AB6606" w:rsidRDefault="00AB6606" w:rsidP="00AB6606">
      <w:pPr>
        <w:rPr>
          <w:rFonts w:ascii="Bookman Old Style" w:hAnsi="Bookman Old Style"/>
          <w:bCs/>
          <w:szCs w:val="24"/>
        </w:rPr>
      </w:pPr>
    </w:p>
    <w:p w:rsidR="007779A1" w:rsidRPr="00AB6606" w:rsidRDefault="007779A1" w:rsidP="007779A1">
      <w:pPr>
        <w:tabs>
          <w:tab w:val="center" w:pos="4419"/>
          <w:tab w:val="right" w:pos="8838"/>
        </w:tabs>
        <w:spacing w:line="276" w:lineRule="auto"/>
        <w:rPr>
          <w:rFonts w:ascii="Bookman Old Style" w:hAnsi="Bookman Old Style" w:cs="Arial"/>
          <w:b/>
          <w:szCs w:val="24"/>
        </w:rPr>
      </w:pPr>
      <w:r w:rsidRPr="00AB6606">
        <w:rPr>
          <w:rFonts w:ascii="Bookman Old Style" w:hAnsi="Bookman Old Style" w:cs="Arial"/>
          <w:b/>
          <w:szCs w:val="24"/>
        </w:rPr>
        <w:br w:type="page"/>
      </w:r>
    </w:p>
    <w:p w:rsidR="007779A1" w:rsidRPr="00335BBB" w:rsidRDefault="007779A1" w:rsidP="007779A1">
      <w:pPr>
        <w:tabs>
          <w:tab w:val="center" w:pos="4419"/>
          <w:tab w:val="right" w:pos="8838"/>
        </w:tabs>
        <w:spacing w:line="276" w:lineRule="auto"/>
        <w:rPr>
          <w:rFonts w:ascii="Bookman Old Style" w:hAnsi="Bookman Old Style" w:cs="Arial"/>
          <w:b/>
          <w:szCs w:val="24"/>
        </w:rPr>
      </w:pPr>
      <w:r w:rsidRPr="00335BBB">
        <w:rPr>
          <w:rFonts w:ascii="Bookman Old Style" w:hAnsi="Bookman Old Style" w:cs="Arial"/>
          <w:b/>
          <w:szCs w:val="24"/>
          <w:lang w:val="x-none"/>
        </w:rPr>
        <w:lastRenderedPageBreak/>
        <w:t>PROYECTO DE ACUERDO No.   DE 201</w:t>
      </w:r>
      <w:r w:rsidRPr="00335BBB">
        <w:rPr>
          <w:rFonts w:ascii="Bookman Old Style" w:hAnsi="Bookman Old Style" w:cs="Arial"/>
          <w:b/>
          <w:szCs w:val="24"/>
        </w:rPr>
        <w:t>6</w:t>
      </w:r>
    </w:p>
    <w:p w:rsidR="007779A1" w:rsidRPr="00335BBB" w:rsidRDefault="007779A1" w:rsidP="007779A1">
      <w:pPr>
        <w:tabs>
          <w:tab w:val="center" w:pos="4419"/>
          <w:tab w:val="right" w:pos="8838"/>
        </w:tabs>
        <w:spacing w:line="276" w:lineRule="auto"/>
        <w:rPr>
          <w:rFonts w:ascii="Bookman Old Style" w:hAnsi="Bookman Old Style" w:cs="Arial"/>
          <w:b/>
          <w:szCs w:val="24"/>
          <w:lang w:val="x-none"/>
        </w:rPr>
      </w:pPr>
    </w:p>
    <w:p w:rsidR="007779A1" w:rsidRPr="00335BBB" w:rsidRDefault="007779A1" w:rsidP="007779A1">
      <w:pPr>
        <w:tabs>
          <w:tab w:val="center" w:pos="4419"/>
          <w:tab w:val="right" w:pos="8838"/>
        </w:tabs>
        <w:rPr>
          <w:rFonts w:ascii="Bookman Old Style" w:hAnsi="Bookman Old Style" w:cs="Arial"/>
          <w:szCs w:val="24"/>
          <w:lang w:val="x-none"/>
        </w:rPr>
      </w:pPr>
      <w:r w:rsidRPr="00335BBB">
        <w:rPr>
          <w:rFonts w:ascii="Bookman Old Style" w:hAnsi="Bookman Old Style" w:cs="Arial"/>
          <w:szCs w:val="24"/>
          <w:lang w:val="x-none"/>
        </w:rPr>
        <w:t>“</w:t>
      </w:r>
      <w:r w:rsidRPr="00335BBB">
        <w:rPr>
          <w:rFonts w:ascii="Bookman Old Style" w:hAnsi="Bookman Old Style"/>
          <w:i/>
          <w:szCs w:val="24"/>
        </w:rPr>
        <w:t>Por medio del cual se modifica parcialmente el Acuerdo 469 de 2011 en cuanto a la clasificación de los sujetos pasivos y el Acuerdo 105 de 2003 en cuanto a las tarifas del impuesto predial unificado en Bogotá D.C., y se dictan otras dispos</w:t>
      </w:r>
      <w:r w:rsidRPr="00335BBB">
        <w:rPr>
          <w:rFonts w:ascii="Bookman Old Style" w:hAnsi="Bookman Old Style"/>
          <w:i/>
          <w:szCs w:val="24"/>
        </w:rPr>
        <w:t>i</w:t>
      </w:r>
      <w:r w:rsidRPr="00335BBB">
        <w:rPr>
          <w:rFonts w:ascii="Bookman Old Style" w:hAnsi="Bookman Old Style"/>
          <w:i/>
          <w:szCs w:val="24"/>
        </w:rPr>
        <w:t>ciones</w:t>
      </w:r>
      <w:r>
        <w:rPr>
          <w:rFonts w:ascii="Bookman Old Style" w:hAnsi="Bookman Old Style" w:cs="Arial"/>
          <w:szCs w:val="24"/>
        </w:rPr>
        <w:t>”</w:t>
      </w:r>
    </w:p>
    <w:p w:rsidR="007779A1" w:rsidRPr="00335BBB" w:rsidRDefault="007779A1" w:rsidP="007779A1">
      <w:pPr>
        <w:tabs>
          <w:tab w:val="center" w:pos="4419"/>
          <w:tab w:val="right" w:pos="8838"/>
        </w:tabs>
        <w:rPr>
          <w:rFonts w:ascii="Bookman Old Style" w:hAnsi="Bookman Old Style" w:cs="Arial"/>
          <w:szCs w:val="24"/>
          <w:lang w:val="x-none"/>
        </w:rPr>
      </w:pPr>
    </w:p>
    <w:p w:rsidR="007779A1" w:rsidRPr="00335BBB" w:rsidRDefault="007779A1" w:rsidP="00777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szCs w:val="24"/>
        </w:rPr>
      </w:pPr>
      <w:r w:rsidRPr="00335BBB">
        <w:rPr>
          <w:rFonts w:ascii="Bookman Old Style" w:hAnsi="Bookman Old Style" w:cs="Arial"/>
          <w:bCs/>
          <w:szCs w:val="24"/>
        </w:rPr>
        <w:t>El Concejo de Bogotá, Distrito Capital, e</w:t>
      </w:r>
      <w:r w:rsidRPr="00335BBB">
        <w:rPr>
          <w:rFonts w:ascii="Bookman Old Style" w:hAnsi="Bookman Old Style" w:cs="Arial"/>
          <w:szCs w:val="24"/>
        </w:rPr>
        <w:t>n uso de sus atribuciones constituci</w:t>
      </w:r>
      <w:r w:rsidRPr="00335BBB">
        <w:rPr>
          <w:rFonts w:ascii="Bookman Old Style" w:hAnsi="Bookman Old Style" w:cs="Arial"/>
          <w:szCs w:val="24"/>
        </w:rPr>
        <w:t>o</w:t>
      </w:r>
      <w:r w:rsidRPr="00335BBB">
        <w:rPr>
          <w:rFonts w:ascii="Bookman Old Style" w:hAnsi="Bookman Old Style" w:cs="Arial"/>
          <w:szCs w:val="24"/>
        </w:rPr>
        <w:t xml:space="preserve">nales y legales, especialmente de las contenidas en el artículo 12, numerales 1 y 3 del Decreto 1421 de 1993, </w:t>
      </w:r>
    </w:p>
    <w:p w:rsidR="007779A1" w:rsidRPr="00335BBB" w:rsidRDefault="007779A1" w:rsidP="00777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man Old Style" w:hAnsi="Bookman Old Style" w:cs="Arial"/>
          <w:b/>
          <w:bCs/>
          <w:szCs w:val="24"/>
        </w:rPr>
      </w:pPr>
    </w:p>
    <w:p w:rsidR="007779A1" w:rsidRPr="00335BBB" w:rsidRDefault="007779A1" w:rsidP="00777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man Old Style" w:hAnsi="Bookman Old Style" w:cs="Arial"/>
          <w:b/>
          <w:bCs/>
          <w:szCs w:val="24"/>
        </w:rPr>
      </w:pPr>
      <w:r w:rsidRPr="00335BBB">
        <w:rPr>
          <w:rFonts w:ascii="Bookman Old Style" w:hAnsi="Bookman Old Style" w:cs="Arial"/>
          <w:b/>
          <w:bCs/>
          <w:szCs w:val="24"/>
        </w:rPr>
        <w:t>ACUERDA:</w:t>
      </w:r>
    </w:p>
    <w:p w:rsidR="007779A1" w:rsidRPr="00335BBB" w:rsidRDefault="007779A1" w:rsidP="007779A1">
      <w:pPr>
        <w:shd w:val="clear" w:color="auto" w:fill="FFFFFF"/>
        <w:jc w:val="both"/>
        <w:rPr>
          <w:rFonts w:ascii="Bookman Old Style" w:hAnsi="Bookman Old Style" w:cs="Arial"/>
          <w:bCs/>
          <w:szCs w:val="24"/>
          <w:lang w:eastAsia="es-CO"/>
        </w:rPr>
      </w:pPr>
      <w:r w:rsidRPr="00335BBB">
        <w:rPr>
          <w:rFonts w:ascii="Bookman Old Style" w:hAnsi="Bookman Old Style" w:cs="Arial"/>
          <w:b/>
          <w:bCs/>
          <w:szCs w:val="24"/>
          <w:lang w:eastAsia="es-CO"/>
        </w:rPr>
        <w:t>ARTICULO 1.</w:t>
      </w:r>
      <w:r w:rsidRPr="00335BBB">
        <w:rPr>
          <w:rFonts w:ascii="Bookman Old Style" w:hAnsi="Bookman Old Style" w:cs="Arial"/>
          <w:bCs/>
          <w:szCs w:val="24"/>
          <w:lang w:eastAsia="es-CO"/>
        </w:rPr>
        <w:t xml:space="preserve"> Adiciónese el artículo 8 del Acuerdo 469 de 2011, el cual qued</w:t>
      </w:r>
      <w:r w:rsidRPr="00335BBB">
        <w:rPr>
          <w:rFonts w:ascii="Bookman Old Style" w:hAnsi="Bookman Old Style" w:cs="Arial"/>
          <w:bCs/>
          <w:szCs w:val="24"/>
          <w:lang w:eastAsia="es-CO"/>
        </w:rPr>
        <w:t>a</w:t>
      </w:r>
      <w:r w:rsidRPr="00335BBB">
        <w:rPr>
          <w:rFonts w:ascii="Bookman Old Style" w:hAnsi="Bookman Old Style" w:cs="Arial"/>
          <w:bCs/>
          <w:szCs w:val="24"/>
          <w:lang w:eastAsia="es-CO"/>
        </w:rPr>
        <w:t>rá así:</w:t>
      </w:r>
    </w:p>
    <w:p w:rsidR="007779A1" w:rsidRPr="00335BBB" w:rsidRDefault="007779A1" w:rsidP="007779A1">
      <w:pPr>
        <w:shd w:val="clear" w:color="auto" w:fill="FFFFFF"/>
        <w:jc w:val="both"/>
        <w:rPr>
          <w:rFonts w:ascii="Bookman Old Style" w:hAnsi="Bookman Old Style" w:cs="Arial"/>
          <w:bCs/>
          <w:szCs w:val="24"/>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335BBB">
        <w:rPr>
          <w:rFonts w:ascii="Bookman Old Style" w:hAnsi="Bookman Old Style" w:cs="Arial"/>
          <w:bCs/>
          <w:i/>
          <w:szCs w:val="24"/>
          <w:lang w:eastAsia="es-CO"/>
        </w:rPr>
        <w:t>“…ARTÍCULO  8° Sujeto pasivo. Es sujeto pasivo del impuesto predial un</w:t>
      </w:r>
      <w:r w:rsidRPr="00335BBB">
        <w:rPr>
          <w:rFonts w:ascii="Bookman Old Style" w:hAnsi="Bookman Old Style" w:cs="Arial"/>
          <w:bCs/>
          <w:i/>
          <w:szCs w:val="24"/>
          <w:lang w:eastAsia="es-CO"/>
        </w:rPr>
        <w:t>i</w:t>
      </w:r>
      <w:r w:rsidRPr="00335BBB">
        <w:rPr>
          <w:rFonts w:ascii="Bookman Old Style" w:hAnsi="Bookman Old Style" w:cs="Arial"/>
          <w:bCs/>
          <w:i/>
          <w:szCs w:val="24"/>
          <w:lang w:eastAsia="es-CO"/>
        </w:rPr>
        <w:t xml:space="preserve">ficado, el </w:t>
      </w:r>
      <w:r w:rsidRPr="00757F4B">
        <w:rPr>
          <w:rFonts w:ascii="Bookman Old Style" w:hAnsi="Bookman Old Style" w:cs="Arial"/>
          <w:bCs/>
          <w:i/>
          <w:szCs w:val="24"/>
          <w:highlight w:val="yellow"/>
          <w:lang w:eastAsia="es-CO"/>
        </w:rPr>
        <w:t>propietario o poseedor</w:t>
      </w:r>
      <w:r w:rsidRPr="00335BBB">
        <w:rPr>
          <w:rFonts w:ascii="Bookman Old Style" w:hAnsi="Bookman Old Style" w:cs="Arial"/>
          <w:bCs/>
          <w:i/>
          <w:szCs w:val="24"/>
          <w:lang w:eastAsia="es-CO"/>
        </w:rPr>
        <w:t xml:space="preserve"> de predios ubicados en la jurisdicción de Bogotá Distrito Capital. Responderán solidariamente por el pago del i</w:t>
      </w:r>
      <w:r w:rsidRPr="00335BBB">
        <w:rPr>
          <w:rFonts w:ascii="Bookman Old Style" w:hAnsi="Bookman Old Style" w:cs="Arial"/>
          <w:bCs/>
          <w:i/>
          <w:szCs w:val="24"/>
          <w:lang w:eastAsia="es-CO"/>
        </w:rPr>
        <w:t>m</w:t>
      </w:r>
      <w:r w:rsidRPr="00335BBB">
        <w:rPr>
          <w:rFonts w:ascii="Bookman Old Style" w:hAnsi="Bookman Old Style" w:cs="Arial"/>
          <w:bCs/>
          <w:i/>
          <w:szCs w:val="24"/>
          <w:lang w:eastAsia="es-CO"/>
        </w:rPr>
        <w:t>puesto, el propietario y el poseedor del predio.</w:t>
      </w:r>
    </w:p>
    <w:p w:rsidR="007779A1" w:rsidRPr="00335BBB" w:rsidRDefault="007779A1" w:rsidP="007779A1">
      <w:pPr>
        <w:shd w:val="clear" w:color="auto" w:fill="FFFFFF"/>
        <w:ind w:left="851"/>
        <w:jc w:val="both"/>
        <w:rPr>
          <w:rFonts w:ascii="Bookman Old Style" w:hAnsi="Bookman Old Style" w:cs="Arial"/>
          <w:bCs/>
          <w:i/>
          <w:szCs w:val="24"/>
          <w:lang w:eastAsia="es-CO"/>
        </w:rPr>
      </w:pPr>
    </w:p>
    <w:p w:rsidR="007779A1" w:rsidRPr="00757F4B" w:rsidRDefault="007779A1" w:rsidP="007779A1">
      <w:pPr>
        <w:shd w:val="clear" w:color="auto" w:fill="FFFFFF"/>
        <w:ind w:left="851"/>
        <w:jc w:val="both"/>
        <w:rPr>
          <w:rFonts w:ascii="Bookman Old Style" w:hAnsi="Bookman Old Style" w:cs="Arial"/>
          <w:bCs/>
          <w:i/>
          <w:szCs w:val="24"/>
          <w:highlight w:val="yellow"/>
          <w:u w:val="single"/>
          <w:lang w:eastAsia="es-CO"/>
        </w:rPr>
      </w:pPr>
      <w:r w:rsidRPr="00757F4B">
        <w:rPr>
          <w:rFonts w:ascii="Bookman Old Style" w:hAnsi="Bookman Old Style" w:cs="Arial"/>
          <w:bCs/>
          <w:i/>
          <w:szCs w:val="24"/>
          <w:highlight w:val="yellow"/>
          <w:u w:val="single"/>
          <w:lang w:eastAsia="es-CO"/>
        </w:rPr>
        <w:t xml:space="preserve">El sujeto pasivo se clasifica en </w:t>
      </w:r>
      <w:proofErr w:type="spellStart"/>
      <w:r w:rsidRPr="00757F4B">
        <w:rPr>
          <w:rFonts w:ascii="Bookman Old Style" w:hAnsi="Bookman Old Style" w:cs="Arial"/>
          <w:bCs/>
          <w:i/>
          <w:szCs w:val="24"/>
          <w:highlight w:val="yellow"/>
          <w:u w:val="single"/>
          <w:lang w:eastAsia="es-CO"/>
        </w:rPr>
        <w:t>monopropietario</w:t>
      </w:r>
      <w:proofErr w:type="spellEnd"/>
      <w:r w:rsidRPr="00757F4B">
        <w:rPr>
          <w:rFonts w:ascii="Bookman Old Style" w:hAnsi="Bookman Old Style" w:cs="Arial"/>
          <w:bCs/>
          <w:i/>
          <w:szCs w:val="24"/>
          <w:highlight w:val="yellow"/>
          <w:u w:val="single"/>
          <w:lang w:eastAsia="es-CO"/>
        </w:rPr>
        <w:t xml:space="preserve"> o </w:t>
      </w:r>
      <w:proofErr w:type="spellStart"/>
      <w:r w:rsidRPr="00757F4B">
        <w:rPr>
          <w:rFonts w:ascii="Bookman Old Style" w:hAnsi="Bookman Old Style" w:cs="Arial"/>
          <w:bCs/>
          <w:i/>
          <w:szCs w:val="24"/>
          <w:highlight w:val="yellow"/>
          <w:u w:val="single"/>
          <w:lang w:eastAsia="es-CO"/>
        </w:rPr>
        <w:t>monoposeedor</w:t>
      </w:r>
      <w:proofErr w:type="spellEnd"/>
      <w:r w:rsidRPr="00757F4B">
        <w:rPr>
          <w:rFonts w:ascii="Bookman Old Style" w:hAnsi="Bookman Old Style" w:cs="Arial"/>
          <w:bCs/>
          <w:i/>
          <w:szCs w:val="24"/>
          <w:highlight w:val="yellow"/>
          <w:u w:val="single"/>
          <w:lang w:eastAsia="es-CO"/>
        </w:rPr>
        <w:t xml:space="preserve"> y </w:t>
      </w:r>
      <w:proofErr w:type="spellStart"/>
      <w:r w:rsidRPr="00757F4B">
        <w:rPr>
          <w:rFonts w:ascii="Bookman Old Style" w:hAnsi="Bookman Old Style" w:cs="Arial"/>
          <w:bCs/>
          <w:i/>
          <w:szCs w:val="24"/>
          <w:highlight w:val="yellow"/>
          <w:u w:val="single"/>
          <w:lang w:eastAsia="es-CO"/>
        </w:rPr>
        <w:t>mult</w:t>
      </w:r>
      <w:r w:rsidRPr="00757F4B">
        <w:rPr>
          <w:rFonts w:ascii="Bookman Old Style" w:hAnsi="Bookman Old Style" w:cs="Arial"/>
          <w:bCs/>
          <w:i/>
          <w:szCs w:val="24"/>
          <w:highlight w:val="yellow"/>
          <w:u w:val="single"/>
          <w:lang w:eastAsia="es-CO"/>
        </w:rPr>
        <w:t>i</w:t>
      </w:r>
      <w:r w:rsidRPr="00757F4B">
        <w:rPr>
          <w:rFonts w:ascii="Bookman Old Style" w:hAnsi="Bookman Old Style" w:cs="Arial"/>
          <w:bCs/>
          <w:i/>
          <w:szCs w:val="24"/>
          <w:highlight w:val="yellow"/>
          <w:u w:val="single"/>
          <w:lang w:eastAsia="es-CO"/>
        </w:rPr>
        <w:t>propietario</w:t>
      </w:r>
      <w:proofErr w:type="spellEnd"/>
      <w:r w:rsidRPr="00757F4B">
        <w:rPr>
          <w:rFonts w:ascii="Bookman Old Style" w:hAnsi="Bookman Old Style" w:cs="Arial"/>
          <w:bCs/>
          <w:i/>
          <w:szCs w:val="24"/>
          <w:highlight w:val="yellow"/>
          <w:u w:val="single"/>
          <w:lang w:eastAsia="es-CO"/>
        </w:rPr>
        <w:t xml:space="preserve"> o </w:t>
      </w:r>
      <w:proofErr w:type="spellStart"/>
      <w:r w:rsidRPr="00757F4B">
        <w:rPr>
          <w:rFonts w:ascii="Bookman Old Style" w:hAnsi="Bookman Old Style" w:cs="Arial"/>
          <w:bCs/>
          <w:i/>
          <w:szCs w:val="24"/>
          <w:highlight w:val="yellow"/>
          <w:u w:val="single"/>
          <w:lang w:eastAsia="es-CO"/>
        </w:rPr>
        <w:t>multiposeedor</w:t>
      </w:r>
      <w:proofErr w:type="spellEnd"/>
      <w:r w:rsidRPr="00757F4B">
        <w:rPr>
          <w:rFonts w:ascii="Bookman Old Style" w:hAnsi="Bookman Old Style" w:cs="Arial"/>
          <w:bCs/>
          <w:i/>
          <w:szCs w:val="24"/>
          <w:highlight w:val="yellow"/>
          <w:u w:val="single"/>
          <w:lang w:eastAsia="es-CO"/>
        </w:rPr>
        <w:t xml:space="preserve">. </w:t>
      </w:r>
    </w:p>
    <w:p w:rsidR="007779A1" w:rsidRPr="00757F4B" w:rsidRDefault="007779A1" w:rsidP="007779A1">
      <w:pPr>
        <w:shd w:val="clear" w:color="auto" w:fill="FFFFFF"/>
        <w:ind w:left="851"/>
        <w:jc w:val="both"/>
        <w:rPr>
          <w:rFonts w:ascii="Bookman Old Style" w:hAnsi="Bookman Old Style" w:cs="Arial"/>
          <w:bCs/>
          <w:i/>
          <w:szCs w:val="24"/>
          <w:highlight w:val="yellow"/>
          <w:u w:val="single"/>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757F4B">
        <w:rPr>
          <w:rFonts w:ascii="Bookman Old Style" w:hAnsi="Bookman Old Style" w:cs="Arial"/>
          <w:bCs/>
          <w:i/>
          <w:szCs w:val="24"/>
          <w:highlight w:val="yellow"/>
          <w:u w:val="single"/>
          <w:lang w:eastAsia="es-CO"/>
        </w:rPr>
        <w:t>Entiéndase por los primeros, aquellos contribuyentes que figuran en la base catastral del Distrito Capital con un solo predio a su nombre. Y los segundos, aquellos contribuyentes con dos o más predios, independie</w:t>
      </w:r>
      <w:r w:rsidRPr="00757F4B">
        <w:rPr>
          <w:rFonts w:ascii="Bookman Old Style" w:hAnsi="Bookman Old Style" w:cs="Arial"/>
          <w:bCs/>
          <w:i/>
          <w:szCs w:val="24"/>
          <w:highlight w:val="yellow"/>
          <w:u w:val="single"/>
          <w:lang w:eastAsia="es-CO"/>
        </w:rPr>
        <w:t>n</w:t>
      </w:r>
      <w:r w:rsidRPr="00757F4B">
        <w:rPr>
          <w:rFonts w:ascii="Bookman Old Style" w:hAnsi="Bookman Old Style" w:cs="Arial"/>
          <w:bCs/>
          <w:i/>
          <w:szCs w:val="24"/>
          <w:highlight w:val="yellow"/>
          <w:u w:val="single"/>
          <w:lang w:eastAsia="es-CO"/>
        </w:rPr>
        <w:t>temente de su categoría, excepto los correspondientes a “Depósitos y pa</w:t>
      </w:r>
      <w:r w:rsidRPr="00757F4B">
        <w:rPr>
          <w:rFonts w:ascii="Bookman Old Style" w:hAnsi="Bookman Old Style" w:cs="Arial"/>
          <w:bCs/>
          <w:i/>
          <w:szCs w:val="24"/>
          <w:highlight w:val="yellow"/>
          <w:u w:val="single"/>
          <w:lang w:eastAsia="es-CO"/>
        </w:rPr>
        <w:t>r</w:t>
      </w:r>
      <w:r w:rsidRPr="00757F4B">
        <w:rPr>
          <w:rFonts w:ascii="Bookman Old Style" w:hAnsi="Bookman Old Style" w:cs="Arial"/>
          <w:bCs/>
          <w:i/>
          <w:szCs w:val="24"/>
          <w:highlight w:val="yellow"/>
          <w:u w:val="single"/>
          <w:lang w:eastAsia="es-CO"/>
        </w:rPr>
        <w:t>queaderos” de predios residenciales</w:t>
      </w:r>
      <w:r w:rsidRPr="00335BBB">
        <w:rPr>
          <w:rFonts w:ascii="Bookman Old Style" w:hAnsi="Bookman Old Style" w:cs="Arial"/>
          <w:bCs/>
          <w:i/>
          <w:szCs w:val="24"/>
          <w:lang w:eastAsia="es-CO"/>
        </w:rPr>
        <w:t>.</w:t>
      </w:r>
    </w:p>
    <w:p w:rsidR="007779A1" w:rsidRPr="00335BBB" w:rsidRDefault="007779A1" w:rsidP="007779A1">
      <w:pPr>
        <w:shd w:val="clear" w:color="auto" w:fill="FFFFFF"/>
        <w:ind w:left="851"/>
        <w:jc w:val="both"/>
        <w:rPr>
          <w:rFonts w:ascii="Bookman Old Style" w:hAnsi="Bookman Old Style" w:cs="Arial"/>
          <w:bCs/>
          <w:i/>
          <w:szCs w:val="24"/>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335BBB">
        <w:rPr>
          <w:rFonts w:ascii="Bookman Old Style" w:hAnsi="Bookman Old Style" w:cs="Arial"/>
          <w:bCs/>
          <w:i/>
          <w:szCs w:val="24"/>
          <w:lang w:eastAsia="es-CO"/>
        </w:rPr>
        <w:t>De acuerdo con el artículo 54 de la Ley 1430 de 2010, son sujetos pasivos del impuesto predial los tenedores a título de concesión, de inmuebles p</w:t>
      </w:r>
      <w:r w:rsidRPr="00335BBB">
        <w:rPr>
          <w:rFonts w:ascii="Bookman Old Style" w:hAnsi="Bookman Old Style" w:cs="Arial"/>
          <w:bCs/>
          <w:i/>
          <w:szCs w:val="24"/>
          <w:lang w:eastAsia="es-CO"/>
        </w:rPr>
        <w:t>ú</w:t>
      </w:r>
      <w:r w:rsidRPr="00335BBB">
        <w:rPr>
          <w:rFonts w:ascii="Bookman Old Style" w:hAnsi="Bookman Old Style" w:cs="Arial"/>
          <w:bCs/>
          <w:i/>
          <w:szCs w:val="24"/>
          <w:lang w:eastAsia="es-CO"/>
        </w:rPr>
        <w:t>blicos.</w:t>
      </w:r>
    </w:p>
    <w:p w:rsidR="007779A1" w:rsidRPr="00335BBB" w:rsidRDefault="007779A1" w:rsidP="007779A1">
      <w:pPr>
        <w:shd w:val="clear" w:color="auto" w:fill="FFFFFF"/>
        <w:ind w:left="851"/>
        <w:jc w:val="both"/>
        <w:rPr>
          <w:rFonts w:ascii="Bookman Old Style" w:hAnsi="Bookman Old Style" w:cs="Arial"/>
          <w:bCs/>
          <w:i/>
          <w:szCs w:val="24"/>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335BBB">
        <w:rPr>
          <w:rFonts w:ascii="Bookman Old Style" w:hAnsi="Bookman Old Style" w:cs="Arial"/>
          <w:bCs/>
          <w:i/>
          <w:szCs w:val="24"/>
          <w:lang w:eastAsia="es-CO"/>
        </w:rPr>
        <w:t>Cuando se trate de predios sometidos al régimen de comunidad serán s</w:t>
      </w:r>
      <w:r w:rsidRPr="00335BBB">
        <w:rPr>
          <w:rFonts w:ascii="Bookman Old Style" w:hAnsi="Bookman Old Style" w:cs="Arial"/>
          <w:bCs/>
          <w:i/>
          <w:szCs w:val="24"/>
          <w:lang w:eastAsia="es-CO"/>
        </w:rPr>
        <w:t>u</w:t>
      </w:r>
      <w:r w:rsidRPr="00335BBB">
        <w:rPr>
          <w:rFonts w:ascii="Bookman Old Style" w:hAnsi="Bookman Old Style" w:cs="Arial"/>
          <w:bCs/>
          <w:i/>
          <w:szCs w:val="24"/>
          <w:lang w:eastAsia="es-CO"/>
        </w:rPr>
        <w:t>jetos pasivos del gravamen los respectivos propietarios, cada cual en pr</w:t>
      </w:r>
      <w:r w:rsidRPr="00335BBB">
        <w:rPr>
          <w:rFonts w:ascii="Bookman Old Style" w:hAnsi="Bookman Old Style" w:cs="Arial"/>
          <w:bCs/>
          <w:i/>
          <w:szCs w:val="24"/>
          <w:lang w:eastAsia="es-CO"/>
        </w:rPr>
        <w:t>o</w:t>
      </w:r>
      <w:r w:rsidRPr="00335BBB">
        <w:rPr>
          <w:rFonts w:ascii="Bookman Old Style" w:hAnsi="Bookman Old Style" w:cs="Arial"/>
          <w:bCs/>
          <w:i/>
          <w:szCs w:val="24"/>
          <w:lang w:eastAsia="es-CO"/>
        </w:rPr>
        <w:t>porción a su cuota, acción o derecho del bien indiviso.</w:t>
      </w:r>
    </w:p>
    <w:p w:rsidR="007779A1" w:rsidRPr="00335BBB" w:rsidRDefault="007779A1" w:rsidP="007779A1">
      <w:pPr>
        <w:shd w:val="clear" w:color="auto" w:fill="FFFFFF"/>
        <w:ind w:left="851"/>
        <w:jc w:val="both"/>
        <w:rPr>
          <w:rFonts w:ascii="Bookman Old Style" w:hAnsi="Bookman Old Style" w:cs="Arial"/>
          <w:bCs/>
          <w:i/>
          <w:szCs w:val="24"/>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335BBB">
        <w:rPr>
          <w:rFonts w:ascii="Bookman Old Style" w:hAnsi="Bookman Old Style" w:cs="Arial"/>
          <w:bCs/>
          <w:i/>
          <w:szCs w:val="24"/>
          <w:lang w:eastAsia="es-CO"/>
        </w:rPr>
        <w:t>Cuando se trate de predios vinculados y/o constitutivos de un patrimonio autónomo serán sujetos pasivos del gravamen los respectivos fideicom</w:t>
      </w:r>
      <w:r w:rsidRPr="00335BBB">
        <w:rPr>
          <w:rFonts w:ascii="Bookman Old Style" w:hAnsi="Bookman Old Style" w:cs="Arial"/>
          <w:bCs/>
          <w:i/>
          <w:szCs w:val="24"/>
          <w:lang w:eastAsia="es-CO"/>
        </w:rPr>
        <w:t>i</w:t>
      </w:r>
      <w:r w:rsidRPr="00335BBB">
        <w:rPr>
          <w:rFonts w:ascii="Bookman Old Style" w:hAnsi="Bookman Old Style" w:cs="Arial"/>
          <w:bCs/>
          <w:i/>
          <w:szCs w:val="24"/>
          <w:lang w:eastAsia="es-CO"/>
        </w:rPr>
        <w:t>tentes y/o beneficiarios del respectivo patrimonio.</w:t>
      </w:r>
    </w:p>
    <w:p w:rsidR="007779A1" w:rsidRPr="00335BBB" w:rsidRDefault="007779A1" w:rsidP="007779A1">
      <w:pPr>
        <w:shd w:val="clear" w:color="auto" w:fill="FFFFFF"/>
        <w:ind w:left="851"/>
        <w:jc w:val="both"/>
        <w:rPr>
          <w:rFonts w:ascii="Bookman Old Style" w:hAnsi="Bookman Old Style" w:cs="Arial"/>
          <w:bCs/>
          <w:i/>
          <w:szCs w:val="24"/>
          <w:lang w:eastAsia="es-CO"/>
        </w:rPr>
      </w:pPr>
    </w:p>
    <w:p w:rsidR="007779A1" w:rsidRPr="00335BBB" w:rsidRDefault="007779A1" w:rsidP="007779A1">
      <w:pPr>
        <w:shd w:val="clear" w:color="auto" w:fill="FFFFFF"/>
        <w:ind w:left="851"/>
        <w:jc w:val="both"/>
        <w:rPr>
          <w:rFonts w:ascii="Bookman Old Style" w:hAnsi="Bookman Old Style" w:cs="Arial"/>
          <w:bCs/>
          <w:i/>
          <w:szCs w:val="24"/>
          <w:lang w:eastAsia="es-CO"/>
        </w:rPr>
      </w:pPr>
      <w:r w:rsidRPr="00335BBB">
        <w:rPr>
          <w:rFonts w:ascii="Bookman Old Style" w:hAnsi="Bookman Old Style" w:cs="Arial"/>
          <w:bCs/>
          <w:i/>
          <w:szCs w:val="24"/>
          <w:lang w:eastAsia="es-CO"/>
        </w:rPr>
        <w:t>Si el dominio del predio estuviere desmembrado por el usufructo, la carga tributaria será satisfecha por el usufructuario…”</w:t>
      </w:r>
    </w:p>
    <w:p w:rsidR="007779A1" w:rsidRPr="00335BBB" w:rsidRDefault="007779A1" w:rsidP="007779A1">
      <w:pPr>
        <w:shd w:val="clear" w:color="auto" w:fill="FFFFFF"/>
        <w:jc w:val="both"/>
        <w:rPr>
          <w:rFonts w:ascii="Bookman Old Style" w:hAnsi="Bookman Old Style" w:cs="Arial"/>
          <w:bCs/>
          <w:szCs w:val="24"/>
          <w:lang w:eastAsia="es-CO"/>
        </w:rPr>
      </w:pPr>
      <w:r w:rsidRPr="00335BBB">
        <w:rPr>
          <w:rFonts w:ascii="Bookman Old Style" w:hAnsi="Bookman Old Style" w:cs="Arial"/>
          <w:b/>
          <w:bCs/>
          <w:szCs w:val="24"/>
          <w:lang w:eastAsia="es-CO"/>
        </w:rPr>
        <w:t>ARTICULO 2.</w:t>
      </w:r>
      <w:r w:rsidRPr="00335BBB">
        <w:rPr>
          <w:rFonts w:ascii="Bookman Old Style" w:hAnsi="Bookman Old Style" w:cs="Arial"/>
          <w:bCs/>
          <w:szCs w:val="24"/>
          <w:lang w:eastAsia="es-CO"/>
        </w:rPr>
        <w:t xml:space="preserve"> Adiciónese tres parágrafo</w:t>
      </w:r>
      <w:r>
        <w:rPr>
          <w:rFonts w:ascii="Bookman Old Style" w:hAnsi="Bookman Old Style" w:cs="Arial"/>
          <w:bCs/>
          <w:szCs w:val="24"/>
          <w:lang w:eastAsia="es-CO"/>
        </w:rPr>
        <w:t>s</w:t>
      </w:r>
      <w:r w:rsidRPr="00335BBB">
        <w:rPr>
          <w:rFonts w:ascii="Bookman Old Style" w:hAnsi="Bookman Old Style" w:cs="Arial"/>
          <w:bCs/>
          <w:szCs w:val="24"/>
          <w:lang w:eastAsia="es-CO"/>
        </w:rPr>
        <w:t xml:space="preserve"> al artículo 2 del Acuerdo 105 de 2003, así:</w:t>
      </w:r>
    </w:p>
    <w:p w:rsidR="007779A1" w:rsidRPr="00335BBB" w:rsidRDefault="007779A1" w:rsidP="007779A1">
      <w:pPr>
        <w:shd w:val="clear" w:color="auto" w:fill="FFFFFF"/>
        <w:jc w:val="both"/>
        <w:rPr>
          <w:rFonts w:ascii="Bookman Old Style" w:hAnsi="Bookman Old Style" w:cs="Arial"/>
          <w:bCs/>
          <w:szCs w:val="24"/>
          <w:lang w:eastAsia="es-CO"/>
        </w:rPr>
      </w:pPr>
    </w:p>
    <w:p w:rsidR="007779A1" w:rsidRPr="00335BBB" w:rsidRDefault="007779A1" w:rsidP="007779A1">
      <w:pPr>
        <w:shd w:val="clear" w:color="auto" w:fill="FFFFFF"/>
        <w:jc w:val="both"/>
        <w:rPr>
          <w:rFonts w:ascii="Bookman Old Style" w:hAnsi="Bookman Old Style" w:cs="Arial"/>
          <w:szCs w:val="24"/>
          <w:lang w:eastAsia="es-CO"/>
        </w:rPr>
      </w:pPr>
    </w:p>
    <w:p w:rsidR="007779A1" w:rsidRPr="00335BBB" w:rsidRDefault="007779A1" w:rsidP="007779A1">
      <w:pPr>
        <w:shd w:val="clear" w:color="auto" w:fill="FFFFFF"/>
        <w:ind w:left="360"/>
        <w:jc w:val="both"/>
        <w:rPr>
          <w:rFonts w:ascii="Bookman Old Style" w:hAnsi="Bookman Old Style" w:cs="Arial"/>
          <w:i/>
          <w:szCs w:val="24"/>
          <w:shd w:val="clear" w:color="auto" w:fill="FFFFFF"/>
        </w:rPr>
      </w:pPr>
      <w:r w:rsidRPr="00335BBB">
        <w:rPr>
          <w:rFonts w:ascii="Bookman Old Style" w:hAnsi="Bookman Old Style" w:cs="Arial"/>
          <w:bCs/>
          <w:i/>
          <w:szCs w:val="24"/>
          <w:shd w:val="clear" w:color="auto" w:fill="FFFFFF"/>
        </w:rPr>
        <w:t>“…</w:t>
      </w:r>
      <w:r w:rsidRPr="00335BBB">
        <w:rPr>
          <w:rFonts w:ascii="Bookman Old Style" w:hAnsi="Bookman Old Style" w:cs="Arial"/>
          <w:b/>
          <w:bCs/>
          <w:i/>
          <w:szCs w:val="24"/>
          <w:shd w:val="clear" w:color="auto" w:fill="FFFFFF"/>
        </w:rPr>
        <w:t>Parágrafo quinto:</w:t>
      </w:r>
      <w:r w:rsidRPr="00335BBB">
        <w:rPr>
          <w:rStyle w:val="apple-converted-space"/>
          <w:rFonts w:ascii="Bookman Old Style" w:hAnsi="Bookman Old Style" w:cs="Arial"/>
          <w:bCs/>
          <w:i/>
          <w:szCs w:val="24"/>
          <w:shd w:val="clear" w:color="auto" w:fill="FFFFFF"/>
        </w:rPr>
        <w:t> </w:t>
      </w:r>
      <w:r w:rsidRPr="00335BBB">
        <w:rPr>
          <w:rFonts w:ascii="Bookman Old Style" w:hAnsi="Bookman Old Style" w:cs="Arial"/>
          <w:i/>
          <w:szCs w:val="24"/>
          <w:shd w:val="clear" w:color="auto" w:fill="FFFFFF"/>
        </w:rPr>
        <w:t>Los predios residenciales pertenecientes a los contr</w:t>
      </w:r>
      <w:r w:rsidRPr="00335BBB">
        <w:rPr>
          <w:rFonts w:ascii="Bookman Old Style" w:hAnsi="Bookman Old Style" w:cs="Arial"/>
          <w:i/>
          <w:szCs w:val="24"/>
          <w:shd w:val="clear" w:color="auto" w:fill="FFFFFF"/>
        </w:rPr>
        <w:t>i</w:t>
      </w:r>
      <w:r w:rsidRPr="00335BBB">
        <w:rPr>
          <w:rFonts w:ascii="Bookman Old Style" w:hAnsi="Bookman Old Style" w:cs="Arial"/>
          <w:i/>
          <w:szCs w:val="24"/>
          <w:shd w:val="clear" w:color="auto" w:fill="FFFFFF"/>
        </w:rPr>
        <w:t xml:space="preserve">buyentes </w:t>
      </w:r>
      <w:proofErr w:type="spellStart"/>
      <w:r w:rsidRPr="00335BBB">
        <w:rPr>
          <w:rFonts w:ascii="Bookman Old Style" w:hAnsi="Bookman Old Style" w:cs="Arial"/>
          <w:i/>
          <w:szCs w:val="24"/>
          <w:shd w:val="clear" w:color="auto" w:fill="FFFFFF"/>
        </w:rPr>
        <w:t>monopropietarios</w:t>
      </w:r>
      <w:proofErr w:type="spellEnd"/>
      <w:r w:rsidRPr="00335BBB">
        <w:rPr>
          <w:rFonts w:ascii="Bookman Old Style" w:hAnsi="Bookman Old Style" w:cs="Arial"/>
          <w:i/>
          <w:szCs w:val="24"/>
          <w:shd w:val="clear" w:color="auto" w:fill="FFFFFF"/>
        </w:rPr>
        <w:t xml:space="preserve"> o </w:t>
      </w:r>
      <w:proofErr w:type="spellStart"/>
      <w:r w:rsidRPr="00335BBB">
        <w:rPr>
          <w:rFonts w:ascii="Bookman Old Style" w:hAnsi="Bookman Old Style" w:cs="Arial"/>
          <w:i/>
          <w:szCs w:val="24"/>
          <w:shd w:val="clear" w:color="auto" w:fill="FFFFFF"/>
        </w:rPr>
        <w:t>monoposeedores</w:t>
      </w:r>
      <w:proofErr w:type="spellEnd"/>
      <w:r w:rsidRPr="00335BBB">
        <w:rPr>
          <w:rFonts w:ascii="Bookman Old Style" w:hAnsi="Bookman Old Style" w:cs="Arial"/>
          <w:i/>
          <w:szCs w:val="24"/>
          <w:shd w:val="clear" w:color="auto" w:fill="FFFFFF"/>
        </w:rPr>
        <w:t xml:space="preserve"> serán acreedores a una redu</w:t>
      </w:r>
      <w:r w:rsidRPr="00335BBB">
        <w:rPr>
          <w:rFonts w:ascii="Bookman Old Style" w:hAnsi="Bookman Old Style" w:cs="Arial"/>
          <w:i/>
          <w:szCs w:val="24"/>
          <w:shd w:val="clear" w:color="auto" w:fill="FFFFFF"/>
        </w:rPr>
        <w:t>c</w:t>
      </w:r>
      <w:r w:rsidRPr="00335BBB">
        <w:rPr>
          <w:rFonts w:ascii="Bookman Old Style" w:hAnsi="Bookman Old Style" w:cs="Arial"/>
          <w:i/>
          <w:szCs w:val="24"/>
          <w:shd w:val="clear" w:color="auto" w:fill="FFFFFF"/>
        </w:rPr>
        <w:t>ción tarifaria del 0.5 por mil de la estructura tarifaria contenida en el presente acuerdo.</w:t>
      </w:r>
    </w:p>
    <w:p w:rsidR="007779A1" w:rsidRPr="00335BBB" w:rsidRDefault="007779A1" w:rsidP="007779A1">
      <w:pPr>
        <w:shd w:val="clear" w:color="auto" w:fill="FFFFFF"/>
        <w:ind w:left="360"/>
        <w:jc w:val="both"/>
        <w:rPr>
          <w:rFonts w:ascii="Bookman Old Style" w:hAnsi="Bookman Old Style" w:cs="Arial"/>
          <w:i/>
          <w:szCs w:val="24"/>
          <w:shd w:val="clear" w:color="auto" w:fill="FFFFFF"/>
        </w:rPr>
      </w:pPr>
    </w:p>
    <w:p w:rsidR="007779A1" w:rsidRPr="00335BBB" w:rsidRDefault="007779A1" w:rsidP="007779A1">
      <w:pPr>
        <w:shd w:val="clear" w:color="auto" w:fill="FFFFFF"/>
        <w:ind w:left="360"/>
        <w:jc w:val="both"/>
        <w:rPr>
          <w:rStyle w:val="apple-converted-space"/>
          <w:rFonts w:ascii="Bookman Old Style" w:hAnsi="Bookman Old Style" w:cs="Arial"/>
          <w:b/>
          <w:bCs/>
          <w:i/>
          <w:szCs w:val="24"/>
          <w:shd w:val="clear" w:color="auto" w:fill="FFFFFF"/>
        </w:rPr>
      </w:pPr>
      <w:r w:rsidRPr="00335BBB">
        <w:rPr>
          <w:rFonts w:ascii="Bookman Old Style" w:hAnsi="Bookman Old Style" w:cs="Arial"/>
          <w:b/>
          <w:bCs/>
          <w:i/>
          <w:szCs w:val="24"/>
          <w:shd w:val="clear" w:color="auto" w:fill="FFFFFF"/>
        </w:rPr>
        <w:t>Parágrafo sexto:</w:t>
      </w:r>
      <w:r w:rsidRPr="00335BBB">
        <w:rPr>
          <w:rStyle w:val="apple-converted-space"/>
          <w:rFonts w:ascii="Bookman Old Style" w:hAnsi="Bookman Old Style" w:cs="Arial"/>
          <w:bCs/>
          <w:i/>
          <w:szCs w:val="24"/>
          <w:shd w:val="clear" w:color="auto" w:fill="FFFFFF"/>
        </w:rPr>
        <w:t> </w:t>
      </w:r>
      <w:r w:rsidRPr="00335BBB">
        <w:rPr>
          <w:rFonts w:ascii="Bookman Old Style" w:hAnsi="Bookman Old Style" w:cs="Arial"/>
          <w:i/>
          <w:szCs w:val="24"/>
          <w:shd w:val="clear" w:color="auto" w:fill="FFFFFF"/>
        </w:rPr>
        <w:t xml:space="preserve">Los contribuyentes </w:t>
      </w:r>
      <w:proofErr w:type="spellStart"/>
      <w:r w:rsidRPr="00335BBB">
        <w:rPr>
          <w:rFonts w:ascii="Bookman Old Style" w:hAnsi="Bookman Old Style" w:cs="Arial"/>
          <w:i/>
          <w:szCs w:val="24"/>
          <w:shd w:val="clear" w:color="auto" w:fill="FFFFFF"/>
        </w:rPr>
        <w:t>multipropietarios</w:t>
      </w:r>
      <w:proofErr w:type="spellEnd"/>
      <w:r w:rsidRPr="00335BBB">
        <w:rPr>
          <w:rFonts w:ascii="Bookman Old Style" w:hAnsi="Bookman Old Style" w:cs="Arial"/>
          <w:i/>
          <w:szCs w:val="24"/>
          <w:shd w:val="clear" w:color="auto" w:fill="FFFFFF"/>
        </w:rPr>
        <w:t xml:space="preserve"> o </w:t>
      </w:r>
      <w:proofErr w:type="spellStart"/>
      <w:r w:rsidRPr="00335BBB">
        <w:rPr>
          <w:rFonts w:ascii="Bookman Old Style" w:hAnsi="Bookman Old Style" w:cs="Arial"/>
          <w:i/>
          <w:szCs w:val="24"/>
          <w:shd w:val="clear" w:color="auto" w:fill="FFFFFF"/>
        </w:rPr>
        <w:t>multiposeedores</w:t>
      </w:r>
      <w:proofErr w:type="spellEnd"/>
      <w:r w:rsidRPr="00335BBB">
        <w:rPr>
          <w:rFonts w:ascii="Bookman Old Style" w:hAnsi="Bookman Old Style" w:cs="Arial"/>
          <w:i/>
          <w:szCs w:val="24"/>
          <w:shd w:val="clear" w:color="auto" w:fill="FFFFFF"/>
        </w:rPr>
        <w:t xml:space="preserve"> </w:t>
      </w:r>
      <w:r>
        <w:rPr>
          <w:rFonts w:ascii="Bookman Old Style" w:hAnsi="Bookman Old Style" w:cs="Arial"/>
          <w:i/>
          <w:szCs w:val="24"/>
          <w:shd w:val="clear" w:color="auto" w:fill="FFFFFF"/>
        </w:rPr>
        <w:t>p</w:t>
      </w:r>
      <w:r>
        <w:rPr>
          <w:rFonts w:ascii="Bookman Old Style" w:hAnsi="Bookman Old Style" w:cs="Arial"/>
          <w:i/>
          <w:szCs w:val="24"/>
          <w:shd w:val="clear" w:color="auto" w:fill="FFFFFF"/>
        </w:rPr>
        <w:t>o</w:t>
      </w:r>
      <w:r>
        <w:rPr>
          <w:rFonts w:ascii="Bookman Old Style" w:hAnsi="Bookman Old Style" w:cs="Arial"/>
          <w:i/>
          <w:szCs w:val="24"/>
          <w:shd w:val="clear" w:color="auto" w:fill="FFFFFF"/>
        </w:rPr>
        <w:t xml:space="preserve">drán identificar ante la administración un único predio residencial </w:t>
      </w:r>
      <w:r w:rsidRPr="00335BBB">
        <w:rPr>
          <w:rFonts w:ascii="Bookman Old Style" w:hAnsi="Bookman Old Style" w:cs="Arial"/>
          <w:i/>
          <w:szCs w:val="24"/>
          <w:shd w:val="clear" w:color="auto" w:fill="FFFFFF"/>
        </w:rPr>
        <w:t xml:space="preserve">que </w:t>
      </w:r>
      <w:r>
        <w:rPr>
          <w:rFonts w:ascii="Bookman Old Style" w:hAnsi="Bookman Old Style" w:cs="Arial"/>
          <w:i/>
          <w:szCs w:val="24"/>
          <w:shd w:val="clear" w:color="auto" w:fill="FFFFFF"/>
        </w:rPr>
        <w:t xml:space="preserve">sea destinado para </w:t>
      </w:r>
      <w:r w:rsidRPr="00335BBB">
        <w:rPr>
          <w:rFonts w:ascii="Bookman Old Style" w:hAnsi="Bookman Old Style" w:cs="Arial"/>
          <w:i/>
          <w:szCs w:val="24"/>
          <w:shd w:val="clear" w:color="auto" w:fill="FFFFFF"/>
        </w:rPr>
        <w:t>vivienda familiar</w:t>
      </w:r>
      <w:r>
        <w:rPr>
          <w:rFonts w:ascii="Bookman Old Style" w:hAnsi="Bookman Old Style" w:cs="Arial"/>
          <w:i/>
          <w:szCs w:val="24"/>
          <w:shd w:val="clear" w:color="auto" w:fill="FFFFFF"/>
        </w:rPr>
        <w:t xml:space="preserve">, con el fin de hacerse acreedor </w:t>
      </w:r>
      <w:r w:rsidRPr="00335BBB">
        <w:rPr>
          <w:rFonts w:ascii="Bookman Old Style" w:hAnsi="Bookman Old Style" w:cs="Arial"/>
          <w:i/>
          <w:szCs w:val="24"/>
          <w:shd w:val="clear" w:color="auto" w:fill="FFFFFF"/>
        </w:rPr>
        <w:t>a la reducción tarifaria señalada en el parágrafo anterior.</w:t>
      </w:r>
      <w:r w:rsidRPr="00391C61">
        <w:rPr>
          <w:rFonts w:ascii="Bookman Old Style" w:hAnsi="Bookman Old Style" w:cs="Arial"/>
          <w:i/>
          <w:szCs w:val="24"/>
          <w:shd w:val="clear" w:color="auto" w:fill="FFFFFF"/>
        </w:rPr>
        <w:t xml:space="preserve"> </w:t>
      </w:r>
    </w:p>
    <w:p w:rsidR="007779A1" w:rsidRPr="00335BBB" w:rsidRDefault="007779A1" w:rsidP="007779A1">
      <w:pPr>
        <w:shd w:val="clear" w:color="auto" w:fill="FFFFFF"/>
        <w:ind w:left="360"/>
        <w:jc w:val="both"/>
        <w:rPr>
          <w:rStyle w:val="apple-converted-space"/>
          <w:rFonts w:ascii="Bookman Old Style" w:hAnsi="Bookman Old Style" w:cs="Arial"/>
          <w:b/>
          <w:bCs/>
          <w:i/>
          <w:szCs w:val="24"/>
          <w:shd w:val="clear" w:color="auto" w:fill="FFFFFF"/>
        </w:rPr>
      </w:pPr>
    </w:p>
    <w:p w:rsidR="007779A1" w:rsidRPr="00335BBB" w:rsidRDefault="007779A1" w:rsidP="007779A1">
      <w:pPr>
        <w:shd w:val="clear" w:color="auto" w:fill="FFFFFF"/>
        <w:ind w:left="360"/>
        <w:jc w:val="both"/>
        <w:rPr>
          <w:rStyle w:val="apple-converted-space"/>
          <w:rFonts w:ascii="Bookman Old Style" w:hAnsi="Bookman Old Style" w:cs="Arial"/>
          <w:b/>
          <w:bCs/>
          <w:i/>
          <w:szCs w:val="24"/>
          <w:shd w:val="clear" w:color="auto" w:fill="FFFFFF"/>
        </w:rPr>
      </w:pPr>
      <w:r w:rsidRPr="00335BBB">
        <w:rPr>
          <w:rStyle w:val="apple-converted-space"/>
          <w:rFonts w:ascii="Bookman Old Style" w:hAnsi="Bookman Old Style" w:cs="Arial"/>
          <w:bCs/>
          <w:i/>
          <w:szCs w:val="24"/>
          <w:shd w:val="clear" w:color="auto" w:fill="FFFFFF"/>
        </w:rPr>
        <w:t xml:space="preserve">Parágrafo séptimo </w:t>
      </w:r>
      <w:r w:rsidRPr="00335BBB">
        <w:rPr>
          <w:rFonts w:ascii="Bookman Old Style" w:hAnsi="Bookman Old Style" w:cs="Arial"/>
          <w:i/>
          <w:szCs w:val="24"/>
          <w:shd w:val="clear" w:color="auto" w:fill="FFFFFF"/>
        </w:rPr>
        <w:t xml:space="preserve">Los predios residenciales y no residenciales pertenecientes a los contribuyentes </w:t>
      </w:r>
      <w:proofErr w:type="spellStart"/>
      <w:r w:rsidRPr="00335BBB">
        <w:rPr>
          <w:rFonts w:ascii="Bookman Old Style" w:hAnsi="Bookman Old Style" w:cs="Arial"/>
          <w:i/>
          <w:szCs w:val="24"/>
          <w:shd w:val="clear" w:color="auto" w:fill="FFFFFF"/>
        </w:rPr>
        <w:t>multipropietarios</w:t>
      </w:r>
      <w:proofErr w:type="spellEnd"/>
      <w:r w:rsidRPr="00335BBB">
        <w:rPr>
          <w:rFonts w:ascii="Bookman Old Style" w:hAnsi="Bookman Old Style" w:cs="Arial"/>
          <w:i/>
          <w:szCs w:val="24"/>
          <w:shd w:val="clear" w:color="auto" w:fill="FFFFFF"/>
        </w:rPr>
        <w:t xml:space="preserve"> o </w:t>
      </w:r>
      <w:proofErr w:type="spellStart"/>
      <w:r w:rsidRPr="00335BBB">
        <w:rPr>
          <w:rFonts w:ascii="Bookman Old Style" w:hAnsi="Bookman Old Style" w:cs="Arial"/>
          <w:i/>
          <w:szCs w:val="24"/>
          <w:shd w:val="clear" w:color="auto" w:fill="FFFFFF"/>
        </w:rPr>
        <w:t>multiposeedores</w:t>
      </w:r>
      <w:proofErr w:type="spellEnd"/>
      <w:r w:rsidRPr="00335BBB">
        <w:rPr>
          <w:rFonts w:ascii="Bookman Old Style" w:hAnsi="Bookman Old Style" w:cs="Arial"/>
          <w:i/>
          <w:szCs w:val="24"/>
          <w:shd w:val="clear" w:color="auto" w:fill="FFFFFF"/>
        </w:rPr>
        <w:t xml:space="preserve"> serán acreedores a un incremento en la tarifaria del 0.5 por mil de la estructura tarifaria conten</w:t>
      </w:r>
      <w:r w:rsidRPr="00335BBB">
        <w:rPr>
          <w:rFonts w:ascii="Bookman Old Style" w:hAnsi="Bookman Old Style" w:cs="Arial"/>
          <w:i/>
          <w:szCs w:val="24"/>
          <w:shd w:val="clear" w:color="auto" w:fill="FFFFFF"/>
        </w:rPr>
        <w:t>i</w:t>
      </w:r>
      <w:r w:rsidRPr="00335BBB">
        <w:rPr>
          <w:rFonts w:ascii="Bookman Old Style" w:hAnsi="Bookman Old Style" w:cs="Arial"/>
          <w:i/>
          <w:szCs w:val="24"/>
          <w:shd w:val="clear" w:color="auto" w:fill="FFFFFF"/>
        </w:rPr>
        <w:t>da en el presente acuerdo…”</w:t>
      </w:r>
    </w:p>
    <w:p w:rsidR="007779A1" w:rsidRPr="00335BBB" w:rsidRDefault="007779A1" w:rsidP="007779A1">
      <w:pPr>
        <w:shd w:val="clear" w:color="auto" w:fill="FFFFFF"/>
        <w:ind w:left="360"/>
        <w:jc w:val="both"/>
        <w:rPr>
          <w:rStyle w:val="apple-converted-space"/>
          <w:rFonts w:ascii="Bookman Old Style" w:hAnsi="Bookman Old Style" w:cs="Arial"/>
          <w:b/>
          <w:bCs/>
          <w:szCs w:val="24"/>
          <w:shd w:val="clear" w:color="auto" w:fill="FFFFFF"/>
        </w:rPr>
      </w:pPr>
    </w:p>
    <w:p w:rsidR="007779A1" w:rsidRPr="00335BBB" w:rsidRDefault="007779A1" w:rsidP="007779A1">
      <w:pPr>
        <w:shd w:val="clear" w:color="auto" w:fill="FFFFFF"/>
        <w:jc w:val="both"/>
        <w:rPr>
          <w:rFonts w:ascii="Bookman Old Style" w:hAnsi="Bookman Old Style" w:cs="Arial"/>
          <w:bCs/>
          <w:szCs w:val="24"/>
          <w:shd w:val="clear" w:color="auto" w:fill="FFFFFF"/>
        </w:rPr>
      </w:pPr>
      <w:r w:rsidRPr="00335BBB">
        <w:rPr>
          <w:rFonts w:ascii="Bookman Old Style" w:hAnsi="Bookman Old Style" w:cs="Arial"/>
          <w:b/>
          <w:bCs/>
          <w:szCs w:val="24"/>
          <w:lang w:eastAsia="es-CO"/>
        </w:rPr>
        <w:t>ARTICULO 3</w:t>
      </w:r>
      <w:r>
        <w:rPr>
          <w:rFonts w:ascii="Bookman Old Style" w:hAnsi="Bookman Old Style" w:cs="Arial"/>
          <w:b/>
          <w:bCs/>
          <w:szCs w:val="24"/>
          <w:lang w:eastAsia="es-CO"/>
        </w:rPr>
        <w:t xml:space="preserve">. </w:t>
      </w:r>
      <w:r w:rsidRPr="00335BBB">
        <w:rPr>
          <w:rFonts w:ascii="Bookman Old Style" w:hAnsi="Bookman Old Style" w:cs="Arial"/>
          <w:bCs/>
          <w:szCs w:val="24"/>
          <w:lang w:eastAsia="es-CO"/>
        </w:rPr>
        <w:t xml:space="preserve">Los contribuyentes </w:t>
      </w:r>
      <w:proofErr w:type="spellStart"/>
      <w:r w:rsidRPr="00335BBB">
        <w:rPr>
          <w:rFonts w:ascii="Bookman Old Style" w:hAnsi="Bookman Old Style" w:cs="Arial"/>
          <w:szCs w:val="24"/>
          <w:shd w:val="clear" w:color="auto" w:fill="FFFFFF"/>
        </w:rPr>
        <w:t>monopropietarios</w:t>
      </w:r>
      <w:proofErr w:type="spellEnd"/>
      <w:r w:rsidRPr="00335BBB">
        <w:rPr>
          <w:rFonts w:ascii="Bookman Old Style" w:hAnsi="Bookman Old Style" w:cs="Arial"/>
          <w:szCs w:val="24"/>
          <w:shd w:val="clear" w:color="auto" w:fill="FFFFFF"/>
        </w:rPr>
        <w:t xml:space="preserve"> o </w:t>
      </w:r>
      <w:proofErr w:type="spellStart"/>
      <w:r w:rsidRPr="00335BBB">
        <w:rPr>
          <w:rFonts w:ascii="Bookman Old Style" w:hAnsi="Bookman Old Style" w:cs="Arial"/>
          <w:szCs w:val="24"/>
          <w:shd w:val="clear" w:color="auto" w:fill="FFFFFF"/>
        </w:rPr>
        <w:t>monoposeedores</w:t>
      </w:r>
      <w:proofErr w:type="spellEnd"/>
      <w:r w:rsidRPr="00335BBB">
        <w:rPr>
          <w:rFonts w:ascii="Bookman Old Style" w:hAnsi="Bookman Old Style" w:cs="Arial"/>
          <w:szCs w:val="24"/>
          <w:shd w:val="clear" w:color="auto" w:fill="FFFFFF"/>
        </w:rPr>
        <w:t xml:space="preserve"> </w:t>
      </w:r>
      <w:r>
        <w:rPr>
          <w:rFonts w:ascii="Bookman Old Style" w:hAnsi="Bookman Old Style" w:cs="Arial"/>
          <w:szCs w:val="24"/>
          <w:shd w:val="clear" w:color="auto" w:fill="FFFFFF"/>
        </w:rPr>
        <w:t xml:space="preserve">de </w:t>
      </w:r>
      <w:r w:rsidRPr="00961359">
        <w:rPr>
          <w:rFonts w:ascii="Bookman Old Style" w:hAnsi="Bookman Old Style" w:cs="Arial"/>
          <w:szCs w:val="24"/>
          <w:shd w:val="clear" w:color="auto" w:fill="FFFFFF"/>
        </w:rPr>
        <w:t>pr</w:t>
      </w:r>
      <w:r w:rsidRPr="00961359">
        <w:rPr>
          <w:rFonts w:ascii="Bookman Old Style" w:hAnsi="Bookman Old Style" w:cs="Arial"/>
          <w:szCs w:val="24"/>
          <w:shd w:val="clear" w:color="auto" w:fill="FFFFFF"/>
        </w:rPr>
        <w:t>e</w:t>
      </w:r>
      <w:r w:rsidRPr="00961359">
        <w:rPr>
          <w:rFonts w:ascii="Bookman Old Style" w:hAnsi="Bookman Old Style" w:cs="Arial"/>
          <w:szCs w:val="24"/>
          <w:shd w:val="clear" w:color="auto" w:fill="FFFFFF"/>
        </w:rPr>
        <w:t>dios residenciales</w:t>
      </w:r>
      <w:r w:rsidRPr="00335BBB">
        <w:rPr>
          <w:rFonts w:ascii="Bookman Old Style" w:hAnsi="Bookman Old Style" w:cs="Arial"/>
          <w:i/>
          <w:szCs w:val="24"/>
          <w:shd w:val="clear" w:color="auto" w:fill="FFFFFF"/>
        </w:rPr>
        <w:t xml:space="preserve"> </w:t>
      </w:r>
      <w:r w:rsidRPr="00335BBB">
        <w:rPr>
          <w:rFonts w:ascii="Bookman Old Style" w:hAnsi="Bookman Old Style" w:cs="Arial"/>
          <w:szCs w:val="24"/>
          <w:shd w:val="clear" w:color="auto" w:fill="FFFFFF"/>
        </w:rPr>
        <w:t xml:space="preserve">podrán </w:t>
      </w:r>
      <w:r w:rsidRPr="00335BBB">
        <w:rPr>
          <w:rFonts w:ascii="Bookman Old Style" w:hAnsi="Bookman Old Style" w:cs="Arial"/>
          <w:bCs/>
          <w:szCs w:val="24"/>
          <w:shd w:val="clear" w:color="auto" w:fill="FFFFFF"/>
        </w:rPr>
        <w:t>cancelar bimestral el impuesto predial unificado, co</w:t>
      </w:r>
      <w:r w:rsidRPr="00335BBB">
        <w:rPr>
          <w:rFonts w:ascii="Bookman Old Style" w:hAnsi="Bookman Old Style" w:cs="Arial"/>
          <w:bCs/>
          <w:szCs w:val="24"/>
          <w:shd w:val="clear" w:color="auto" w:fill="FFFFFF"/>
        </w:rPr>
        <w:t>n</w:t>
      </w:r>
      <w:r w:rsidRPr="00335BBB">
        <w:rPr>
          <w:rFonts w:ascii="Bookman Old Style" w:hAnsi="Bookman Old Style" w:cs="Arial"/>
          <w:bCs/>
          <w:szCs w:val="24"/>
          <w:shd w:val="clear" w:color="auto" w:fill="FFFFFF"/>
        </w:rPr>
        <w:t>forme a la reglamentación y procedimiento que para tal efecto expida la Secr</w:t>
      </w:r>
      <w:r w:rsidRPr="00335BBB">
        <w:rPr>
          <w:rFonts w:ascii="Bookman Old Style" w:hAnsi="Bookman Old Style" w:cs="Arial"/>
          <w:bCs/>
          <w:szCs w:val="24"/>
          <w:shd w:val="clear" w:color="auto" w:fill="FFFFFF"/>
        </w:rPr>
        <w:t>e</w:t>
      </w:r>
      <w:r w:rsidRPr="00335BBB">
        <w:rPr>
          <w:rFonts w:ascii="Bookman Old Style" w:hAnsi="Bookman Old Style" w:cs="Arial"/>
          <w:bCs/>
          <w:szCs w:val="24"/>
          <w:shd w:val="clear" w:color="auto" w:fill="FFFFFF"/>
        </w:rPr>
        <w:t>taria de Hacienda Distrital.</w:t>
      </w:r>
    </w:p>
    <w:p w:rsidR="007779A1" w:rsidRPr="00335BBB" w:rsidRDefault="007779A1" w:rsidP="007779A1">
      <w:pPr>
        <w:shd w:val="clear" w:color="auto" w:fill="FFFFFF"/>
        <w:jc w:val="both"/>
        <w:rPr>
          <w:rFonts w:ascii="Bookman Old Style" w:hAnsi="Bookman Old Style" w:cs="Arial"/>
          <w:bCs/>
          <w:szCs w:val="24"/>
          <w:shd w:val="clear" w:color="auto" w:fill="FFFFFF"/>
        </w:rPr>
      </w:pPr>
    </w:p>
    <w:p w:rsidR="007779A1" w:rsidRPr="00335BBB" w:rsidRDefault="007779A1" w:rsidP="007779A1">
      <w:pPr>
        <w:shd w:val="clear" w:color="auto" w:fill="FFFFFF"/>
        <w:jc w:val="both"/>
        <w:rPr>
          <w:rFonts w:ascii="Bookman Old Style" w:hAnsi="Bookman Old Style" w:cs="Arial"/>
          <w:b/>
          <w:bCs/>
          <w:szCs w:val="24"/>
        </w:rPr>
      </w:pPr>
      <w:r w:rsidRPr="00335BBB">
        <w:rPr>
          <w:rFonts w:ascii="Bookman Old Style" w:hAnsi="Bookman Old Style" w:cs="Arial"/>
          <w:b/>
          <w:bCs/>
          <w:szCs w:val="24"/>
        </w:rPr>
        <w:t xml:space="preserve">ARTICULO 4. VIGENCIA Y DEROGATORIAS. </w:t>
      </w:r>
      <w:r w:rsidRPr="00335BBB">
        <w:rPr>
          <w:rFonts w:ascii="Bookman Old Style" w:hAnsi="Bookman Old Style" w:cs="Arial"/>
          <w:bCs/>
          <w:szCs w:val="24"/>
        </w:rPr>
        <w:t>El presente Acuerdo rige a partir de su publicación y deroga las normas que le sean contrarias.</w:t>
      </w:r>
    </w:p>
    <w:p w:rsidR="007779A1" w:rsidRPr="00335BBB" w:rsidRDefault="007779A1" w:rsidP="007779A1">
      <w:pPr>
        <w:jc w:val="both"/>
        <w:rPr>
          <w:rFonts w:ascii="Bookman Old Style" w:hAnsi="Bookman Old Style"/>
          <w:szCs w:val="24"/>
        </w:rPr>
      </w:pPr>
    </w:p>
    <w:p w:rsidR="007779A1" w:rsidRPr="00335BBB" w:rsidRDefault="007779A1" w:rsidP="007779A1">
      <w:pPr>
        <w:jc w:val="both"/>
        <w:rPr>
          <w:rFonts w:ascii="Bookman Old Style" w:hAnsi="Bookman Old Style"/>
          <w:szCs w:val="24"/>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997C09" w:rsidRPr="00ED6D9A" w:rsidRDefault="00997C09" w:rsidP="00997C09">
      <w:pPr>
        <w:rPr>
          <w:bCs/>
          <w:sz w:val="20"/>
        </w:rPr>
      </w:pPr>
    </w:p>
    <w:p w:rsidR="00ED6D9A" w:rsidRPr="00ED6D9A" w:rsidRDefault="00ED6D9A" w:rsidP="00997C09">
      <w:pPr>
        <w:rPr>
          <w:bCs/>
          <w:sz w:val="20"/>
        </w:rPr>
      </w:pPr>
    </w:p>
    <w:sectPr w:rsidR="00ED6D9A" w:rsidRPr="00ED6D9A" w:rsidSect="0027684C">
      <w:headerReference w:type="default" r:id="rId12"/>
      <w:footerReference w:type="even" r:id="rId13"/>
      <w:footerReference w:type="default" r:id="rId14"/>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15" w:rsidRDefault="00194C15">
      <w:r>
        <w:separator/>
      </w:r>
    </w:p>
  </w:endnote>
  <w:endnote w:type="continuationSeparator" w:id="0">
    <w:p w:rsidR="00194C15" w:rsidRDefault="0019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EE" w:rsidRDefault="00FB2DEE" w:rsidP="00FB2DEE">
    <w:pPr>
      <w:pStyle w:val="Piedepgina"/>
      <w:jc w:val="center"/>
      <w:rPr>
        <w:sz w:val="18"/>
        <w:szCs w:val="16"/>
      </w:rPr>
    </w:pPr>
    <w:r w:rsidRPr="0047614C">
      <w:rPr>
        <w:noProof/>
        <w:sz w:val="18"/>
        <w:szCs w:val="18"/>
        <w:lang w:val="es-CO" w:eastAsia="es-CO"/>
      </w:rPr>
      <w:drawing>
        <wp:anchor distT="0" distB="0" distL="114300" distR="114300" simplePos="0" relativeHeight="251659264" behindDoc="1" locked="0" layoutInCell="1" allowOverlap="1" wp14:anchorId="58F040C5" wp14:editId="13F1B36A">
          <wp:simplePos x="0" y="0"/>
          <wp:positionH relativeFrom="column">
            <wp:posOffset>4768215</wp:posOffset>
          </wp:positionH>
          <wp:positionV relativeFrom="paragraph">
            <wp:posOffset>81915</wp:posOffset>
          </wp:positionV>
          <wp:extent cx="1447800" cy="504825"/>
          <wp:effectExtent l="0" t="0" r="0" b="9525"/>
          <wp:wrapNone/>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anchor>
      </w:drawing>
    </w:r>
    <w:r w:rsidRPr="0047614C">
      <w:rPr>
        <w:noProof/>
        <w:sz w:val="18"/>
        <w:szCs w:val="18"/>
        <w:lang w:val="es-CO" w:eastAsia="es-CO"/>
      </w:rPr>
      <w:drawing>
        <wp:anchor distT="0" distB="0" distL="114300" distR="114300" simplePos="0" relativeHeight="251660288" behindDoc="1" locked="0" layoutInCell="1" allowOverlap="1" wp14:anchorId="3A7CA7EC" wp14:editId="5B42EE56">
          <wp:simplePos x="0" y="0"/>
          <wp:positionH relativeFrom="margin">
            <wp:posOffset>-561975</wp:posOffset>
          </wp:positionH>
          <wp:positionV relativeFrom="paragraph">
            <wp:posOffset>74295</wp:posOffset>
          </wp:positionV>
          <wp:extent cx="1466850" cy="523875"/>
          <wp:effectExtent l="0" t="0" r="0" b="9525"/>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anchor>
      </w:drawing>
    </w:r>
  </w:p>
  <w:p w:rsidR="00FB2DEE" w:rsidRDefault="00FB2DEE" w:rsidP="00FB2DEE">
    <w:pPr>
      <w:pStyle w:val="Piedepgina"/>
      <w:jc w:val="center"/>
      <w:rPr>
        <w:sz w:val="18"/>
        <w:szCs w:val="16"/>
      </w:rPr>
    </w:pPr>
  </w:p>
  <w:p w:rsidR="00FB2DEE" w:rsidRPr="0047614C" w:rsidRDefault="00FB2DEE" w:rsidP="00FB2DEE">
    <w:pPr>
      <w:pStyle w:val="Piedepgina"/>
      <w:jc w:val="center"/>
      <w:rPr>
        <w:sz w:val="18"/>
        <w:szCs w:val="18"/>
      </w:rPr>
    </w:pPr>
    <w:r w:rsidRPr="005327A2">
      <w:rPr>
        <w:sz w:val="18"/>
        <w:szCs w:val="16"/>
      </w:rPr>
      <w:t>“EL CONCEJO, COMPRO</w:t>
    </w:r>
    <w:r>
      <w:rPr>
        <w:sz w:val="18"/>
        <w:szCs w:val="16"/>
      </w:rPr>
      <w:t>MISO</w:t>
    </w:r>
    <w:r w:rsidRPr="005327A2">
      <w:rPr>
        <w:sz w:val="18"/>
        <w:szCs w:val="16"/>
      </w:rPr>
      <w:t xml:space="preserve"> Y TRANSPARENCIA POR BOGOTÁ"</w:t>
    </w:r>
  </w:p>
  <w:p w:rsidR="00FB2DEE" w:rsidRPr="0047614C" w:rsidRDefault="00FB2DEE" w:rsidP="00FB2DEE">
    <w:pPr>
      <w:pStyle w:val="Piedepgina"/>
      <w:rPr>
        <w:sz w:val="16"/>
        <w:szCs w:val="18"/>
      </w:rPr>
    </w:pPr>
  </w:p>
  <w:p w:rsidR="00FB2DEE" w:rsidRPr="0047614C" w:rsidRDefault="00FB2DEE" w:rsidP="00FB2DEE">
    <w:pPr>
      <w:pStyle w:val="Piedepgina"/>
      <w:rPr>
        <w:sz w:val="16"/>
        <w:szCs w:val="18"/>
      </w:rPr>
    </w:pPr>
  </w:p>
  <w:p w:rsidR="00633540" w:rsidRDefault="00633540" w:rsidP="00FB2DEE">
    <w:pPr>
      <w:jc w:val="right"/>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15" w:rsidRDefault="00194C15">
      <w:r>
        <w:separator/>
      </w:r>
    </w:p>
  </w:footnote>
  <w:footnote w:type="continuationSeparator" w:id="0">
    <w:p w:rsidR="00194C15" w:rsidRDefault="0019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E30442" w:rsidTr="003428DB">
      <w:trPr>
        <w:trHeight w:val="454"/>
      </w:trPr>
      <w:tc>
        <w:tcPr>
          <w:tcW w:w="1337" w:type="pct"/>
          <w:vMerge w:val="restart"/>
          <w:tcBorders>
            <w:top w:val="single" w:sz="4" w:space="0" w:color="auto"/>
            <w:left w:val="single" w:sz="4" w:space="0" w:color="auto"/>
            <w:right w:val="single" w:sz="4" w:space="0" w:color="auto"/>
          </w:tcBorders>
          <w:vAlign w:val="center"/>
        </w:tcPr>
        <w:p w:rsidR="00E30442" w:rsidRPr="00920985" w:rsidRDefault="00E30442"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E30442" w:rsidTr="003428DB">
      <w:trPr>
        <w:trHeight w:val="454"/>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00</w:t>
          </w:r>
        </w:p>
      </w:tc>
    </w:tr>
    <w:tr w:rsidR="00E30442" w:rsidTr="003428DB">
      <w:trPr>
        <w:trHeight w:val="454"/>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E30442" w:rsidRDefault="00E30442" w:rsidP="00E30442">
          <w:pPr>
            <w:rPr>
              <w:rFonts w:cs="Arial"/>
              <w:sz w:val="16"/>
              <w:szCs w:val="16"/>
            </w:rPr>
          </w:pPr>
          <w:r w:rsidRPr="00EA3A02">
            <w:rPr>
              <w:rFonts w:cs="Arial"/>
              <w:sz w:val="16"/>
              <w:szCs w:val="16"/>
            </w:rPr>
            <w:t>F</w:t>
          </w:r>
          <w:r>
            <w:rPr>
              <w:rFonts w:cs="Arial"/>
              <w:sz w:val="16"/>
              <w:szCs w:val="16"/>
            </w:rPr>
            <w:t>ECHA: 04 DIC. 2015</w:t>
          </w:r>
        </w:p>
      </w:tc>
    </w:tr>
  </w:tbl>
  <w:p w:rsidR="00633540" w:rsidRPr="00E30442" w:rsidRDefault="003428DB" w:rsidP="00E30442">
    <w:pPr>
      <w:pStyle w:val="Encabezado"/>
    </w:pPr>
    <w:r w:rsidRPr="00D4338D">
      <w:rPr>
        <w:noProof/>
        <w:lang w:val="es-CO" w:eastAsia="es-CO"/>
      </w:rPr>
      <w:drawing>
        <wp:anchor distT="0" distB="0" distL="114300" distR="114300" simplePos="0" relativeHeight="251662336" behindDoc="1" locked="0" layoutInCell="1" allowOverlap="1" wp14:anchorId="579308B6" wp14:editId="3EC1FFB7">
          <wp:simplePos x="0" y="0"/>
          <wp:positionH relativeFrom="column">
            <wp:posOffset>441325</wp:posOffset>
          </wp:positionH>
          <wp:positionV relativeFrom="paragraph">
            <wp:posOffset>-890270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DC"/>
    <w:multiLevelType w:val="hybridMultilevel"/>
    <w:tmpl w:val="662C1446"/>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200E6F39"/>
    <w:multiLevelType w:val="multilevel"/>
    <w:tmpl w:val="E9CE08E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653863BE"/>
    <w:multiLevelType w:val="hybridMultilevel"/>
    <w:tmpl w:val="5324E16C"/>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4C15"/>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E707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28DB"/>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779A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54652"/>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6606"/>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204B"/>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7189F"/>
    <w:rsid w:val="00F814C1"/>
    <w:rsid w:val="00F82F09"/>
    <w:rsid w:val="00F877BF"/>
    <w:rsid w:val="00F87AB2"/>
    <w:rsid w:val="00F945A3"/>
    <w:rsid w:val="00F96E84"/>
    <w:rsid w:val="00FA005F"/>
    <w:rsid w:val="00FA0793"/>
    <w:rsid w:val="00FA08C7"/>
    <w:rsid w:val="00FA0D0E"/>
    <w:rsid w:val="00FA11DA"/>
    <w:rsid w:val="00FA3230"/>
    <w:rsid w:val="00FA3B98"/>
    <w:rsid w:val="00FA5812"/>
    <w:rsid w:val="00FA5D7B"/>
    <w:rsid w:val="00FB03A1"/>
    <w:rsid w:val="00FB2DEE"/>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apple-converted-space">
    <w:name w:val="apple-converted-space"/>
    <w:basedOn w:val="Fuentedeprrafopredeter"/>
    <w:rsid w:val="0077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customStyle="1" w:styleId="apple-converted-space">
    <w:name w:val="apple-converted-space"/>
    <w:basedOn w:val="Fuentedeprrafopredeter"/>
    <w:rsid w:val="0077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https://d.docs.live.net/67863b8bceeb34dc/Concejo/Proyectos%20de%20acuerdo%202016/Predial/estudio%20predial.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Avaluo VS SMMLV</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'[estudio predial.xlsx]Hoja3'!$G$9:$G$14</c:f>
              <c:numCache>
                <c:formatCode>General</c:formatCode>
                <c:ptCount val="6"/>
                <c:pt idx="0">
                  <c:v>2010</c:v>
                </c:pt>
                <c:pt idx="1">
                  <c:v>2011</c:v>
                </c:pt>
                <c:pt idx="2">
                  <c:v>2012</c:v>
                </c:pt>
                <c:pt idx="3">
                  <c:v>2013</c:v>
                </c:pt>
                <c:pt idx="4">
                  <c:v>2014</c:v>
                </c:pt>
                <c:pt idx="5">
                  <c:v>2015</c:v>
                </c:pt>
              </c:numCache>
            </c:numRef>
          </c:cat>
          <c:val>
            <c:numRef>
              <c:f>'[estudio predial.xlsx]Hoja3'!$H$9:$H$14</c:f>
              <c:numCache>
                <c:formatCode>0.00%</c:formatCode>
                <c:ptCount val="6"/>
                <c:pt idx="0">
                  <c:v>0.27689999999999998</c:v>
                </c:pt>
                <c:pt idx="1">
                  <c:v>0.49339999999999995</c:v>
                </c:pt>
                <c:pt idx="2">
                  <c:v>0.66439999999999999</c:v>
                </c:pt>
                <c:pt idx="3">
                  <c:v>0.85580000000000001</c:v>
                </c:pt>
                <c:pt idx="4">
                  <c:v>1.0184</c:v>
                </c:pt>
                <c:pt idx="5">
                  <c:v>1.1703999999999999</c:v>
                </c:pt>
              </c:numCache>
            </c:numRef>
          </c:val>
          <c:smooth val="0"/>
        </c:ser>
        <c:ser>
          <c:idx val="1"/>
          <c:order val="1"/>
          <c:spPr>
            <a:ln w="28575" cap="rnd">
              <a:solidFill>
                <a:schemeClr val="accent2"/>
              </a:solidFill>
              <a:round/>
            </a:ln>
            <a:effectLst/>
          </c:spPr>
          <c:marker>
            <c:symbol val="none"/>
          </c:marker>
          <c:cat>
            <c:numRef>
              <c:f>'[estudio predial.xlsx]Hoja3'!$G$9:$G$14</c:f>
              <c:numCache>
                <c:formatCode>General</c:formatCode>
                <c:ptCount val="6"/>
                <c:pt idx="0">
                  <c:v>2010</c:v>
                </c:pt>
                <c:pt idx="1">
                  <c:v>2011</c:v>
                </c:pt>
                <c:pt idx="2">
                  <c:v>2012</c:v>
                </c:pt>
                <c:pt idx="3">
                  <c:v>2013</c:v>
                </c:pt>
                <c:pt idx="4">
                  <c:v>2014</c:v>
                </c:pt>
                <c:pt idx="5">
                  <c:v>2015</c:v>
                </c:pt>
              </c:numCache>
            </c:numRef>
          </c:cat>
          <c:val>
            <c:numRef>
              <c:f>'[estudio predial.xlsx]Hoja3'!$I$9:$I$14</c:f>
              <c:numCache>
                <c:formatCode>0.00%</c:formatCode>
                <c:ptCount val="6"/>
                <c:pt idx="0">
                  <c:v>3.5999999999999997E-2</c:v>
                </c:pt>
                <c:pt idx="1">
                  <c:v>7.5999999999999998E-2</c:v>
                </c:pt>
                <c:pt idx="2">
                  <c:v>0.13400000000000001</c:v>
                </c:pt>
                <c:pt idx="3">
                  <c:v>0.17420000000000002</c:v>
                </c:pt>
                <c:pt idx="4">
                  <c:v>0.21920000000000001</c:v>
                </c:pt>
                <c:pt idx="5">
                  <c:v>0.26519999999999999</c:v>
                </c:pt>
              </c:numCache>
            </c:numRef>
          </c:val>
          <c:smooth val="0"/>
        </c:ser>
        <c:dLbls>
          <c:showLegendKey val="0"/>
          <c:showVal val="0"/>
          <c:showCatName val="0"/>
          <c:showSerName val="0"/>
          <c:showPercent val="0"/>
          <c:showBubbleSize val="0"/>
        </c:dLbls>
        <c:marker val="1"/>
        <c:smooth val="0"/>
        <c:axId val="58831360"/>
        <c:axId val="72401472"/>
      </c:lineChart>
      <c:catAx>
        <c:axId val="588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2401472"/>
        <c:crosses val="autoZero"/>
        <c:auto val="1"/>
        <c:lblAlgn val="ctr"/>
        <c:lblOffset val="100"/>
        <c:noMultiLvlLbl val="0"/>
      </c:catAx>
      <c:valAx>
        <c:axId val="72401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83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3623-6427-453A-ABB6-A5DE8841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4341</Words>
  <Characters>23510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2</cp:revision>
  <cp:lastPrinted>2016-07-11T14:41:00Z</cp:lastPrinted>
  <dcterms:created xsi:type="dcterms:W3CDTF">2016-07-11T15:35:00Z</dcterms:created>
  <dcterms:modified xsi:type="dcterms:W3CDTF">2016-07-11T15:35:00Z</dcterms:modified>
</cp:coreProperties>
</file>