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289E" w14:textId="57AE8CE7" w:rsidR="005646EE" w:rsidRDefault="005646EE" w:rsidP="005646EE">
      <w:pPr>
        <w:rPr>
          <w:rFonts w:ascii="Arial" w:eastAsia="Arial" w:hAnsi="Arial" w:cs="Arial"/>
          <w:b/>
          <w:bCs/>
          <w:sz w:val="24"/>
          <w:szCs w:val="24"/>
        </w:rPr>
      </w:pPr>
    </w:p>
    <w:p w14:paraId="4535731F" w14:textId="2E8E4A86" w:rsidR="005646EE" w:rsidRDefault="00891E5D" w:rsidP="005646EE">
      <w:pPr>
        <w:jc w:val="center"/>
        <w:rPr>
          <w:rFonts w:ascii="Arial" w:eastAsia="Arial" w:hAnsi="Arial" w:cs="Arial"/>
          <w:b/>
          <w:bCs/>
          <w:sz w:val="24"/>
          <w:szCs w:val="24"/>
        </w:rPr>
      </w:pPr>
      <w:r>
        <w:rPr>
          <w:rFonts w:ascii="Arial" w:eastAsia="Arial" w:hAnsi="Arial" w:cs="Arial"/>
          <w:b/>
          <w:bCs/>
          <w:sz w:val="24"/>
          <w:szCs w:val="24"/>
        </w:rPr>
        <w:t>EXPOSICIÓN DE MOTIVOS</w:t>
      </w:r>
    </w:p>
    <w:p w14:paraId="4A78E283" w14:textId="77777777" w:rsidR="00891E5D" w:rsidRDefault="00891E5D" w:rsidP="007C3842">
      <w:pPr>
        <w:jc w:val="center"/>
        <w:rPr>
          <w:rFonts w:ascii="Arial" w:eastAsia="Arial" w:hAnsi="Arial" w:cs="Arial"/>
          <w:b/>
          <w:bCs/>
          <w:sz w:val="24"/>
          <w:szCs w:val="24"/>
        </w:rPr>
      </w:pPr>
    </w:p>
    <w:p w14:paraId="05E55BDC" w14:textId="07A38AAE" w:rsidR="00C2462F" w:rsidRPr="00285BA5" w:rsidRDefault="00C2462F" w:rsidP="007C3842">
      <w:pPr>
        <w:jc w:val="center"/>
        <w:rPr>
          <w:rFonts w:ascii="Arial" w:hAnsi="Arial" w:cs="Arial"/>
          <w:b/>
          <w:sz w:val="24"/>
          <w:szCs w:val="24"/>
          <w:lang w:val="es-ES"/>
        </w:rPr>
      </w:pPr>
      <w:r w:rsidRPr="00285BA5">
        <w:rPr>
          <w:rFonts w:ascii="Arial" w:eastAsia="Arial" w:hAnsi="Arial" w:cs="Arial"/>
          <w:b/>
          <w:bCs/>
          <w:sz w:val="24"/>
          <w:szCs w:val="24"/>
        </w:rPr>
        <w:t xml:space="preserve">PROYECTO DE ACUERDO </w:t>
      </w:r>
      <w:r w:rsidR="009E68DF">
        <w:rPr>
          <w:rFonts w:ascii="Arial" w:eastAsia="Arial" w:hAnsi="Arial" w:cs="Arial"/>
          <w:b/>
          <w:bCs/>
          <w:sz w:val="24"/>
          <w:szCs w:val="24"/>
        </w:rPr>
        <w:t>365</w:t>
      </w:r>
      <w:bookmarkStart w:id="0" w:name="_GoBack"/>
      <w:bookmarkEnd w:id="0"/>
      <w:r w:rsidRPr="00285BA5">
        <w:rPr>
          <w:rFonts w:ascii="Arial" w:eastAsia="Arial" w:hAnsi="Arial" w:cs="Arial"/>
          <w:b/>
          <w:bCs/>
          <w:sz w:val="24"/>
          <w:szCs w:val="24"/>
        </w:rPr>
        <w:t xml:space="preserve"> DE 2019</w:t>
      </w:r>
    </w:p>
    <w:p w14:paraId="27249B5D" w14:textId="77777777" w:rsidR="0018183D" w:rsidRPr="00285BA5" w:rsidRDefault="0018183D" w:rsidP="0018183D">
      <w:pPr>
        <w:pStyle w:val="Prrafodelista2"/>
        <w:tabs>
          <w:tab w:val="left" w:pos="1060"/>
        </w:tabs>
        <w:spacing w:after="0" w:line="100" w:lineRule="atLeast"/>
        <w:ind w:left="360"/>
        <w:rPr>
          <w:rFonts w:ascii="Arial" w:hAnsi="Arial" w:cs="Arial"/>
          <w:b/>
          <w:sz w:val="24"/>
          <w:szCs w:val="24"/>
          <w:lang w:val="es-ES"/>
        </w:rPr>
      </w:pPr>
    </w:p>
    <w:p w14:paraId="3EC0768C" w14:textId="3BB56093" w:rsidR="008E1D1A" w:rsidRPr="008E1D1A" w:rsidRDefault="008E1D1A" w:rsidP="008E1D1A">
      <w:pPr>
        <w:ind w:left="-142"/>
        <w:jc w:val="center"/>
        <w:rPr>
          <w:rFonts w:ascii="Arial" w:hAnsi="Arial" w:cs="Arial"/>
          <w:b/>
          <w:sz w:val="22"/>
          <w:szCs w:val="22"/>
          <w:lang w:val="es-ES"/>
        </w:rPr>
      </w:pPr>
      <w:r w:rsidRPr="008E1D1A">
        <w:rPr>
          <w:rFonts w:ascii="Arial" w:hAnsi="Arial" w:cs="Arial"/>
          <w:b/>
          <w:bCs/>
          <w:sz w:val="24"/>
          <w:szCs w:val="24"/>
          <w:lang w:val="es-ES"/>
        </w:rPr>
        <w:t>“</w:t>
      </w:r>
      <w:r w:rsidRPr="008E1D1A">
        <w:rPr>
          <w:rFonts w:ascii="Arial" w:hAnsi="Arial" w:cs="Arial"/>
          <w:b/>
          <w:sz w:val="22"/>
          <w:szCs w:val="22"/>
        </w:rPr>
        <w:t>Por el cual se expiden normas sustanciales tributarias, se adopta el impuesto unificado bajo el Régimen Simple de Tributación (SIMPLE), se extienden y amplían unos beneficios tributarios, y se modifican algunas disposiciones procedimentales tributarias”.</w:t>
      </w:r>
    </w:p>
    <w:p w14:paraId="0D76D646" w14:textId="37560F5E" w:rsidR="008E1D1A" w:rsidRPr="00030EE9" w:rsidRDefault="008E1D1A" w:rsidP="00C2462F">
      <w:pPr>
        <w:jc w:val="both"/>
        <w:rPr>
          <w:rFonts w:ascii="Arial" w:hAnsi="Arial" w:cs="Arial"/>
          <w:b/>
          <w:bCs/>
          <w:sz w:val="24"/>
          <w:szCs w:val="24"/>
          <w:lang w:val="es-ES"/>
        </w:rPr>
      </w:pPr>
    </w:p>
    <w:p w14:paraId="0B166E26" w14:textId="3C3AD441" w:rsidR="00C2462F" w:rsidRDefault="00BE0F8F" w:rsidP="00BE0F8F">
      <w:pPr>
        <w:pStyle w:val="Prrafodelista"/>
        <w:numPr>
          <w:ilvl w:val="0"/>
          <w:numId w:val="18"/>
        </w:numPr>
        <w:jc w:val="both"/>
        <w:rPr>
          <w:rStyle w:val="Textoennegrita"/>
          <w:rFonts w:ascii="Arial" w:hAnsi="Arial" w:cs="Arial"/>
          <w:sz w:val="24"/>
          <w:szCs w:val="24"/>
        </w:rPr>
      </w:pPr>
      <w:r w:rsidRPr="00BE0F8F">
        <w:rPr>
          <w:rStyle w:val="Textoennegrita"/>
          <w:rFonts w:ascii="Arial" w:hAnsi="Arial" w:cs="Arial"/>
          <w:sz w:val="24"/>
          <w:szCs w:val="24"/>
        </w:rPr>
        <w:t>Objeto del proyecto:</w:t>
      </w:r>
    </w:p>
    <w:p w14:paraId="37ED9F80" w14:textId="59F9FEEA" w:rsidR="00737EEA" w:rsidRDefault="00737EEA" w:rsidP="00737EEA">
      <w:pPr>
        <w:jc w:val="both"/>
        <w:rPr>
          <w:rStyle w:val="Textoennegrita"/>
          <w:rFonts w:ascii="Arial" w:hAnsi="Arial" w:cs="Arial"/>
          <w:sz w:val="24"/>
          <w:szCs w:val="24"/>
        </w:rPr>
      </w:pPr>
    </w:p>
    <w:p w14:paraId="66B533C4" w14:textId="0FFF6366" w:rsidR="00737EEA" w:rsidRPr="00737EEA" w:rsidRDefault="00737EEA" w:rsidP="00737EEA">
      <w:pPr>
        <w:jc w:val="both"/>
        <w:rPr>
          <w:rStyle w:val="Textoennegrita"/>
          <w:rFonts w:ascii="Arial" w:hAnsi="Arial" w:cs="Arial"/>
          <w:b w:val="0"/>
          <w:bCs w:val="0"/>
          <w:sz w:val="24"/>
          <w:szCs w:val="24"/>
        </w:rPr>
      </w:pPr>
      <w:r>
        <w:rPr>
          <w:rStyle w:val="Textoennegrita"/>
          <w:rFonts w:ascii="Arial" w:hAnsi="Arial" w:cs="Arial"/>
          <w:b w:val="0"/>
          <w:bCs w:val="0"/>
          <w:sz w:val="24"/>
          <w:szCs w:val="24"/>
        </w:rPr>
        <w:t>El presente proyecto de acuerdo tiene por objeto avanzar</w:t>
      </w:r>
      <w:r w:rsidR="00A0117A">
        <w:rPr>
          <w:rStyle w:val="Textoennegrita"/>
          <w:rFonts w:ascii="Arial" w:hAnsi="Arial" w:cs="Arial"/>
          <w:b w:val="0"/>
          <w:bCs w:val="0"/>
          <w:sz w:val="24"/>
          <w:szCs w:val="24"/>
        </w:rPr>
        <w:t xml:space="preserve"> en temas de simplificación tributaria mediante</w:t>
      </w:r>
      <w:r w:rsidR="00D805EA">
        <w:rPr>
          <w:rStyle w:val="Textoennegrita"/>
          <w:rFonts w:ascii="Arial" w:hAnsi="Arial" w:cs="Arial"/>
          <w:b w:val="0"/>
          <w:bCs w:val="0"/>
          <w:sz w:val="24"/>
          <w:szCs w:val="24"/>
        </w:rPr>
        <w:t>:</w:t>
      </w:r>
      <w:r w:rsidR="0041286A">
        <w:rPr>
          <w:rStyle w:val="Textoennegrita"/>
          <w:rFonts w:ascii="Arial" w:hAnsi="Arial" w:cs="Arial"/>
          <w:b w:val="0"/>
          <w:bCs w:val="0"/>
          <w:sz w:val="24"/>
          <w:szCs w:val="24"/>
        </w:rPr>
        <w:t xml:space="preserve"> i) la inclusión de nuevos límites de crecimiento para el impuesto predial unificado -unos fijados por la Ley 1995 de 2019 y otros propuestos por la administración distrital-, </w:t>
      </w:r>
      <w:r w:rsidR="00D805EA">
        <w:rPr>
          <w:rStyle w:val="Textoennegrita"/>
          <w:rFonts w:ascii="Arial" w:hAnsi="Arial" w:cs="Arial"/>
          <w:b w:val="0"/>
          <w:bCs w:val="0"/>
          <w:sz w:val="24"/>
          <w:szCs w:val="24"/>
        </w:rPr>
        <w:t xml:space="preserve"> </w:t>
      </w:r>
      <w:r w:rsidR="0041286A">
        <w:rPr>
          <w:rStyle w:val="Textoennegrita"/>
          <w:rFonts w:ascii="Arial" w:hAnsi="Arial" w:cs="Arial"/>
          <w:b w:val="0"/>
          <w:bCs w:val="0"/>
          <w:sz w:val="24"/>
          <w:szCs w:val="24"/>
        </w:rPr>
        <w:t>i</w:t>
      </w:r>
      <w:r w:rsidR="00D805EA">
        <w:rPr>
          <w:rStyle w:val="Textoennegrita"/>
          <w:rFonts w:ascii="Arial" w:hAnsi="Arial" w:cs="Arial"/>
          <w:b w:val="0"/>
          <w:bCs w:val="0"/>
          <w:sz w:val="24"/>
          <w:szCs w:val="24"/>
        </w:rPr>
        <w:t xml:space="preserve">i) </w:t>
      </w:r>
      <w:r w:rsidR="00A0117A">
        <w:rPr>
          <w:rStyle w:val="Textoennegrita"/>
          <w:rFonts w:ascii="Arial" w:hAnsi="Arial" w:cs="Arial"/>
          <w:b w:val="0"/>
          <w:bCs w:val="0"/>
          <w:sz w:val="24"/>
          <w:szCs w:val="24"/>
        </w:rPr>
        <w:t xml:space="preserve">la adopción </w:t>
      </w:r>
      <w:r w:rsidR="007730FB">
        <w:rPr>
          <w:rStyle w:val="Textoennegrita"/>
          <w:rFonts w:ascii="Arial" w:hAnsi="Arial" w:cs="Arial"/>
          <w:b w:val="0"/>
          <w:bCs w:val="0"/>
          <w:sz w:val="24"/>
          <w:szCs w:val="24"/>
        </w:rPr>
        <w:t xml:space="preserve">en el Distrito Capital </w:t>
      </w:r>
      <w:r w:rsidR="00A0117A">
        <w:rPr>
          <w:rStyle w:val="Textoennegrita"/>
          <w:rFonts w:ascii="Arial" w:hAnsi="Arial" w:cs="Arial"/>
          <w:b w:val="0"/>
          <w:bCs w:val="0"/>
          <w:sz w:val="24"/>
          <w:szCs w:val="24"/>
        </w:rPr>
        <w:t>del Régimen Simple de Tributación (SIMPLE)</w:t>
      </w:r>
      <w:r w:rsidR="00A87E6C">
        <w:rPr>
          <w:rStyle w:val="Textoennegrita"/>
          <w:rFonts w:ascii="Arial" w:hAnsi="Arial" w:cs="Arial"/>
          <w:b w:val="0"/>
          <w:bCs w:val="0"/>
          <w:sz w:val="24"/>
          <w:szCs w:val="24"/>
        </w:rPr>
        <w:t xml:space="preserve"> </w:t>
      </w:r>
      <w:r w:rsidR="00D805EA">
        <w:rPr>
          <w:rStyle w:val="Textoennegrita"/>
          <w:rFonts w:ascii="Arial" w:hAnsi="Arial" w:cs="Arial"/>
          <w:b w:val="0"/>
          <w:bCs w:val="0"/>
          <w:sz w:val="24"/>
          <w:szCs w:val="24"/>
        </w:rPr>
        <w:t>creado por la Ley 1943 de 2018</w:t>
      </w:r>
      <w:r w:rsidR="008142DF">
        <w:rPr>
          <w:rStyle w:val="Textoennegrita"/>
          <w:rFonts w:ascii="Arial" w:hAnsi="Arial" w:cs="Arial"/>
          <w:b w:val="0"/>
          <w:bCs w:val="0"/>
          <w:sz w:val="24"/>
          <w:szCs w:val="24"/>
        </w:rPr>
        <w:t>,</w:t>
      </w:r>
      <w:r w:rsidR="00D805EA">
        <w:rPr>
          <w:rStyle w:val="Textoennegrita"/>
          <w:rFonts w:ascii="Arial" w:hAnsi="Arial" w:cs="Arial"/>
          <w:b w:val="0"/>
          <w:bCs w:val="0"/>
          <w:sz w:val="24"/>
          <w:szCs w:val="24"/>
        </w:rPr>
        <w:t xml:space="preserve"> </w:t>
      </w:r>
      <w:r w:rsidR="0041286A">
        <w:rPr>
          <w:rStyle w:val="Textoennegrita"/>
          <w:rFonts w:ascii="Arial" w:hAnsi="Arial" w:cs="Arial"/>
          <w:b w:val="0"/>
          <w:bCs w:val="0"/>
          <w:sz w:val="24"/>
          <w:szCs w:val="24"/>
        </w:rPr>
        <w:t>i</w:t>
      </w:r>
      <w:r w:rsidR="00D805EA">
        <w:rPr>
          <w:rStyle w:val="Textoennegrita"/>
          <w:rFonts w:ascii="Arial" w:hAnsi="Arial" w:cs="Arial"/>
          <w:b w:val="0"/>
          <w:bCs w:val="0"/>
          <w:sz w:val="24"/>
          <w:szCs w:val="24"/>
        </w:rPr>
        <w:t xml:space="preserve">ii) la </w:t>
      </w:r>
      <w:r w:rsidR="0041286A">
        <w:rPr>
          <w:rStyle w:val="Textoennegrita"/>
          <w:rFonts w:ascii="Arial" w:hAnsi="Arial" w:cs="Arial"/>
          <w:b w:val="0"/>
          <w:bCs w:val="0"/>
          <w:sz w:val="24"/>
          <w:szCs w:val="24"/>
        </w:rPr>
        <w:t>extensión y ampliación de beneficios tributarios en los impuestos predial unificado y delineación urbana</w:t>
      </w:r>
      <w:r w:rsidR="008142DF">
        <w:rPr>
          <w:rStyle w:val="Textoennegrita"/>
          <w:rFonts w:ascii="Arial" w:hAnsi="Arial" w:cs="Arial"/>
          <w:b w:val="0"/>
          <w:bCs w:val="0"/>
          <w:sz w:val="24"/>
          <w:szCs w:val="24"/>
        </w:rPr>
        <w:t>,</w:t>
      </w:r>
      <w:r w:rsidR="00DE2CA6" w:rsidRPr="00F54AD0">
        <w:rPr>
          <w:rStyle w:val="Textoennegrita"/>
          <w:rFonts w:ascii="Arial" w:hAnsi="Arial" w:cs="Arial"/>
          <w:b w:val="0"/>
          <w:bCs w:val="0"/>
          <w:sz w:val="24"/>
          <w:szCs w:val="24"/>
        </w:rPr>
        <w:t xml:space="preserve"> </w:t>
      </w:r>
      <w:r w:rsidR="00F54AD0" w:rsidRPr="00F54AD0">
        <w:rPr>
          <w:rStyle w:val="Textoennegrita"/>
          <w:rFonts w:ascii="Arial" w:hAnsi="Arial" w:cs="Arial"/>
          <w:b w:val="0"/>
          <w:bCs w:val="0"/>
          <w:sz w:val="24"/>
          <w:szCs w:val="24"/>
        </w:rPr>
        <w:t xml:space="preserve">y </w:t>
      </w:r>
      <w:r w:rsidR="00DE2CA6" w:rsidRPr="00F54AD0">
        <w:rPr>
          <w:rStyle w:val="Textoennegrita"/>
          <w:rFonts w:ascii="Arial" w:hAnsi="Arial" w:cs="Arial"/>
          <w:b w:val="0"/>
          <w:bCs w:val="0"/>
          <w:sz w:val="24"/>
          <w:szCs w:val="24"/>
        </w:rPr>
        <w:t>v</w:t>
      </w:r>
      <w:r w:rsidR="00F54AD0" w:rsidRPr="00F54AD0">
        <w:rPr>
          <w:rStyle w:val="Textoennegrita"/>
          <w:rFonts w:ascii="Arial" w:hAnsi="Arial" w:cs="Arial"/>
          <w:b w:val="0"/>
          <w:bCs w:val="0"/>
          <w:sz w:val="24"/>
          <w:szCs w:val="24"/>
        </w:rPr>
        <w:t xml:space="preserve">) </w:t>
      </w:r>
      <w:r w:rsidR="00703343" w:rsidRPr="00F54AD0">
        <w:rPr>
          <w:rStyle w:val="Textoennegrita"/>
          <w:rFonts w:ascii="Arial" w:hAnsi="Arial" w:cs="Arial"/>
          <w:b w:val="0"/>
          <w:bCs w:val="0"/>
          <w:sz w:val="24"/>
          <w:szCs w:val="24"/>
        </w:rPr>
        <w:t>el</w:t>
      </w:r>
      <w:r w:rsidR="00703343">
        <w:rPr>
          <w:rStyle w:val="Textoennegrita"/>
          <w:rFonts w:ascii="Arial" w:hAnsi="Arial" w:cs="Arial"/>
          <w:b w:val="0"/>
          <w:bCs w:val="0"/>
          <w:sz w:val="24"/>
          <w:szCs w:val="24"/>
        </w:rPr>
        <w:t xml:space="preserve"> ajuste del procedimiento </w:t>
      </w:r>
      <w:r w:rsidR="001511C1">
        <w:rPr>
          <w:rStyle w:val="Textoennegrita"/>
          <w:rFonts w:ascii="Arial" w:hAnsi="Arial" w:cs="Arial"/>
          <w:b w:val="0"/>
          <w:bCs w:val="0"/>
          <w:sz w:val="24"/>
          <w:szCs w:val="24"/>
        </w:rPr>
        <w:t xml:space="preserve">al régimen </w:t>
      </w:r>
      <w:r w:rsidR="00703343">
        <w:rPr>
          <w:rStyle w:val="Textoennegrita"/>
          <w:rFonts w:ascii="Arial" w:hAnsi="Arial" w:cs="Arial"/>
          <w:b w:val="0"/>
          <w:bCs w:val="0"/>
          <w:sz w:val="24"/>
          <w:szCs w:val="24"/>
        </w:rPr>
        <w:t>tributario distrital conforme las nuevas necesidades en materia procedimental.</w:t>
      </w:r>
    </w:p>
    <w:p w14:paraId="26C1C4EC" w14:textId="77777777" w:rsidR="00BE0F8F" w:rsidRPr="00285BA5" w:rsidRDefault="00BE0F8F" w:rsidP="00C2462F">
      <w:pPr>
        <w:jc w:val="both"/>
        <w:rPr>
          <w:rFonts w:ascii="Arial" w:hAnsi="Arial" w:cs="Arial"/>
          <w:sz w:val="24"/>
          <w:szCs w:val="24"/>
        </w:rPr>
      </w:pPr>
    </w:p>
    <w:p w14:paraId="0F5DD75E" w14:textId="3355DEAC" w:rsidR="009A3FCD" w:rsidRDefault="009A3FCD" w:rsidP="009A3FCD">
      <w:pPr>
        <w:jc w:val="both"/>
        <w:rPr>
          <w:rStyle w:val="Textoennegrita"/>
          <w:rFonts w:ascii="Arial" w:hAnsi="Arial" w:cs="Arial"/>
          <w:b w:val="0"/>
          <w:sz w:val="24"/>
          <w:szCs w:val="24"/>
        </w:rPr>
      </w:pPr>
      <w:r>
        <w:rPr>
          <w:rStyle w:val="Textoennegrita"/>
          <w:rFonts w:ascii="Arial" w:hAnsi="Arial" w:cs="Arial"/>
          <w:b w:val="0"/>
          <w:sz w:val="24"/>
          <w:szCs w:val="24"/>
        </w:rPr>
        <w:t xml:space="preserve">La presente exposición de motivos está compuesta por </w:t>
      </w:r>
      <w:r w:rsidR="007179CD">
        <w:rPr>
          <w:rStyle w:val="Textoennegrita"/>
          <w:rFonts w:ascii="Arial" w:hAnsi="Arial" w:cs="Arial"/>
          <w:b w:val="0"/>
          <w:sz w:val="24"/>
          <w:szCs w:val="24"/>
        </w:rPr>
        <w:t>seis</w:t>
      </w:r>
      <w:r>
        <w:rPr>
          <w:rStyle w:val="Textoennegrita"/>
          <w:rFonts w:ascii="Arial" w:hAnsi="Arial" w:cs="Arial"/>
          <w:b w:val="0"/>
          <w:sz w:val="24"/>
          <w:szCs w:val="24"/>
        </w:rPr>
        <w:t xml:space="preserve"> secciones. </w:t>
      </w:r>
      <w:r w:rsidR="00CC1549">
        <w:rPr>
          <w:rStyle w:val="Textoennegrita"/>
          <w:rFonts w:ascii="Arial" w:hAnsi="Arial" w:cs="Arial"/>
          <w:b w:val="0"/>
          <w:sz w:val="24"/>
          <w:szCs w:val="24"/>
        </w:rPr>
        <w:t>En l</w:t>
      </w:r>
      <w:r>
        <w:rPr>
          <w:rStyle w:val="Textoennegrita"/>
          <w:rFonts w:ascii="Arial" w:hAnsi="Arial" w:cs="Arial"/>
          <w:b w:val="0"/>
          <w:sz w:val="24"/>
          <w:szCs w:val="24"/>
        </w:rPr>
        <w:t>a segunda de ellas</w:t>
      </w:r>
      <w:r w:rsidR="00CC1549">
        <w:rPr>
          <w:rStyle w:val="Textoennegrita"/>
          <w:rFonts w:ascii="Arial" w:hAnsi="Arial" w:cs="Arial"/>
          <w:b w:val="0"/>
          <w:sz w:val="24"/>
          <w:szCs w:val="24"/>
        </w:rPr>
        <w:t xml:space="preserve"> se presentan los nuevos límites de crecimiento al impuesto predial unificado que se fijan a partir de la entrada en vigor de </w:t>
      </w:r>
      <w:r w:rsidR="00CC1549" w:rsidRPr="009A3FCD">
        <w:rPr>
          <w:rStyle w:val="Textoennegrita"/>
          <w:rFonts w:ascii="Arial" w:hAnsi="Arial" w:cs="Arial"/>
          <w:b w:val="0"/>
          <w:sz w:val="24"/>
          <w:szCs w:val="24"/>
        </w:rPr>
        <w:t>la Ley 1995 de 2019,</w:t>
      </w:r>
      <w:r w:rsidR="00CC1549">
        <w:rPr>
          <w:rStyle w:val="Textoennegrita"/>
          <w:rFonts w:ascii="Arial" w:hAnsi="Arial" w:cs="Arial"/>
          <w:b w:val="0"/>
          <w:sz w:val="24"/>
          <w:szCs w:val="24"/>
        </w:rPr>
        <w:t xml:space="preserve"> y se presentan dos límites de crecimiento del impuesto adicionales propuestos por la Administración Distrital. La tercera sección</w:t>
      </w:r>
      <w:r>
        <w:rPr>
          <w:rStyle w:val="Textoennegrita"/>
          <w:rFonts w:ascii="Arial" w:hAnsi="Arial" w:cs="Arial"/>
          <w:b w:val="0"/>
          <w:sz w:val="24"/>
          <w:szCs w:val="24"/>
        </w:rPr>
        <w:t xml:space="preserve"> detalla la importancia de adoptar el Régimen Simple de Tributación (SIMPLE) en el Distrito Capital, y la metodología que se utilizó para el cálculo de las tarifas del impuesto de industria y comercio y complementario de avisos y tableros ICA consolidado</w:t>
      </w:r>
      <w:r w:rsidR="008142DF">
        <w:rPr>
          <w:rStyle w:val="Textoennegrita"/>
          <w:rFonts w:ascii="Arial" w:hAnsi="Arial" w:cs="Arial"/>
          <w:b w:val="0"/>
          <w:sz w:val="24"/>
          <w:szCs w:val="24"/>
        </w:rPr>
        <w:t>,</w:t>
      </w:r>
      <w:r>
        <w:rPr>
          <w:rStyle w:val="Textoennegrita"/>
          <w:rFonts w:ascii="Arial" w:hAnsi="Arial" w:cs="Arial"/>
          <w:b w:val="0"/>
          <w:sz w:val="24"/>
          <w:szCs w:val="24"/>
        </w:rPr>
        <w:t xml:space="preserve"> que señala el Estatuto Tributario Nacional deben ser fijadas por los municipios y/o distritos. La </w:t>
      </w:r>
      <w:r w:rsidR="00CC1549">
        <w:rPr>
          <w:rStyle w:val="Textoennegrita"/>
          <w:rFonts w:ascii="Arial" w:hAnsi="Arial" w:cs="Arial"/>
          <w:b w:val="0"/>
          <w:sz w:val="24"/>
          <w:szCs w:val="24"/>
        </w:rPr>
        <w:t>cuarta sección se ocupa de presentar la extensión y la ampliación de beneficios tributarios a los impuestos predial unificado y delineación urbana</w:t>
      </w:r>
      <w:r>
        <w:rPr>
          <w:rStyle w:val="Textoennegrita"/>
          <w:rFonts w:ascii="Arial" w:hAnsi="Arial" w:cs="Arial"/>
          <w:b w:val="0"/>
          <w:sz w:val="24"/>
          <w:szCs w:val="24"/>
        </w:rPr>
        <w:t>. En la quinta sección</w:t>
      </w:r>
      <w:r w:rsidR="00CC1549">
        <w:rPr>
          <w:rStyle w:val="Textoennegrita"/>
          <w:rFonts w:ascii="Arial" w:hAnsi="Arial" w:cs="Arial"/>
          <w:b w:val="0"/>
          <w:sz w:val="24"/>
          <w:szCs w:val="24"/>
        </w:rPr>
        <w:t xml:space="preserve"> se abordan las modificaciones propuestas al procedimiento tributario, y en la sexta y última sección se presenta el </w:t>
      </w:r>
      <w:r>
        <w:rPr>
          <w:rStyle w:val="Textoennegrita"/>
          <w:rFonts w:ascii="Arial" w:hAnsi="Arial" w:cs="Arial"/>
          <w:b w:val="0"/>
          <w:sz w:val="24"/>
          <w:szCs w:val="24"/>
        </w:rPr>
        <w:t>impacto fiscal del proyecto de acuerdo</w:t>
      </w:r>
      <w:r w:rsidR="00CC1549">
        <w:rPr>
          <w:rStyle w:val="Textoennegrita"/>
          <w:rFonts w:ascii="Arial" w:hAnsi="Arial" w:cs="Arial"/>
          <w:b w:val="0"/>
          <w:sz w:val="24"/>
          <w:szCs w:val="24"/>
        </w:rPr>
        <w:t>.</w:t>
      </w:r>
    </w:p>
    <w:p w14:paraId="004C3F49" w14:textId="2A29A57C" w:rsidR="00F824B7" w:rsidRDefault="00F824B7" w:rsidP="009A3FCD">
      <w:pPr>
        <w:jc w:val="both"/>
        <w:rPr>
          <w:rStyle w:val="Textoennegrita"/>
          <w:rFonts w:ascii="Arial" w:hAnsi="Arial" w:cs="Arial"/>
          <w:b w:val="0"/>
          <w:sz w:val="24"/>
          <w:szCs w:val="24"/>
        </w:rPr>
      </w:pPr>
    </w:p>
    <w:p w14:paraId="1ABE4271" w14:textId="77777777" w:rsidR="00324AD9" w:rsidRDefault="00324AD9" w:rsidP="009A3FCD">
      <w:pPr>
        <w:jc w:val="both"/>
        <w:rPr>
          <w:rStyle w:val="Textoennegrita"/>
          <w:rFonts w:ascii="Arial" w:hAnsi="Arial" w:cs="Arial"/>
          <w:b w:val="0"/>
          <w:sz w:val="24"/>
          <w:szCs w:val="24"/>
        </w:rPr>
      </w:pPr>
    </w:p>
    <w:p w14:paraId="73163D2B" w14:textId="77777777" w:rsidR="00C2462F" w:rsidRPr="00285BA5" w:rsidRDefault="00C2462F" w:rsidP="00C2462F">
      <w:pPr>
        <w:jc w:val="both"/>
        <w:rPr>
          <w:rFonts w:ascii="Arial" w:hAnsi="Arial" w:cs="Arial"/>
          <w:sz w:val="24"/>
          <w:szCs w:val="24"/>
        </w:rPr>
      </w:pPr>
    </w:p>
    <w:p w14:paraId="3A7F2E6D" w14:textId="33110F4E" w:rsidR="008E1D1A" w:rsidRPr="008E1D1A" w:rsidRDefault="008E1D1A" w:rsidP="008E1D1A">
      <w:pPr>
        <w:pStyle w:val="Prrafodelista"/>
        <w:numPr>
          <w:ilvl w:val="0"/>
          <w:numId w:val="18"/>
        </w:numPr>
        <w:jc w:val="both"/>
        <w:rPr>
          <w:rFonts w:ascii="Arial" w:hAnsi="Arial" w:cs="Arial"/>
          <w:b/>
          <w:sz w:val="24"/>
          <w:szCs w:val="24"/>
        </w:rPr>
      </w:pPr>
      <w:r w:rsidRPr="008E1D1A">
        <w:rPr>
          <w:rFonts w:ascii="Arial" w:hAnsi="Arial" w:cs="Arial"/>
          <w:b/>
          <w:sz w:val="24"/>
          <w:szCs w:val="24"/>
        </w:rPr>
        <w:t>Nuevos topes de crecimiento al impuesto predial unificado.</w:t>
      </w:r>
    </w:p>
    <w:p w14:paraId="3C24EDFB" w14:textId="77777777" w:rsidR="008E1D1A" w:rsidRDefault="008E1D1A" w:rsidP="008E1D1A">
      <w:pPr>
        <w:jc w:val="both"/>
        <w:rPr>
          <w:rFonts w:ascii="Arial" w:hAnsi="Arial" w:cs="Arial"/>
          <w:b/>
          <w:sz w:val="24"/>
          <w:szCs w:val="24"/>
        </w:rPr>
      </w:pPr>
    </w:p>
    <w:p w14:paraId="2925C5C5" w14:textId="77777777" w:rsidR="001800D8" w:rsidRPr="001800D8" w:rsidRDefault="001800D8" w:rsidP="001800D8">
      <w:pPr>
        <w:jc w:val="both"/>
        <w:rPr>
          <w:rFonts w:ascii="Arial" w:hAnsi="Arial"/>
          <w:sz w:val="24"/>
          <w:szCs w:val="24"/>
        </w:rPr>
      </w:pPr>
      <w:r w:rsidRPr="001800D8">
        <w:rPr>
          <w:rFonts w:ascii="Arial" w:hAnsi="Arial"/>
          <w:sz w:val="24"/>
          <w:szCs w:val="24"/>
        </w:rPr>
        <w:t xml:space="preserve">En relación con el impuesto predial unificado, el Congreso de la República expidió recientemente la Ley 1995 de 2019, en la que se establecen, entre otros, nuevos </w:t>
      </w:r>
      <w:r w:rsidRPr="001800D8">
        <w:rPr>
          <w:rFonts w:ascii="Arial" w:hAnsi="Arial"/>
          <w:sz w:val="24"/>
          <w:szCs w:val="24"/>
        </w:rPr>
        <w:lastRenderedPageBreak/>
        <w:t>límites de crecimiento del impuesto ajustado de un año a otro. Lo anterior, buscando garantizar un alivio en la tributación de los obligados del citado impuesto.</w:t>
      </w:r>
    </w:p>
    <w:p w14:paraId="2920F19B" w14:textId="77777777" w:rsidR="001800D8" w:rsidRPr="001800D8" w:rsidRDefault="001800D8" w:rsidP="001800D8">
      <w:pPr>
        <w:jc w:val="both"/>
        <w:rPr>
          <w:rFonts w:ascii="Arial" w:hAnsi="Arial"/>
          <w:sz w:val="24"/>
          <w:szCs w:val="24"/>
        </w:rPr>
      </w:pPr>
    </w:p>
    <w:p w14:paraId="6FE19562" w14:textId="77777777" w:rsidR="001800D8" w:rsidRPr="001800D8" w:rsidRDefault="001800D8" w:rsidP="001800D8">
      <w:pPr>
        <w:jc w:val="both"/>
        <w:rPr>
          <w:rFonts w:ascii="Arial" w:hAnsi="Arial"/>
          <w:sz w:val="24"/>
          <w:szCs w:val="24"/>
        </w:rPr>
      </w:pPr>
      <w:r w:rsidRPr="001800D8">
        <w:rPr>
          <w:rFonts w:ascii="Arial" w:hAnsi="Arial"/>
          <w:sz w:val="24"/>
          <w:szCs w:val="24"/>
        </w:rPr>
        <w:t>La citada ley establece que los predios actualizados, que en el caso de Bogotá corresponden al 99% aproximadamente, tendrán límite de crecimiento del impuesto de un año a otro del 100% de la variación del IPC más 8 puntos porcentuales. Los predios conservados tendrán como límite de crecimiento del impuesto el 50% del impuesto ajustado liquidado en la vigencia inmediatamente anterior, y se mantiene un límite de crecimiento del impuesto de carácter preferencial para los predios residenciales de estratos 1 y 2 con avalúo catastral menor o igual a 135 SMMLV equivalente al 100% de la variación del IPC.</w:t>
      </w:r>
    </w:p>
    <w:p w14:paraId="3C2CB4C8" w14:textId="77777777" w:rsidR="001800D8" w:rsidRPr="001800D8" w:rsidRDefault="001800D8" w:rsidP="001800D8">
      <w:pPr>
        <w:jc w:val="both"/>
        <w:rPr>
          <w:rFonts w:ascii="Arial" w:hAnsi="Arial"/>
          <w:sz w:val="24"/>
          <w:szCs w:val="24"/>
        </w:rPr>
      </w:pPr>
    </w:p>
    <w:p w14:paraId="1A2030F4" w14:textId="4228DD7F" w:rsidR="001800D8" w:rsidRPr="001800D8" w:rsidRDefault="001800D8" w:rsidP="001800D8">
      <w:pPr>
        <w:jc w:val="both"/>
        <w:rPr>
          <w:rFonts w:ascii="Arial" w:hAnsi="Arial"/>
          <w:sz w:val="24"/>
          <w:szCs w:val="24"/>
        </w:rPr>
      </w:pPr>
      <w:r w:rsidRPr="001800D8">
        <w:rPr>
          <w:rFonts w:ascii="Arial" w:hAnsi="Arial"/>
          <w:sz w:val="24"/>
          <w:szCs w:val="24"/>
        </w:rPr>
        <w:t xml:space="preserve">Seguidamente, por iniciativa de la administración distrital, se proponen </w:t>
      </w:r>
      <w:r w:rsidR="000E1056">
        <w:rPr>
          <w:rFonts w:ascii="Arial" w:hAnsi="Arial"/>
          <w:sz w:val="24"/>
          <w:szCs w:val="24"/>
        </w:rPr>
        <w:t>3</w:t>
      </w:r>
      <w:r w:rsidRPr="001800D8">
        <w:rPr>
          <w:rFonts w:ascii="Arial" w:hAnsi="Arial"/>
          <w:sz w:val="24"/>
          <w:szCs w:val="24"/>
        </w:rPr>
        <w:t xml:space="preserve"> límites de crecimiento del impuesto ajustado permanentes en los siguientes casos. El primer caso establece que los predios residenciales de estratos 1, 2 y 3 que en la vigencia anterior o en las vigencias anteriores hayan sufrido mutaciones físicas por cambios en el área construida, tendrán límite de crecimiento del impuesto ajustado del 25% del impuesto ajustado de la vigencia anterior. El segundo caso establece que los predios residenciales de estratos 4, 5 y 6 que en la vigencia anterior hayan sufrido mutaciones físicas por cambios en el área construida, tendrán límite de crecimiento del impuesto ajustado del 100% del impuesto ajustado de la vigencia anterior. El tercer y último caso establece que los predios que hayan sufrido disminución del avalúo catastral de un año a otro tendrán límite de crecimiento del impuesto ajustado equivalente al 100% de la variación del IPC.</w:t>
      </w:r>
    </w:p>
    <w:p w14:paraId="6002C161" w14:textId="77777777" w:rsidR="001800D8" w:rsidRPr="001800D8" w:rsidRDefault="001800D8" w:rsidP="001800D8">
      <w:pPr>
        <w:jc w:val="both"/>
        <w:rPr>
          <w:rFonts w:ascii="Arial" w:hAnsi="Arial"/>
          <w:b/>
          <w:sz w:val="24"/>
          <w:szCs w:val="24"/>
        </w:rPr>
      </w:pPr>
    </w:p>
    <w:p w14:paraId="64C17DAD" w14:textId="77777777" w:rsidR="001800D8" w:rsidRPr="001800D8" w:rsidRDefault="001800D8" w:rsidP="001800D8">
      <w:pPr>
        <w:jc w:val="both"/>
        <w:rPr>
          <w:rFonts w:ascii="Arial" w:hAnsi="Arial"/>
          <w:sz w:val="24"/>
          <w:szCs w:val="24"/>
        </w:rPr>
      </w:pPr>
      <w:r w:rsidRPr="001800D8">
        <w:rPr>
          <w:rFonts w:ascii="Arial" w:hAnsi="Arial"/>
          <w:sz w:val="24"/>
          <w:szCs w:val="24"/>
        </w:rPr>
        <w:t xml:space="preserve">Ahora bien, en razón a que la Ley 1995 de 2019 no define el período de la tasa de inflación que se debe tener en cuenta para efectos de fijar el límite de crecimiento del impuesto predial, se propone que la variación del índice de precios al consumidor (IPC) a considerar para calcular el citado límite de crecimiento del impuesto sea </w:t>
      </w:r>
      <w:r w:rsidRPr="001800D8">
        <w:rPr>
          <w:rFonts w:ascii="Arial" w:hAnsi="Arial" w:cs="Arial"/>
          <w:bCs/>
          <w:sz w:val="24"/>
          <w:szCs w:val="24"/>
        </w:rPr>
        <w:t>la causada</w:t>
      </w:r>
      <w:r w:rsidRPr="001800D8">
        <w:rPr>
          <w:rFonts w:ascii="Arial" w:hAnsi="Arial"/>
          <w:sz w:val="24"/>
          <w:szCs w:val="24"/>
        </w:rPr>
        <w:t xml:space="preserve"> de noviembre a noviembre del año anterior fundamentado en dos argumentos basilares: el primero, la certeza jurídica, y el segundo, la condición más beneficiosa para el contribuyente.</w:t>
      </w:r>
    </w:p>
    <w:p w14:paraId="6DFF5513" w14:textId="77777777" w:rsidR="001800D8" w:rsidRPr="001800D8" w:rsidRDefault="001800D8" w:rsidP="001800D8">
      <w:pPr>
        <w:jc w:val="both"/>
        <w:rPr>
          <w:rFonts w:ascii="Arial" w:hAnsi="Arial"/>
          <w:sz w:val="24"/>
          <w:szCs w:val="24"/>
        </w:rPr>
      </w:pPr>
    </w:p>
    <w:p w14:paraId="776FA413" w14:textId="1007ABF7" w:rsidR="001800D8" w:rsidRPr="001800D8" w:rsidRDefault="001800D8" w:rsidP="001800D8">
      <w:pPr>
        <w:jc w:val="both"/>
        <w:rPr>
          <w:rFonts w:ascii="Arial" w:hAnsi="Arial"/>
          <w:sz w:val="24"/>
          <w:szCs w:val="24"/>
        </w:rPr>
      </w:pPr>
      <w:r w:rsidRPr="001800D8">
        <w:rPr>
          <w:rFonts w:ascii="Arial" w:hAnsi="Arial"/>
          <w:sz w:val="24"/>
          <w:szCs w:val="24"/>
        </w:rPr>
        <w:t>El primer argumento, referido a la certeza jurídica, indica que es necesario para el contribuyente y para la administración tributaria, conocer en el momento de causación del tributo el valor que por concepto de tributo se debe pagar. En razón a lo anterior, debe considerarse entonces que el impuesto predial unificado se causa el 1 de enero de la vigencia, y por ello se debe conocer en ese momento del tiempo el valor determinable del tributo en desarrollo del principio de seguridad y certeza jurídica.</w:t>
      </w:r>
    </w:p>
    <w:p w14:paraId="10F65595" w14:textId="77777777" w:rsidR="001800D8" w:rsidRPr="001800D8" w:rsidRDefault="001800D8" w:rsidP="001800D8">
      <w:pPr>
        <w:jc w:val="both"/>
        <w:rPr>
          <w:rFonts w:ascii="Arial" w:hAnsi="Arial"/>
          <w:sz w:val="24"/>
          <w:szCs w:val="24"/>
        </w:rPr>
      </w:pPr>
    </w:p>
    <w:p w14:paraId="553DDF2A" w14:textId="77777777" w:rsidR="001800D8" w:rsidRPr="001800D8" w:rsidRDefault="001800D8" w:rsidP="001800D8">
      <w:pPr>
        <w:jc w:val="both"/>
        <w:rPr>
          <w:rFonts w:ascii="Arial" w:hAnsi="Arial"/>
          <w:sz w:val="24"/>
          <w:szCs w:val="24"/>
        </w:rPr>
      </w:pPr>
      <w:r w:rsidRPr="001800D8">
        <w:rPr>
          <w:rFonts w:ascii="Arial" w:hAnsi="Arial"/>
          <w:sz w:val="24"/>
          <w:szCs w:val="24"/>
        </w:rPr>
        <w:lastRenderedPageBreak/>
        <w:t>Sin embargo, debido a que la variación anual del índice de precios al consumidor correspondiente al año anterior no se conoce sino hasta pasados varios días de enero, esto es, después del período de causación del tributo, el contribuyente no podría tener certeza del valor que le corresponde pagar en la vigencia actual, y la administración tributaria no podría tener liquidadas las facturas igualmente en la fecha de causación del impuesto.</w:t>
      </w:r>
    </w:p>
    <w:p w14:paraId="41A72447" w14:textId="77777777" w:rsidR="001800D8" w:rsidRPr="001800D8" w:rsidRDefault="001800D8" w:rsidP="001800D8">
      <w:pPr>
        <w:jc w:val="both"/>
        <w:rPr>
          <w:rFonts w:ascii="Arial" w:hAnsi="Arial"/>
          <w:sz w:val="24"/>
          <w:szCs w:val="24"/>
        </w:rPr>
      </w:pPr>
    </w:p>
    <w:p w14:paraId="3A4D6514" w14:textId="08247BFC" w:rsidR="001800D8" w:rsidRDefault="001800D8" w:rsidP="001800D8">
      <w:pPr>
        <w:jc w:val="both"/>
        <w:rPr>
          <w:rFonts w:ascii="Arial" w:hAnsi="Arial"/>
          <w:sz w:val="24"/>
          <w:szCs w:val="24"/>
        </w:rPr>
      </w:pPr>
      <w:r w:rsidRPr="001800D8">
        <w:rPr>
          <w:rFonts w:ascii="Arial" w:hAnsi="Arial"/>
          <w:sz w:val="24"/>
          <w:szCs w:val="24"/>
        </w:rPr>
        <w:t xml:space="preserve">En lo que respecta al impacto fiscal de los límites de crecimiento del impuesto predial </w:t>
      </w:r>
      <w:r w:rsidRPr="001800D8">
        <w:rPr>
          <w:rFonts w:ascii="Arial" w:hAnsi="Arial" w:cs="Arial"/>
          <w:sz w:val="24"/>
          <w:szCs w:val="24"/>
        </w:rPr>
        <w:t xml:space="preserve">unificado </w:t>
      </w:r>
      <w:r w:rsidRPr="001800D8">
        <w:rPr>
          <w:rFonts w:ascii="Arial" w:hAnsi="Arial"/>
          <w:sz w:val="24"/>
          <w:szCs w:val="24"/>
        </w:rPr>
        <w:t>establecidos en la Ley 1995 de 2019, la Dirección de Impuestos de Bogotá ha evidenciado los siguientes impactos en la recaudación futura:</w:t>
      </w:r>
    </w:p>
    <w:p w14:paraId="7AB52951" w14:textId="77777777" w:rsidR="00F824B7" w:rsidRPr="008C69B2" w:rsidRDefault="00F824B7" w:rsidP="001800D8">
      <w:pPr>
        <w:jc w:val="both"/>
        <w:rPr>
          <w:rFonts w:ascii="Arial" w:hAnsi="Arial"/>
        </w:rPr>
      </w:pPr>
    </w:p>
    <w:p w14:paraId="462B91BF" w14:textId="77777777" w:rsidR="001800D8" w:rsidRPr="008C69B2" w:rsidRDefault="001800D8" w:rsidP="001800D8">
      <w:pPr>
        <w:jc w:val="both"/>
        <w:rPr>
          <w:rFonts w:ascii="Arial" w:hAnsi="Arial"/>
        </w:rPr>
      </w:pPr>
    </w:p>
    <w:p w14:paraId="1083324B" w14:textId="66AE5B65" w:rsidR="001800D8" w:rsidRPr="001800D8" w:rsidRDefault="001800D8" w:rsidP="001800D8">
      <w:pPr>
        <w:jc w:val="center"/>
        <w:rPr>
          <w:rFonts w:ascii="Arial" w:hAnsi="Arial"/>
          <w:sz w:val="24"/>
          <w:szCs w:val="24"/>
        </w:rPr>
      </w:pPr>
      <w:r w:rsidRPr="001800D8">
        <w:rPr>
          <w:rFonts w:ascii="Arial" w:hAnsi="Arial"/>
          <w:b/>
          <w:sz w:val="24"/>
          <w:szCs w:val="24"/>
        </w:rPr>
        <w:t xml:space="preserve">Cuadro </w:t>
      </w:r>
      <w:r w:rsidR="000D6B2C">
        <w:rPr>
          <w:rFonts w:ascii="Arial" w:hAnsi="Arial"/>
          <w:b/>
          <w:sz w:val="24"/>
          <w:szCs w:val="24"/>
        </w:rPr>
        <w:t>1</w:t>
      </w:r>
      <w:r w:rsidRPr="001800D8">
        <w:rPr>
          <w:rFonts w:ascii="Arial" w:hAnsi="Arial"/>
          <w:b/>
          <w:sz w:val="24"/>
          <w:szCs w:val="24"/>
        </w:rPr>
        <w:t>.</w:t>
      </w:r>
      <w:r w:rsidRPr="001800D8">
        <w:rPr>
          <w:rFonts w:ascii="Arial" w:hAnsi="Arial"/>
          <w:sz w:val="24"/>
          <w:szCs w:val="24"/>
        </w:rPr>
        <w:t xml:space="preserve"> Impacto en el impuesto predial unificado 2019 con adopción de </w:t>
      </w:r>
      <w:r w:rsidRPr="001800D8">
        <w:rPr>
          <w:rFonts w:ascii="Arial" w:hAnsi="Arial" w:cs="Arial"/>
          <w:bCs/>
          <w:sz w:val="24"/>
          <w:szCs w:val="24"/>
        </w:rPr>
        <w:t>los límites- los límites</w:t>
      </w:r>
      <w:r w:rsidRPr="001800D8">
        <w:rPr>
          <w:rFonts w:ascii="Arial" w:hAnsi="Arial"/>
          <w:sz w:val="24"/>
          <w:szCs w:val="24"/>
        </w:rPr>
        <w:t xml:space="preserve"> de la Ley 1995 de 2019</w:t>
      </w:r>
    </w:p>
    <w:tbl>
      <w:tblPr>
        <w:tblStyle w:val="Tabladecuadrcula6concolores-nfasis1"/>
        <w:tblW w:w="0" w:type="auto"/>
        <w:tblLook w:val="04A0" w:firstRow="1" w:lastRow="0" w:firstColumn="1" w:lastColumn="0" w:noHBand="0" w:noVBand="1"/>
      </w:tblPr>
      <w:tblGrid>
        <w:gridCol w:w="2477"/>
        <w:gridCol w:w="837"/>
        <w:gridCol w:w="1017"/>
        <w:gridCol w:w="1328"/>
        <w:gridCol w:w="1306"/>
        <w:gridCol w:w="944"/>
        <w:gridCol w:w="921"/>
      </w:tblGrid>
      <w:tr w:rsidR="001800D8" w:rsidRPr="00DF5FFA" w14:paraId="1B5D445B" w14:textId="77777777" w:rsidTr="001800D8">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2D1BEC" w14:textId="77777777" w:rsidR="001800D8" w:rsidRPr="00C22CBB" w:rsidRDefault="001800D8" w:rsidP="001800D8">
            <w:pPr>
              <w:jc w:val="center"/>
              <w:rPr>
                <w:rFonts w:ascii="Arial" w:hAnsi="Arial" w:cs="Arial"/>
                <w:color w:val="000000"/>
                <w:sz w:val="18"/>
                <w:szCs w:val="22"/>
              </w:rPr>
            </w:pPr>
            <w:r w:rsidRPr="00C22CBB">
              <w:rPr>
                <w:rFonts w:ascii="Arial" w:hAnsi="Arial" w:cs="Arial"/>
                <w:color w:val="000000"/>
                <w:sz w:val="18"/>
                <w:szCs w:val="22"/>
              </w:rPr>
              <w:t>Destino</w:t>
            </w:r>
          </w:p>
        </w:tc>
        <w:tc>
          <w:tcPr>
            <w:tcW w:w="0" w:type="auto"/>
            <w:noWrap/>
            <w:hideMark/>
          </w:tcPr>
          <w:p w14:paraId="2194FAD0" w14:textId="77777777" w:rsidR="001800D8" w:rsidRPr="00C22CBB"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Estrato</w:t>
            </w:r>
          </w:p>
        </w:tc>
        <w:tc>
          <w:tcPr>
            <w:tcW w:w="0" w:type="auto"/>
            <w:noWrap/>
            <w:hideMark/>
          </w:tcPr>
          <w:p w14:paraId="6B66BB60" w14:textId="77777777" w:rsidR="001800D8" w:rsidRPr="00C22CBB"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Predios</w:t>
            </w:r>
          </w:p>
        </w:tc>
        <w:tc>
          <w:tcPr>
            <w:tcW w:w="0" w:type="auto"/>
            <w:hideMark/>
          </w:tcPr>
          <w:p w14:paraId="5F2F4C75" w14:textId="77777777" w:rsidR="001800D8" w:rsidRPr="00C22CBB"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Impuesto Límites Acuerdo 648 de 2016</w:t>
            </w:r>
          </w:p>
        </w:tc>
        <w:tc>
          <w:tcPr>
            <w:tcW w:w="0" w:type="auto"/>
            <w:hideMark/>
          </w:tcPr>
          <w:p w14:paraId="349504A3" w14:textId="77777777" w:rsidR="001800D8" w:rsidRPr="00C22CBB"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Impuesto Límites Ley 1995 de 2019</w:t>
            </w:r>
          </w:p>
        </w:tc>
        <w:tc>
          <w:tcPr>
            <w:tcW w:w="0" w:type="auto"/>
            <w:hideMark/>
          </w:tcPr>
          <w:p w14:paraId="53DFBCC7" w14:textId="77777777" w:rsidR="001800D8" w:rsidRPr="00C22CBB"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Impacto en $</w:t>
            </w:r>
          </w:p>
        </w:tc>
        <w:tc>
          <w:tcPr>
            <w:tcW w:w="0" w:type="auto"/>
            <w:hideMark/>
          </w:tcPr>
          <w:p w14:paraId="4959F6C8" w14:textId="77777777" w:rsidR="001800D8" w:rsidRPr="00C22CBB"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Impacto %</w:t>
            </w:r>
          </w:p>
        </w:tc>
      </w:tr>
      <w:tr w:rsidR="001800D8" w:rsidRPr="00DF5FFA" w14:paraId="40832417"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4140789"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Residencial Rural</w:t>
            </w:r>
          </w:p>
        </w:tc>
        <w:tc>
          <w:tcPr>
            <w:tcW w:w="0" w:type="auto"/>
            <w:noWrap/>
            <w:hideMark/>
          </w:tcPr>
          <w:p w14:paraId="6F72009D" w14:textId="77777777" w:rsidR="001800D8" w:rsidRPr="00C22CBB" w:rsidRDefault="001800D8" w:rsidP="001800D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w:t>
            </w:r>
          </w:p>
        </w:tc>
        <w:tc>
          <w:tcPr>
            <w:tcW w:w="0" w:type="auto"/>
            <w:noWrap/>
            <w:hideMark/>
          </w:tcPr>
          <w:p w14:paraId="038E6BD1"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871</w:t>
            </w:r>
          </w:p>
        </w:tc>
        <w:tc>
          <w:tcPr>
            <w:tcW w:w="0" w:type="auto"/>
            <w:noWrap/>
            <w:hideMark/>
          </w:tcPr>
          <w:p w14:paraId="09CAF03E"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$ 1.209</w:t>
            </w:r>
          </w:p>
        </w:tc>
        <w:tc>
          <w:tcPr>
            <w:tcW w:w="0" w:type="auto"/>
            <w:noWrap/>
            <w:hideMark/>
          </w:tcPr>
          <w:p w14:paraId="496F40A8"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$ 1.286</w:t>
            </w:r>
          </w:p>
        </w:tc>
        <w:tc>
          <w:tcPr>
            <w:tcW w:w="0" w:type="auto"/>
            <w:noWrap/>
            <w:hideMark/>
          </w:tcPr>
          <w:p w14:paraId="4C104778"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-$ 77</w:t>
            </w:r>
          </w:p>
        </w:tc>
        <w:tc>
          <w:tcPr>
            <w:tcW w:w="0" w:type="auto"/>
            <w:noWrap/>
            <w:hideMark/>
          </w:tcPr>
          <w:p w14:paraId="2792A9A7"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-6,37%</w:t>
            </w:r>
          </w:p>
        </w:tc>
      </w:tr>
      <w:tr w:rsidR="001800D8" w:rsidRPr="00DF5FFA" w14:paraId="2C7B17A2"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020C5795"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Residencial</w:t>
            </w:r>
          </w:p>
        </w:tc>
        <w:tc>
          <w:tcPr>
            <w:tcW w:w="0" w:type="auto"/>
            <w:noWrap/>
            <w:hideMark/>
          </w:tcPr>
          <w:p w14:paraId="2E889EB6"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w:t>
            </w:r>
          </w:p>
        </w:tc>
        <w:tc>
          <w:tcPr>
            <w:tcW w:w="0" w:type="auto"/>
            <w:noWrap/>
            <w:hideMark/>
          </w:tcPr>
          <w:p w14:paraId="4A3D6CB5"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111.827</w:t>
            </w:r>
          </w:p>
        </w:tc>
        <w:tc>
          <w:tcPr>
            <w:tcW w:w="0" w:type="auto"/>
            <w:noWrap/>
            <w:hideMark/>
          </w:tcPr>
          <w:p w14:paraId="31803C43"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$ 10.036</w:t>
            </w:r>
          </w:p>
        </w:tc>
        <w:tc>
          <w:tcPr>
            <w:tcW w:w="0" w:type="auto"/>
            <w:noWrap/>
            <w:hideMark/>
          </w:tcPr>
          <w:p w14:paraId="1F94AE62"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$ 9.247</w:t>
            </w:r>
          </w:p>
        </w:tc>
        <w:tc>
          <w:tcPr>
            <w:tcW w:w="0" w:type="auto"/>
            <w:noWrap/>
            <w:hideMark/>
          </w:tcPr>
          <w:p w14:paraId="25F2A97D"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$ 789</w:t>
            </w:r>
          </w:p>
        </w:tc>
        <w:tc>
          <w:tcPr>
            <w:tcW w:w="0" w:type="auto"/>
            <w:noWrap/>
            <w:hideMark/>
          </w:tcPr>
          <w:p w14:paraId="695CE99D"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7,86%</w:t>
            </w:r>
          </w:p>
        </w:tc>
      </w:tr>
      <w:tr w:rsidR="001800D8" w:rsidRPr="00DF5FFA" w14:paraId="73E00BC0"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09467566" w14:textId="77777777" w:rsidR="001800D8" w:rsidRPr="00C22CBB" w:rsidRDefault="001800D8" w:rsidP="001800D8">
            <w:pPr>
              <w:rPr>
                <w:rFonts w:ascii="Arial" w:hAnsi="Arial" w:cs="Arial"/>
                <w:color w:val="000000"/>
                <w:sz w:val="18"/>
                <w:szCs w:val="22"/>
              </w:rPr>
            </w:pPr>
          </w:p>
        </w:tc>
        <w:tc>
          <w:tcPr>
            <w:tcW w:w="0" w:type="auto"/>
            <w:noWrap/>
            <w:hideMark/>
          </w:tcPr>
          <w:p w14:paraId="6F1291D5"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2</w:t>
            </w:r>
          </w:p>
        </w:tc>
        <w:tc>
          <w:tcPr>
            <w:tcW w:w="0" w:type="auto"/>
            <w:noWrap/>
            <w:hideMark/>
          </w:tcPr>
          <w:p w14:paraId="36719908"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528.195</w:t>
            </w:r>
          </w:p>
        </w:tc>
        <w:tc>
          <w:tcPr>
            <w:tcW w:w="0" w:type="auto"/>
            <w:noWrap/>
            <w:hideMark/>
          </w:tcPr>
          <w:p w14:paraId="3F089D1A"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$ 100.344</w:t>
            </w:r>
          </w:p>
        </w:tc>
        <w:tc>
          <w:tcPr>
            <w:tcW w:w="0" w:type="auto"/>
            <w:noWrap/>
            <w:hideMark/>
          </w:tcPr>
          <w:p w14:paraId="487FB614"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$ 93.620</w:t>
            </w:r>
          </w:p>
        </w:tc>
        <w:tc>
          <w:tcPr>
            <w:tcW w:w="0" w:type="auto"/>
            <w:noWrap/>
            <w:hideMark/>
          </w:tcPr>
          <w:p w14:paraId="6678E99E"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$ 6.724</w:t>
            </w:r>
          </w:p>
        </w:tc>
        <w:tc>
          <w:tcPr>
            <w:tcW w:w="0" w:type="auto"/>
            <w:noWrap/>
            <w:hideMark/>
          </w:tcPr>
          <w:p w14:paraId="47A72FC2"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6,70%</w:t>
            </w:r>
          </w:p>
        </w:tc>
      </w:tr>
      <w:tr w:rsidR="001800D8" w:rsidRPr="00DF5FFA" w14:paraId="7ABB941E"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752FC2A0" w14:textId="77777777" w:rsidR="001800D8" w:rsidRPr="00C22CBB" w:rsidRDefault="001800D8" w:rsidP="001800D8">
            <w:pPr>
              <w:rPr>
                <w:rFonts w:ascii="Arial" w:hAnsi="Arial" w:cs="Arial"/>
                <w:color w:val="000000"/>
                <w:sz w:val="18"/>
                <w:szCs w:val="22"/>
              </w:rPr>
            </w:pPr>
          </w:p>
        </w:tc>
        <w:tc>
          <w:tcPr>
            <w:tcW w:w="0" w:type="auto"/>
            <w:noWrap/>
            <w:hideMark/>
          </w:tcPr>
          <w:p w14:paraId="444A7A52"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3</w:t>
            </w:r>
          </w:p>
        </w:tc>
        <w:tc>
          <w:tcPr>
            <w:tcW w:w="0" w:type="auto"/>
            <w:noWrap/>
            <w:hideMark/>
          </w:tcPr>
          <w:p w14:paraId="784381EA"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565.376</w:t>
            </w:r>
          </w:p>
        </w:tc>
        <w:tc>
          <w:tcPr>
            <w:tcW w:w="0" w:type="auto"/>
            <w:noWrap/>
            <w:hideMark/>
          </w:tcPr>
          <w:p w14:paraId="50DBDDF3"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$ 423.795</w:t>
            </w:r>
          </w:p>
        </w:tc>
        <w:tc>
          <w:tcPr>
            <w:tcW w:w="0" w:type="auto"/>
            <w:noWrap/>
            <w:hideMark/>
          </w:tcPr>
          <w:p w14:paraId="1DDE9B81"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$ 402.769</w:t>
            </w:r>
          </w:p>
        </w:tc>
        <w:tc>
          <w:tcPr>
            <w:tcW w:w="0" w:type="auto"/>
            <w:noWrap/>
            <w:hideMark/>
          </w:tcPr>
          <w:p w14:paraId="000070BE"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$ 21.026</w:t>
            </w:r>
          </w:p>
        </w:tc>
        <w:tc>
          <w:tcPr>
            <w:tcW w:w="0" w:type="auto"/>
            <w:noWrap/>
            <w:hideMark/>
          </w:tcPr>
          <w:p w14:paraId="2BF1EA70"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4,96%</w:t>
            </w:r>
          </w:p>
        </w:tc>
      </w:tr>
      <w:tr w:rsidR="001800D8" w:rsidRPr="00DF5FFA" w14:paraId="13AE99C3"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092E2AD4" w14:textId="77777777" w:rsidR="001800D8" w:rsidRPr="00C22CBB" w:rsidRDefault="001800D8" w:rsidP="001800D8">
            <w:pPr>
              <w:rPr>
                <w:rFonts w:ascii="Arial" w:hAnsi="Arial" w:cs="Arial"/>
                <w:color w:val="000000"/>
                <w:sz w:val="18"/>
                <w:szCs w:val="22"/>
              </w:rPr>
            </w:pPr>
          </w:p>
        </w:tc>
        <w:tc>
          <w:tcPr>
            <w:tcW w:w="0" w:type="auto"/>
            <w:noWrap/>
            <w:hideMark/>
          </w:tcPr>
          <w:p w14:paraId="4B2DB818"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4</w:t>
            </w:r>
          </w:p>
        </w:tc>
        <w:tc>
          <w:tcPr>
            <w:tcW w:w="0" w:type="auto"/>
            <w:noWrap/>
            <w:hideMark/>
          </w:tcPr>
          <w:p w14:paraId="33FC4996"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286.263</w:t>
            </w:r>
          </w:p>
        </w:tc>
        <w:tc>
          <w:tcPr>
            <w:tcW w:w="0" w:type="auto"/>
            <w:noWrap/>
            <w:hideMark/>
          </w:tcPr>
          <w:p w14:paraId="709FC34D"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$ 467.910</w:t>
            </w:r>
          </w:p>
        </w:tc>
        <w:tc>
          <w:tcPr>
            <w:tcW w:w="0" w:type="auto"/>
            <w:noWrap/>
            <w:hideMark/>
          </w:tcPr>
          <w:p w14:paraId="3C144993"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$ 460.124</w:t>
            </w:r>
          </w:p>
        </w:tc>
        <w:tc>
          <w:tcPr>
            <w:tcW w:w="0" w:type="auto"/>
            <w:noWrap/>
            <w:hideMark/>
          </w:tcPr>
          <w:p w14:paraId="715755C1"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$ 7.786</w:t>
            </w:r>
          </w:p>
        </w:tc>
        <w:tc>
          <w:tcPr>
            <w:tcW w:w="0" w:type="auto"/>
            <w:noWrap/>
            <w:hideMark/>
          </w:tcPr>
          <w:p w14:paraId="3E81C6A6"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1,66%</w:t>
            </w:r>
          </w:p>
        </w:tc>
      </w:tr>
      <w:tr w:rsidR="001800D8" w:rsidRPr="00DF5FFA" w14:paraId="56F26282"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2C4D7DF2" w14:textId="77777777" w:rsidR="001800D8" w:rsidRPr="00C22CBB" w:rsidRDefault="001800D8" w:rsidP="001800D8">
            <w:pPr>
              <w:rPr>
                <w:rFonts w:ascii="Arial" w:hAnsi="Arial" w:cs="Arial"/>
                <w:color w:val="000000"/>
                <w:sz w:val="18"/>
                <w:szCs w:val="22"/>
              </w:rPr>
            </w:pPr>
          </w:p>
        </w:tc>
        <w:tc>
          <w:tcPr>
            <w:tcW w:w="0" w:type="auto"/>
            <w:noWrap/>
            <w:hideMark/>
          </w:tcPr>
          <w:p w14:paraId="33E577EB"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5</w:t>
            </w:r>
          </w:p>
        </w:tc>
        <w:tc>
          <w:tcPr>
            <w:tcW w:w="0" w:type="auto"/>
            <w:noWrap/>
            <w:hideMark/>
          </w:tcPr>
          <w:p w14:paraId="05364565"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94.773</w:t>
            </w:r>
          </w:p>
        </w:tc>
        <w:tc>
          <w:tcPr>
            <w:tcW w:w="0" w:type="auto"/>
            <w:noWrap/>
            <w:hideMark/>
          </w:tcPr>
          <w:p w14:paraId="0E10F110"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$ 320.587</w:t>
            </w:r>
          </w:p>
        </w:tc>
        <w:tc>
          <w:tcPr>
            <w:tcW w:w="0" w:type="auto"/>
            <w:noWrap/>
            <w:hideMark/>
          </w:tcPr>
          <w:p w14:paraId="3AFC9D39"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$ 315.491</w:t>
            </w:r>
          </w:p>
        </w:tc>
        <w:tc>
          <w:tcPr>
            <w:tcW w:w="0" w:type="auto"/>
            <w:noWrap/>
            <w:hideMark/>
          </w:tcPr>
          <w:p w14:paraId="08286635"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$ 5.095</w:t>
            </w:r>
          </w:p>
        </w:tc>
        <w:tc>
          <w:tcPr>
            <w:tcW w:w="0" w:type="auto"/>
            <w:noWrap/>
            <w:hideMark/>
          </w:tcPr>
          <w:p w14:paraId="10E5B235"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1,59%</w:t>
            </w:r>
          </w:p>
        </w:tc>
      </w:tr>
      <w:tr w:rsidR="001800D8" w:rsidRPr="00DF5FFA" w14:paraId="32AEEA87"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2BBA0B77" w14:textId="77777777" w:rsidR="001800D8" w:rsidRPr="00C22CBB" w:rsidRDefault="001800D8" w:rsidP="001800D8">
            <w:pPr>
              <w:rPr>
                <w:rFonts w:ascii="Arial" w:hAnsi="Arial" w:cs="Arial"/>
                <w:color w:val="000000"/>
                <w:sz w:val="18"/>
                <w:szCs w:val="22"/>
              </w:rPr>
            </w:pPr>
          </w:p>
        </w:tc>
        <w:tc>
          <w:tcPr>
            <w:tcW w:w="0" w:type="auto"/>
            <w:noWrap/>
            <w:hideMark/>
          </w:tcPr>
          <w:p w14:paraId="1B569FD6"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6</w:t>
            </w:r>
          </w:p>
        </w:tc>
        <w:tc>
          <w:tcPr>
            <w:tcW w:w="0" w:type="auto"/>
            <w:noWrap/>
            <w:hideMark/>
          </w:tcPr>
          <w:p w14:paraId="653E92C8"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74.934</w:t>
            </w:r>
          </w:p>
        </w:tc>
        <w:tc>
          <w:tcPr>
            <w:tcW w:w="0" w:type="auto"/>
            <w:noWrap/>
            <w:hideMark/>
          </w:tcPr>
          <w:p w14:paraId="2C91EBC8"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$ 501.410</w:t>
            </w:r>
          </w:p>
        </w:tc>
        <w:tc>
          <w:tcPr>
            <w:tcW w:w="0" w:type="auto"/>
            <w:noWrap/>
            <w:hideMark/>
          </w:tcPr>
          <w:p w14:paraId="750F2B6C"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$ 492.641</w:t>
            </w:r>
          </w:p>
        </w:tc>
        <w:tc>
          <w:tcPr>
            <w:tcW w:w="0" w:type="auto"/>
            <w:noWrap/>
            <w:hideMark/>
          </w:tcPr>
          <w:p w14:paraId="6201D148"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$ 8.769</w:t>
            </w:r>
          </w:p>
        </w:tc>
        <w:tc>
          <w:tcPr>
            <w:tcW w:w="0" w:type="auto"/>
            <w:noWrap/>
            <w:hideMark/>
          </w:tcPr>
          <w:p w14:paraId="7AC6AB84"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1,75%</w:t>
            </w:r>
          </w:p>
        </w:tc>
      </w:tr>
      <w:tr w:rsidR="001800D8" w:rsidRPr="00DF5FFA" w14:paraId="75B56FB3"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681561"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Comercial</w:t>
            </w:r>
          </w:p>
        </w:tc>
        <w:tc>
          <w:tcPr>
            <w:tcW w:w="0" w:type="auto"/>
            <w:noWrap/>
            <w:hideMark/>
          </w:tcPr>
          <w:p w14:paraId="6309305C" w14:textId="77777777" w:rsidR="001800D8" w:rsidRPr="00C22CBB" w:rsidRDefault="001800D8" w:rsidP="001800D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w:t>
            </w:r>
          </w:p>
        </w:tc>
        <w:tc>
          <w:tcPr>
            <w:tcW w:w="0" w:type="auto"/>
            <w:noWrap/>
            <w:hideMark/>
          </w:tcPr>
          <w:p w14:paraId="729118A7"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267.700</w:t>
            </w:r>
          </w:p>
        </w:tc>
        <w:tc>
          <w:tcPr>
            <w:tcW w:w="0" w:type="auto"/>
            <w:noWrap/>
            <w:hideMark/>
          </w:tcPr>
          <w:p w14:paraId="436BB9B3"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$ 1.373.342</w:t>
            </w:r>
          </w:p>
        </w:tc>
        <w:tc>
          <w:tcPr>
            <w:tcW w:w="0" w:type="auto"/>
            <w:noWrap/>
            <w:hideMark/>
          </w:tcPr>
          <w:p w14:paraId="16BFEBC2"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$ 1.347.829</w:t>
            </w:r>
          </w:p>
        </w:tc>
        <w:tc>
          <w:tcPr>
            <w:tcW w:w="0" w:type="auto"/>
            <w:noWrap/>
            <w:hideMark/>
          </w:tcPr>
          <w:p w14:paraId="5BC4423F"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$ 25.513</w:t>
            </w:r>
          </w:p>
        </w:tc>
        <w:tc>
          <w:tcPr>
            <w:tcW w:w="0" w:type="auto"/>
            <w:noWrap/>
            <w:hideMark/>
          </w:tcPr>
          <w:p w14:paraId="132E63C0"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1,86%</w:t>
            </w:r>
          </w:p>
        </w:tc>
      </w:tr>
      <w:tr w:rsidR="001800D8" w:rsidRPr="00DF5FFA" w14:paraId="24FCBCE8"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8B13A6"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Financiero</w:t>
            </w:r>
          </w:p>
        </w:tc>
        <w:tc>
          <w:tcPr>
            <w:tcW w:w="0" w:type="auto"/>
            <w:noWrap/>
            <w:hideMark/>
          </w:tcPr>
          <w:p w14:paraId="0E7D9742" w14:textId="77777777" w:rsidR="001800D8" w:rsidRPr="00C22CBB" w:rsidRDefault="001800D8" w:rsidP="001800D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w:t>
            </w:r>
          </w:p>
        </w:tc>
        <w:tc>
          <w:tcPr>
            <w:tcW w:w="0" w:type="auto"/>
            <w:noWrap/>
            <w:hideMark/>
          </w:tcPr>
          <w:p w14:paraId="03206B30"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2.678</w:t>
            </w:r>
          </w:p>
        </w:tc>
        <w:tc>
          <w:tcPr>
            <w:tcW w:w="0" w:type="auto"/>
            <w:noWrap/>
            <w:hideMark/>
          </w:tcPr>
          <w:p w14:paraId="0DBCCA5C"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$ 105.879</w:t>
            </w:r>
          </w:p>
        </w:tc>
        <w:tc>
          <w:tcPr>
            <w:tcW w:w="0" w:type="auto"/>
            <w:noWrap/>
            <w:hideMark/>
          </w:tcPr>
          <w:p w14:paraId="1EABEE90"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$ 102.103</w:t>
            </w:r>
          </w:p>
        </w:tc>
        <w:tc>
          <w:tcPr>
            <w:tcW w:w="0" w:type="auto"/>
            <w:noWrap/>
            <w:hideMark/>
          </w:tcPr>
          <w:p w14:paraId="44EBCB33"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$ 3.776</w:t>
            </w:r>
          </w:p>
        </w:tc>
        <w:tc>
          <w:tcPr>
            <w:tcW w:w="0" w:type="auto"/>
            <w:noWrap/>
            <w:hideMark/>
          </w:tcPr>
          <w:p w14:paraId="24DF48E8"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3,57%</w:t>
            </w:r>
          </w:p>
        </w:tc>
      </w:tr>
      <w:tr w:rsidR="001800D8" w:rsidRPr="00DF5FFA" w14:paraId="6BF5D406"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EE7D4D8"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Industrial</w:t>
            </w:r>
          </w:p>
        </w:tc>
        <w:tc>
          <w:tcPr>
            <w:tcW w:w="0" w:type="auto"/>
            <w:noWrap/>
            <w:hideMark/>
          </w:tcPr>
          <w:p w14:paraId="6EDD1DA9" w14:textId="77777777" w:rsidR="001800D8" w:rsidRPr="00C22CBB" w:rsidRDefault="001800D8" w:rsidP="001800D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w:t>
            </w:r>
          </w:p>
        </w:tc>
        <w:tc>
          <w:tcPr>
            <w:tcW w:w="0" w:type="auto"/>
            <w:noWrap/>
            <w:hideMark/>
          </w:tcPr>
          <w:p w14:paraId="33C7C944"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12.837</w:t>
            </w:r>
          </w:p>
        </w:tc>
        <w:tc>
          <w:tcPr>
            <w:tcW w:w="0" w:type="auto"/>
            <w:noWrap/>
            <w:hideMark/>
          </w:tcPr>
          <w:p w14:paraId="12810CB3"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$ 136.881</w:t>
            </w:r>
          </w:p>
        </w:tc>
        <w:tc>
          <w:tcPr>
            <w:tcW w:w="0" w:type="auto"/>
            <w:noWrap/>
            <w:hideMark/>
          </w:tcPr>
          <w:p w14:paraId="7BD0DE14"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$ 134.268</w:t>
            </w:r>
          </w:p>
        </w:tc>
        <w:tc>
          <w:tcPr>
            <w:tcW w:w="0" w:type="auto"/>
            <w:noWrap/>
            <w:hideMark/>
          </w:tcPr>
          <w:p w14:paraId="16E4A82B"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$ 2.613</w:t>
            </w:r>
          </w:p>
        </w:tc>
        <w:tc>
          <w:tcPr>
            <w:tcW w:w="0" w:type="auto"/>
            <w:noWrap/>
            <w:hideMark/>
          </w:tcPr>
          <w:p w14:paraId="5D1439AF"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1,91%</w:t>
            </w:r>
          </w:p>
        </w:tc>
      </w:tr>
      <w:tr w:rsidR="001800D8" w:rsidRPr="00DF5FFA" w14:paraId="72E521E7"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D3E822"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Depósitos y parqueaderos</w:t>
            </w:r>
          </w:p>
        </w:tc>
        <w:tc>
          <w:tcPr>
            <w:tcW w:w="0" w:type="auto"/>
            <w:noWrap/>
            <w:hideMark/>
          </w:tcPr>
          <w:p w14:paraId="6C7D473A" w14:textId="77777777" w:rsidR="001800D8" w:rsidRPr="00C22CBB" w:rsidRDefault="001800D8" w:rsidP="001800D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w:t>
            </w:r>
          </w:p>
        </w:tc>
        <w:tc>
          <w:tcPr>
            <w:tcW w:w="0" w:type="auto"/>
            <w:noWrap/>
            <w:hideMark/>
          </w:tcPr>
          <w:p w14:paraId="1D2264F9"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534.382</w:t>
            </w:r>
          </w:p>
        </w:tc>
        <w:tc>
          <w:tcPr>
            <w:tcW w:w="0" w:type="auto"/>
            <w:noWrap/>
            <w:hideMark/>
          </w:tcPr>
          <w:p w14:paraId="4B886352"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$ 78.211</w:t>
            </w:r>
          </w:p>
        </w:tc>
        <w:tc>
          <w:tcPr>
            <w:tcW w:w="0" w:type="auto"/>
            <w:noWrap/>
            <w:hideMark/>
          </w:tcPr>
          <w:p w14:paraId="4A5729D7"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$ 76.684</w:t>
            </w:r>
          </w:p>
        </w:tc>
        <w:tc>
          <w:tcPr>
            <w:tcW w:w="0" w:type="auto"/>
            <w:noWrap/>
            <w:hideMark/>
          </w:tcPr>
          <w:p w14:paraId="0CECE9E9"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$ 1.527</w:t>
            </w:r>
          </w:p>
        </w:tc>
        <w:tc>
          <w:tcPr>
            <w:tcW w:w="0" w:type="auto"/>
            <w:noWrap/>
            <w:hideMark/>
          </w:tcPr>
          <w:p w14:paraId="77D64A16"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1,95%</w:t>
            </w:r>
          </w:p>
        </w:tc>
      </w:tr>
      <w:tr w:rsidR="001800D8" w:rsidRPr="00DF5FFA" w14:paraId="572A381A"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529B1E"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Dotacionales</w:t>
            </w:r>
          </w:p>
        </w:tc>
        <w:tc>
          <w:tcPr>
            <w:tcW w:w="0" w:type="auto"/>
            <w:noWrap/>
            <w:hideMark/>
          </w:tcPr>
          <w:p w14:paraId="0B15C603" w14:textId="77777777" w:rsidR="001800D8" w:rsidRPr="00C22CBB" w:rsidRDefault="001800D8" w:rsidP="001800D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w:t>
            </w:r>
          </w:p>
        </w:tc>
        <w:tc>
          <w:tcPr>
            <w:tcW w:w="0" w:type="auto"/>
            <w:noWrap/>
            <w:hideMark/>
          </w:tcPr>
          <w:p w14:paraId="5D5A1B15"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13.933</w:t>
            </w:r>
          </w:p>
        </w:tc>
        <w:tc>
          <w:tcPr>
            <w:tcW w:w="0" w:type="auto"/>
            <w:noWrap/>
            <w:hideMark/>
          </w:tcPr>
          <w:p w14:paraId="64CDE518"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$ 207.192</w:t>
            </w:r>
          </w:p>
        </w:tc>
        <w:tc>
          <w:tcPr>
            <w:tcW w:w="0" w:type="auto"/>
            <w:noWrap/>
            <w:hideMark/>
          </w:tcPr>
          <w:p w14:paraId="49DABC35"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$ 203.340</w:t>
            </w:r>
          </w:p>
        </w:tc>
        <w:tc>
          <w:tcPr>
            <w:tcW w:w="0" w:type="auto"/>
            <w:noWrap/>
            <w:hideMark/>
          </w:tcPr>
          <w:p w14:paraId="67732C12"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$ 3.851</w:t>
            </w:r>
          </w:p>
        </w:tc>
        <w:tc>
          <w:tcPr>
            <w:tcW w:w="0" w:type="auto"/>
            <w:noWrap/>
            <w:hideMark/>
          </w:tcPr>
          <w:p w14:paraId="486EA12E"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1,86%</w:t>
            </w:r>
          </w:p>
        </w:tc>
      </w:tr>
      <w:tr w:rsidR="001800D8" w:rsidRPr="00DF5FFA" w14:paraId="482CE566"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B727D9"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Lotes</w:t>
            </w:r>
          </w:p>
        </w:tc>
        <w:tc>
          <w:tcPr>
            <w:tcW w:w="0" w:type="auto"/>
            <w:noWrap/>
            <w:hideMark/>
          </w:tcPr>
          <w:p w14:paraId="5280609C" w14:textId="77777777" w:rsidR="001800D8" w:rsidRPr="00C22CBB" w:rsidRDefault="001800D8" w:rsidP="001800D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w:t>
            </w:r>
          </w:p>
        </w:tc>
        <w:tc>
          <w:tcPr>
            <w:tcW w:w="0" w:type="auto"/>
            <w:noWrap/>
            <w:hideMark/>
          </w:tcPr>
          <w:p w14:paraId="22072407"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20.650</w:t>
            </w:r>
          </w:p>
        </w:tc>
        <w:tc>
          <w:tcPr>
            <w:tcW w:w="0" w:type="auto"/>
            <w:noWrap/>
            <w:hideMark/>
          </w:tcPr>
          <w:p w14:paraId="06FDF4D7"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$ 200.607</w:t>
            </w:r>
          </w:p>
        </w:tc>
        <w:tc>
          <w:tcPr>
            <w:tcW w:w="0" w:type="auto"/>
            <w:noWrap/>
            <w:hideMark/>
          </w:tcPr>
          <w:p w14:paraId="57A69CD8"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$ 200.607</w:t>
            </w:r>
          </w:p>
        </w:tc>
        <w:tc>
          <w:tcPr>
            <w:tcW w:w="0" w:type="auto"/>
            <w:noWrap/>
            <w:hideMark/>
          </w:tcPr>
          <w:p w14:paraId="2DDBE1E9"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$ 0</w:t>
            </w:r>
          </w:p>
        </w:tc>
        <w:tc>
          <w:tcPr>
            <w:tcW w:w="0" w:type="auto"/>
            <w:noWrap/>
            <w:hideMark/>
          </w:tcPr>
          <w:p w14:paraId="67768082"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0,00%</w:t>
            </w:r>
          </w:p>
        </w:tc>
      </w:tr>
      <w:tr w:rsidR="001800D8" w:rsidRPr="00DF5FFA" w14:paraId="444D193F"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D6962A7"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Pequeña propiedad rural</w:t>
            </w:r>
          </w:p>
        </w:tc>
        <w:tc>
          <w:tcPr>
            <w:tcW w:w="0" w:type="auto"/>
            <w:noWrap/>
            <w:hideMark/>
          </w:tcPr>
          <w:p w14:paraId="4EFA9063" w14:textId="77777777" w:rsidR="001800D8" w:rsidRPr="00C22CBB" w:rsidRDefault="001800D8" w:rsidP="001800D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w:t>
            </w:r>
          </w:p>
        </w:tc>
        <w:tc>
          <w:tcPr>
            <w:tcW w:w="0" w:type="auto"/>
            <w:noWrap/>
            <w:hideMark/>
          </w:tcPr>
          <w:p w14:paraId="7D81F935"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3.909</w:t>
            </w:r>
          </w:p>
        </w:tc>
        <w:tc>
          <w:tcPr>
            <w:tcW w:w="0" w:type="auto"/>
            <w:noWrap/>
            <w:hideMark/>
          </w:tcPr>
          <w:p w14:paraId="7E425EE3"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$ 1.256</w:t>
            </w:r>
          </w:p>
        </w:tc>
        <w:tc>
          <w:tcPr>
            <w:tcW w:w="0" w:type="auto"/>
            <w:noWrap/>
            <w:hideMark/>
          </w:tcPr>
          <w:p w14:paraId="533F1563"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$ 1.494</w:t>
            </w:r>
          </w:p>
        </w:tc>
        <w:tc>
          <w:tcPr>
            <w:tcW w:w="0" w:type="auto"/>
            <w:noWrap/>
            <w:hideMark/>
          </w:tcPr>
          <w:p w14:paraId="36245899"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-$ 238</w:t>
            </w:r>
          </w:p>
        </w:tc>
        <w:tc>
          <w:tcPr>
            <w:tcW w:w="0" w:type="auto"/>
            <w:noWrap/>
            <w:hideMark/>
          </w:tcPr>
          <w:p w14:paraId="2B67B30F"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-18,94%</w:t>
            </w:r>
          </w:p>
        </w:tc>
      </w:tr>
      <w:tr w:rsidR="001800D8" w:rsidRPr="00DF5FFA" w14:paraId="40A9D0B5"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CE54B6"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No urbanizable</w:t>
            </w:r>
          </w:p>
        </w:tc>
        <w:tc>
          <w:tcPr>
            <w:tcW w:w="0" w:type="auto"/>
            <w:noWrap/>
            <w:hideMark/>
          </w:tcPr>
          <w:p w14:paraId="7294A740" w14:textId="77777777" w:rsidR="001800D8" w:rsidRPr="00C22CBB" w:rsidRDefault="001800D8" w:rsidP="001800D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w:t>
            </w:r>
          </w:p>
        </w:tc>
        <w:tc>
          <w:tcPr>
            <w:tcW w:w="0" w:type="auto"/>
            <w:noWrap/>
            <w:hideMark/>
          </w:tcPr>
          <w:p w14:paraId="4BE139FC"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12.038</w:t>
            </w:r>
          </w:p>
        </w:tc>
        <w:tc>
          <w:tcPr>
            <w:tcW w:w="0" w:type="auto"/>
            <w:noWrap/>
            <w:hideMark/>
          </w:tcPr>
          <w:p w14:paraId="1A7A5C94"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$ 2.541</w:t>
            </w:r>
          </w:p>
        </w:tc>
        <w:tc>
          <w:tcPr>
            <w:tcW w:w="0" w:type="auto"/>
            <w:noWrap/>
            <w:hideMark/>
          </w:tcPr>
          <w:p w14:paraId="633E600C"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$ 2.426</w:t>
            </w:r>
          </w:p>
        </w:tc>
        <w:tc>
          <w:tcPr>
            <w:tcW w:w="0" w:type="auto"/>
            <w:noWrap/>
            <w:hideMark/>
          </w:tcPr>
          <w:p w14:paraId="6AF794BB"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$ 115</w:t>
            </w:r>
          </w:p>
        </w:tc>
        <w:tc>
          <w:tcPr>
            <w:tcW w:w="0" w:type="auto"/>
            <w:noWrap/>
            <w:hideMark/>
          </w:tcPr>
          <w:p w14:paraId="3711CB1C"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4,52%</w:t>
            </w:r>
          </w:p>
        </w:tc>
      </w:tr>
      <w:tr w:rsidR="001800D8" w:rsidRPr="00DF5FFA" w14:paraId="08BD31F3"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B879EF"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Rural</w:t>
            </w:r>
          </w:p>
        </w:tc>
        <w:tc>
          <w:tcPr>
            <w:tcW w:w="0" w:type="auto"/>
            <w:noWrap/>
            <w:hideMark/>
          </w:tcPr>
          <w:p w14:paraId="392A98EC" w14:textId="77777777" w:rsidR="001800D8" w:rsidRPr="00C22CBB" w:rsidRDefault="001800D8" w:rsidP="001800D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w:t>
            </w:r>
          </w:p>
        </w:tc>
        <w:tc>
          <w:tcPr>
            <w:tcW w:w="0" w:type="auto"/>
            <w:noWrap/>
            <w:hideMark/>
          </w:tcPr>
          <w:p w14:paraId="32395A12"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7.857</w:t>
            </w:r>
          </w:p>
        </w:tc>
        <w:tc>
          <w:tcPr>
            <w:tcW w:w="0" w:type="auto"/>
            <w:noWrap/>
            <w:hideMark/>
          </w:tcPr>
          <w:p w14:paraId="5D413130"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$ 4.003</w:t>
            </w:r>
          </w:p>
        </w:tc>
        <w:tc>
          <w:tcPr>
            <w:tcW w:w="0" w:type="auto"/>
            <w:noWrap/>
            <w:hideMark/>
          </w:tcPr>
          <w:p w14:paraId="2908F7AC"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$ 4.356</w:t>
            </w:r>
          </w:p>
        </w:tc>
        <w:tc>
          <w:tcPr>
            <w:tcW w:w="0" w:type="auto"/>
            <w:noWrap/>
            <w:hideMark/>
          </w:tcPr>
          <w:p w14:paraId="58125747"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-$ 354</w:t>
            </w:r>
          </w:p>
        </w:tc>
        <w:tc>
          <w:tcPr>
            <w:tcW w:w="0" w:type="auto"/>
            <w:noWrap/>
            <w:hideMark/>
          </w:tcPr>
          <w:p w14:paraId="52AB17CF"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-8,84%</w:t>
            </w:r>
          </w:p>
        </w:tc>
      </w:tr>
      <w:tr w:rsidR="001800D8" w:rsidRPr="00DF5FFA" w14:paraId="324DC28D"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31F145" w14:textId="77777777" w:rsidR="001800D8" w:rsidRPr="00C22CBB" w:rsidRDefault="001800D8" w:rsidP="001800D8">
            <w:pPr>
              <w:rPr>
                <w:rFonts w:ascii="Arial" w:hAnsi="Arial" w:cs="Arial"/>
                <w:color w:val="000000"/>
                <w:sz w:val="18"/>
                <w:szCs w:val="22"/>
              </w:rPr>
            </w:pPr>
            <w:r w:rsidRPr="00C22CBB">
              <w:rPr>
                <w:rFonts w:ascii="Arial" w:hAnsi="Arial" w:cs="Arial"/>
                <w:color w:val="000000"/>
                <w:sz w:val="18"/>
                <w:szCs w:val="22"/>
              </w:rPr>
              <w:t>Áreas protegidas</w:t>
            </w:r>
          </w:p>
        </w:tc>
        <w:tc>
          <w:tcPr>
            <w:tcW w:w="0" w:type="auto"/>
            <w:noWrap/>
            <w:hideMark/>
          </w:tcPr>
          <w:p w14:paraId="6001D488" w14:textId="77777777" w:rsidR="001800D8" w:rsidRPr="00C22CBB" w:rsidRDefault="001800D8" w:rsidP="001800D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w:t>
            </w:r>
          </w:p>
        </w:tc>
        <w:tc>
          <w:tcPr>
            <w:tcW w:w="0" w:type="auto"/>
            <w:noWrap/>
            <w:hideMark/>
          </w:tcPr>
          <w:p w14:paraId="414357E6"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289</w:t>
            </w:r>
          </w:p>
        </w:tc>
        <w:tc>
          <w:tcPr>
            <w:tcW w:w="0" w:type="auto"/>
            <w:noWrap/>
            <w:hideMark/>
          </w:tcPr>
          <w:p w14:paraId="4F8FDB02"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$ 714</w:t>
            </w:r>
          </w:p>
        </w:tc>
        <w:tc>
          <w:tcPr>
            <w:tcW w:w="0" w:type="auto"/>
            <w:noWrap/>
            <w:hideMark/>
          </w:tcPr>
          <w:p w14:paraId="5CD1CE5E"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$ 739</w:t>
            </w:r>
          </w:p>
        </w:tc>
        <w:tc>
          <w:tcPr>
            <w:tcW w:w="0" w:type="auto"/>
            <w:noWrap/>
            <w:hideMark/>
          </w:tcPr>
          <w:p w14:paraId="77E6C28A"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-$ 24</w:t>
            </w:r>
          </w:p>
        </w:tc>
        <w:tc>
          <w:tcPr>
            <w:tcW w:w="0" w:type="auto"/>
            <w:noWrap/>
            <w:hideMark/>
          </w:tcPr>
          <w:p w14:paraId="6AC21287" w14:textId="77777777" w:rsidR="001800D8" w:rsidRPr="00C22CBB" w:rsidRDefault="001800D8" w:rsidP="001800D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C22CBB">
              <w:rPr>
                <w:rFonts w:ascii="Arial" w:hAnsi="Arial" w:cs="Arial"/>
                <w:color w:val="000000"/>
                <w:sz w:val="18"/>
                <w:szCs w:val="22"/>
              </w:rPr>
              <w:t>-3,41%</w:t>
            </w:r>
          </w:p>
        </w:tc>
      </w:tr>
      <w:tr w:rsidR="001800D8" w:rsidRPr="00DF5FFA" w14:paraId="291C52B6"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6C2D5836" w14:textId="77777777" w:rsidR="001800D8" w:rsidRPr="00C22CBB" w:rsidRDefault="001800D8" w:rsidP="001800D8">
            <w:pPr>
              <w:jc w:val="center"/>
              <w:rPr>
                <w:rFonts w:ascii="Arial" w:hAnsi="Arial" w:cs="Arial"/>
                <w:color w:val="000000"/>
                <w:sz w:val="18"/>
                <w:szCs w:val="22"/>
              </w:rPr>
            </w:pPr>
            <w:r w:rsidRPr="00C22CBB">
              <w:rPr>
                <w:rFonts w:ascii="Arial" w:hAnsi="Arial" w:cs="Arial"/>
                <w:color w:val="000000"/>
                <w:sz w:val="18"/>
                <w:szCs w:val="22"/>
              </w:rPr>
              <w:t>TOTAL</w:t>
            </w:r>
          </w:p>
        </w:tc>
        <w:tc>
          <w:tcPr>
            <w:tcW w:w="0" w:type="auto"/>
            <w:noWrap/>
            <w:hideMark/>
          </w:tcPr>
          <w:p w14:paraId="229E0A47"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22"/>
              </w:rPr>
            </w:pPr>
            <w:r w:rsidRPr="00C22CBB">
              <w:rPr>
                <w:rFonts w:ascii="Arial" w:hAnsi="Arial" w:cs="Arial"/>
                <w:b/>
                <w:bCs/>
                <w:color w:val="000000"/>
                <w:sz w:val="18"/>
                <w:szCs w:val="22"/>
              </w:rPr>
              <w:t>2.538.512</w:t>
            </w:r>
          </w:p>
        </w:tc>
        <w:tc>
          <w:tcPr>
            <w:tcW w:w="0" w:type="auto"/>
            <w:noWrap/>
            <w:hideMark/>
          </w:tcPr>
          <w:p w14:paraId="23FD069C"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22"/>
              </w:rPr>
            </w:pPr>
            <w:r w:rsidRPr="00C22CBB">
              <w:rPr>
                <w:rFonts w:ascii="Arial" w:hAnsi="Arial" w:cs="Arial"/>
                <w:b/>
                <w:bCs/>
                <w:color w:val="000000"/>
                <w:sz w:val="18"/>
                <w:szCs w:val="22"/>
              </w:rPr>
              <w:t>$ 3.935.915</w:t>
            </w:r>
          </w:p>
        </w:tc>
        <w:tc>
          <w:tcPr>
            <w:tcW w:w="0" w:type="auto"/>
            <w:noWrap/>
            <w:hideMark/>
          </w:tcPr>
          <w:p w14:paraId="3CF346B8"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22"/>
              </w:rPr>
            </w:pPr>
            <w:r w:rsidRPr="00C22CBB">
              <w:rPr>
                <w:rFonts w:ascii="Arial" w:hAnsi="Arial" w:cs="Arial"/>
                <w:b/>
                <w:bCs/>
                <w:color w:val="000000"/>
                <w:sz w:val="18"/>
                <w:szCs w:val="22"/>
              </w:rPr>
              <w:t>$ 3.849.025</w:t>
            </w:r>
          </w:p>
        </w:tc>
        <w:tc>
          <w:tcPr>
            <w:tcW w:w="0" w:type="auto"/>
            <w:noWrap/>
            <w:hideMark/>
          </w:tcPr>
          <w:p w14:paraId="5BECD596"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22"/>
              </w:rPr>
            </w:pPr>
            <w:r w:rsidRPr="00C22CBB">
              <w:rPr>
                <w:rFonts w:ascii="Arial" w:hAnsi="Arial" w:cs="Arial"/>
                <w:b/>
                <w:bCs/>
                <w:color w:val="000000"/>
                <w:sz w:val="18"/>
                <w:szCs w:val="22"/>
              </w:rPr>
              <w:t>$ 86.891</w:t>
            </w:r>
          </w:p>
        </w:tc>
        <w:tc>
          <w:tcPr>
            <w:tcW w:w="0" w:type="auto"/>
            <w:noWrap/>
            <w:hideMark/>
          </w:tcPr>
          <w:p w14:paraId="27CAC60B" w14:textId="77777777" w:rsidR="001800D8" w:rsidRPr="00C22CBB" w:rsidRDefault="001800D8" w:rsidP="001800D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22"/>
              </w:rPr>
            </w:pPr>
            <w:r w:rsidRPr="00C22CBB">
              <w:rPr>
                <w:rFonts w:ascii="Arial" w:hAnsi="Arial" w:cs="Arial"/>
                <w:b/>
                <w:bCs/>
                <w:color w:val="000000"/>
                <w:sz w:val="18"/>
                <w:szCs w:val="22"/>
              </w:rPr>
              <w:t>2,21%</w:t>
            </w:r>
          </w:p>
        </w:tc>
      </w:tr>
    </w:tbl>
    <w:p w14:paraId="3E9DEB3B" w14:textId="77777777" w:rsidR="001800D8" w:rsidRDefault="001800D8" w:rsidP="001800D8">
      <w:pPr>
        <w:jc w:val="center"/>
        <w:rPr>
          <w:rFonts w:ascii="Arial" w:hAnsi="Arial" w:cs="Arial"/>
          <w:sz w:val="16"/>
          <w:szCs w:val="16"/>
          <w:lang w:val="es-ES"/>
        </w:rPr>
      </w:pPr>
      <w:r w:rsidRPr="00B7051F">
        <w:rPr>
          <w:rFonts w:ascii="Arial" w:hAnsi="Arial" w:cs="Arial"/>
          <w:sz w:val="16"/>
          <w:szCs w:val="16"/>
          <w:lang w:val="es-ES"/>
        </w:rPr>
        <w:t xml:space="preserve">Fuente: </w:t>
      </w:r>
      <w:r>
        <w:rPr>
          <w:rFonts w:ascii="Arial" w:hAnsi="Arial" w:cs="Arial"/>
          <w:sz w:val="16"/>
          <w:szCs w:val="16"/>
          <w:lang w:val="es-ES"/>
        </w:rPr>
        <w:t>Emisión Predial 2019. Cifras en millones de pesos a precios corrientes.</w:t>
      </w:r>
    </w:p>
    <w:p w14:paraId="3F032761" w14:textId="77777777" w:rsidR="001800D8" w:rsidRDefault="001800D8" w:rsidP="001800D8">
      <w:pPr>
        <w:jc w:val="center"/>
        <w:rPr>
          <w:rFonts w:ascii="Arial" w:hAnsi="Arial" w:cs="Arial"/>
          <w:sz w:val="16"/>
          <w:szCs w:val="16"/>
          <w:lang w:val="es-ES"/>
        </w:rPr>
      </w:pPr>
      <w:r>
        <w:rPr>
          <w:rFonts w:ascii="Arial" w:hAnsi="Arial" w:cs="Arial"/>
          <w:sz w:val="16"/>
          <w:szCs w:val="16"/>
          <w:lang w:val="es-ES"/>
        </w:rPr>
        <w:t>Cálculos y elaboración: Dirección de Impuestos de Bogotá – Secretaría Distrital de Hacienda.</w:t>
      </w:r>
    </w:p>
    <w:p w14:paraId="770A88D4" w14:textId="77777777" w:rsidR="001800D8" w:rsidRDefault="001800D8" w:rsidP="001800D8">
      <w:pPr>
        <w:jc w:val="center"/>
        <w:rPr>
          <w:rFonts w:ascii="Arial" w:hAnsi="Arial" w:cs="Arial"/>
          <w:sz w:val="16"/>
          <w:szCs w:val="16"/>
          <w:lang w:val="es-ES"/>
        </w:rPr>
      </w:pPr>
    </w:p>
    <w:p w14:paraId="3866D8B6" w14:textId="77777777" w:rsidR="00324AD9" w:rsidRDefault="001800D8" w:rsidP="00324AD9">
      <w:pPr>
        <w:jc w:val="both"/>
        <w:rPr>
          <w:rFonts w:ascii="Arial" w:hAnsi="Arial" w:cs="Arial"/>
          <w:sz w:val="24"/>
          <w:lang w:val="es-ES"/>
        </w:rPr>
      </w:pPr>
      <w:r w:rsidRPr="001800D8">
        <w:rPr>
          <w:rFonts w:ascii="Arial" w:hAnsi="Arial" w:cs="Arial"/>
          <w:sz w:val="24"/>
          <w:lang w:val="es-ES"/>
        </w:rPr>
        <w:lastRenderedPageBreak/>
        <w:t>Ahora bien, sobre el efecto fiscal de los límites de crecimiento del impuesto predial propuestos para los predios que sufrieron mutaciones físicas, se estimó el siguiente impacto en la recaudación futura:</w:t>
      </w:r>
    </w:p>
    <w:p w14:paraId="4CFAD3A4" w14:textId="77777777" w:rsidR="00324AD9" w:rsidRDefault="00324AD9" w:rsidP="00324AD9">
      <w:pPr>
        <w:jc w:val="both"/>
        <w:rPr>
          <w:rFonts w:ascii="Arial" w:hAnsi="Arial" w:cs="Arial"/>
          <w:b/>
          <w:sz w:val="24"/>
          <w:lang w:val="es-ES"/>
        </w:rPr>
      </w:pPr>
    </w:p>
    <w:p w14:paraId="25D0427A" w14:textId="4192F738" w:rsidR="00324AD9" w:rsidRPr="00324AD9" w:rsidRDefault="001800D8" w:rsidP="00324AD9">
      <w:pPr>
        <w:jc w:val="both"/>
        <w:rPr>
          <w:rFonts w:ascii="Arial" w:hAnsi="Arial" w:cs="Arial"/>
          <w:sz w:val="24"/>
          <w:lang w:val="es-ES"/>
        </w:rPr>
      </w:pPr>
      <w:r w:rsidRPr="001800D8">
        <w:rPr>
          <w:rFonts w:ascii="Arial" w:hAnsi="Arial" w:cs="Arial"/>
          <w:b/>
          <w:sz w:val="24"/>
          <w:lang w:val="es-ES"/>
        </w:rPr>
        <w:t xml:space="preserve">Cuadro </w:t>
      </w:r>
      <w:r w:rsidR="000D6B2C">
        <w:rPr>
          <w:rFonts w:ascii="Arial" w:hAnsi="Arial" w:cs="Arial"/>
          <w:b/>
          <w:sz w:val="24"/>
          <w:lang w:val="es-ES"/>
        </w:rPr>
        <w:t>2</w:t>
      </w:r>
      <w:r w:rsidRPr="001800D8">
        <w:rPr>
          <w:rFonts w:ascii="Arial" w:hAnsi="Arial" w:cs="Arial"/>
          <w:b/>
          <w:sz w:val="24"/>
          <w:lang w:val="es-ES"/>
        </w:rPr>
        <w:t xml:space="preserve">. </w:t>
      </w:r>
      <w:r w:rsidRPr="001800D8">
        <w:rPr>
          <w:rFonts w:ascii="Arial" w:hAnsi="Arial" w:cs="Arial"/>
          <w:sz w:val="24"/>
          <w:lang w:val="es-ES"/>
        </w:rPr>
        <w:t>Impacto en el impuesto predial unificado 2019 con adopción de los límites de crecimiento del impuesto propuesto para mutaciones</w:t>
      </w:r>
      <w:r w:rsidR="00324AD9">
        <w:rPr>
          <w:rFonts w:ascii="Arial" w:hAnsi="Arial" w:cs="Arial"/>
          <w:sz w:val="24"/>
          <w:lang w:val="es-ES"/>
        </w:rPr>
        <w:t>.</w:t>
      </w:r>
    </w:p>
    <w:tbl>
      <w:tblPr>
        <w:tblStyle w:val="Tabladecuadrcula6concolores-nfasis1"/>
        <w:tblW w:w="0" w:type="auto"/>
        <w:tblLook w:val="04A0" w:firstRow="1" w:lastRow="0" w:firstColumn="1" w:lastColumn="0" w:noHBand="0" w:noVBand="1"/>
      </w:tblPr>
      <w:tblGrid>
        <w:gridCol w:w="2477"/>
        <w:gridCol w:w="837"/>
        <w:gridCol w:w="877"/>
        <w:gridCol w:w="1231"/>
        <w:gridCol w:w="1234"/>
        <w:gridCol w:w="1057"/>
        <w:gridCol w:w="1117"/>
      </w:tblGrid>
      <w:tr w:rsidR="001800D8" w:rsidRPr="00DF5FFA" w14:paraId="37967C70" w14:textId="77777777" w:rsidTr="001800D8">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BA17532" w14:textId="77777777" w:rsidR="001800D8" w:rsidRPr="00DF5FFA" w:rsidRDefault="001800D8" w:rsidP="001800D8">
            <w:pPr>
              <w:jc w:val="center"/>
              <w:rPr>
                <w:rFonts w:ascii="Arial" w:hAnsi="Arial" w:cs="Arial"/>
                <w:color w:val="000000"/>
                <w:sz w:val="18"/>
                <w:szCs w:val="21"/>
              </w:rPr>
            </w:pPr>
            <w:r w:rsidRPr="00DF5FFA">
              <w:rPr>
                <w:rFonts w:ascii="Arial" w:hAnsi="Arial" w:cs="Arial"/>
                <w:bCs w:val="0"/>
                <w:color w:val="000000"/>
                <w:sz w:val="18"/>
                <w:szCs w:val="21"/>
              </w:rPr>
              <w:t>Destino</w:t>
            </w:r>
          </w:p>
        </w:tc>
        <w:tc>
          <w:tcPr>
            <w:tcW w:w="0" w:type="auto"/>
            <w:noWrap/>
            <w:vAlign w:val="center"/>
            <w:hideMark/>
          </w:tcPr>
          <w:p w14:paraId="2C19E212" w14:textId="77777777" w:rsidR="001800D8" w:rsidRPr="00DF5FFA"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21"/>
              </w:rPr>
            </w:pPr>
            <w:r w:rsidRPr="00DF5FFA">
              <w:rPr>
                <w:rFonts w:ascii="Arial" w:hAnsi="Arial" w:cs="Arial"/>
                <w:bCs w:val="0"/>
                <w:color w:val="000000"/>
                <w:sz w:val="18"/>
                <w:szCs w:val="21"/>
              </w:rPr>
              <w:t>Estrato</w:t>
            </w:r>
          </w:p>
        </w:tc>
        <w:tc>
          <w:tcPr>
            <w:tcW w:w="0" w:type="auto"/>
            <w:noWrap/>
            <w:vAlign w:val="center"/>
            <w:hideMark/>
          </w:tcPr>
          <w:p w14:paraId="78029D62" w14:textId="77777777" w:rsidR="001800D8" w:rsidRPr="00DF5FFA"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21"/>
              </w:rPr>
            </w:pPr>
            <w:r w:rsidRPr="00DF5FFA">
              <w:rPr>
                <w:rFonts w:ascii="Arial" w:hAnsi="Arial" w:cs="Arial"/>
                <w:bCs w:val="0"/>
                <w:color w:val="000000"/>
                <w:sz w:val="18"/>
                <w:szCs w:val="21"/>
              </w:rPr>
              <w:t>Predios</w:t>
            </w:r>
          </w:p>
        </w:tc>
        <w:tc>
          <w:tcPr>
            <w:tcW w:w="0" w:type="auto"/>
            <w:vAlign w:val="center"/>
            <w:hideMark/>
          </w:tcPr>
          <w:p w14:paraId="175CB86F" w14:textId="77777777" w:rsidR="001800D8" w:rsidRPr="00DF5FFA"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21"/>
              </w:rPr>
            </w:pPr>
            <w:r w:rsidRPr="00DF5FFA">
              <w:rPr>
                <w:rFonts w:ascii="Arial" w:hAnsi="Arial" w:cs="Arial"/>
                <w:bCs w:val="0"/>
                <w:color w:val="000000"/>
                <w:sz w:val="18"/>
                <w:szCs w:val="21"/>
              </w:rPr>
              <w:t>Impuesto Acuerdo 648 de 2016</w:t>
            </w:r>
          </w:p>
        </w:tc>
        <w:tc>
          <w:tcPr>
            <w:tcW w:w="0" w:type="auto"/>
            <w:vAlign w:val="center"/>
            <w:hideMark/>
          </w:tcPr>
          <w:p w14:paraId="5B1C294E" w14:textId="77777777" w:rsidR="001800D8" w:rsidRPr="00DF5FFA"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21"/>
              </w:rPr>
            </w:pPr>
            <w:r w:rsidRPr="00DF5FFA">
              <w:rPr>
                <w:rFonts w:ascii="Arial" w:hAnsi="Arial" w:cs="Arial"/>
                <w:bCs w:val="0"/>
                <w:color w:val="000000"/>
                <w:sz w:val="18"/>
                <w:szCs w:val="21"/>
              </w:rPr>
              <w:t>Impuesto Proyecto de Acuerdo</w:t>
            </w:r>
          </w:p>
        </w:tc>
        <w:tc>
          <w:tcPr>
            <w:tcW w:w="0" w:type="auto"/>
            <w:noWrap/>
            <w:vAlign w:val="center"/>
            <w:hideMark/>
          </w:tcPr>
          <w:p w14:paraId="62696AE7" w14:textId="77777777" w:rsidR="001800D8" w:rsidRPr="00DF5FFA"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21"/>
              </w:rPr>
            </w:pPr>
            <w:r w:rsidRPr="00DF5FFA">
              <w:rPr>
                <w:rFonts w:ascii="Arial" w:hAnsi="Arial" w:cs="Arial"/>
                <w:bCs w:val="0"/>
                <w:color w:val="000000"/>
                <w:sz w:val="18"/>
                <w:szCs w:val="21"/>
              </w:rPr>
              <w:t>Impacto $</w:t>
            </w:r>
          </w:p>
        </w:tc>
        <w:tc>
          <w:tcPr>
            <w:tcW w:w="0" w:type="auto"/>
            <w:noWrap/>
            <w:vAlign w:val="center"/>
            <w:hideMark/>
          </w:tcPr>
          <w:p w14:paraId="01370A65" w14:textId="77777777" w:rsidR="001800D8" w:rsidRPr="00DF5FFA"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21"/>
              </w:rPr>
            </w:pPr>
            <w:r w:rsidRPr="00DF5FFA">
              <w:rPr>
                <w:rFonts w:ascii="Arial" w:hAnsi="Arial" w:cs="Arial"/>
                <w:bCs w:val="0"/>
                <w:color w:val="000000"/>
                <w:sz w:val="18"/>
                <w:szCs w:val="21"/>
              </w:rPr>
              <w:t>Impacto %</w:t>
            </w:r>
          </w:p>
        </w:tc>
      </w:tr>
      <w:tr w:rsidR="001800D8" w:rsidRPr="00DF5FFA" w14:paraId="5119A1B9"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330B3ED" w14:textId="77777777" w:rsidR="001800D8" w:rsidRPr="00DF5FFA" w:rsidRDefault="001800D8" w:rsidP="001800D8">
            <w:pPr>
              <w:jc w:val="center"/>
              <w:rPr>
                <w:rFonts w:ascii="Arial" w:hAnsi="Arial" w:cs="Arial"/>
                <w:b w:val="0"/>
                <w:bCs w:val="0"/>
                <w:color w:val="000000"/>
                <w:sz w:val="18"/>
                <w:szCs w:val="21"/>
              </w:rPr>
            </w:pPr>
            <w:r w:rsidRPr="00DF5FFA">
              <w:rPr>
                <w:rFonts w:ascii="Arial" w:hAnsi="Arial" w:cs="Arial"/>
                <w:color w:val="000000"/>
                <w:sz w:val="18"/>
                <w:szCs w:val="21"/>
              </w:rPr>
              <w:t>Residenciales Rurales</w:t>
            </w:r>
          </w:p>
        </w:tc>
        <w:tc>
          <w:tcPr>
            <w:tcW w:w="0" w:type="auto"/>
            <w:noWrap/>
            <w:vAlign w:val="center"/>
            <w:hideMark/>
          </w:tcPr>
          <w:p w14:paraId="1E7344DF"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p>
        </w:tc>
        <w:tc>
          <w:tcPr>
            <w:tcW w:w="0" w:type="auto"/>
            <w:noWrap/>
            <w:vAlign w:val="center"/>
            <w:hideMark/>
          </w:tcPr>
          <w:p w14:paraId="4725D436"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26</w:t>
            </w:r>
          </w:p>
        </w:tc>
        <w:tc>
          <w:tcPr>
            <w:tcW w:w="0" w:type="auto"/>
            <w:noWrap/>
            <w:vAlign w:val="center"/>
            <w:hideMark/>
          </w:tcPr>
          <w:p w14:paraId="114AF41C"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$118</w:t>
            </w:r>
          </w:p>
        </w:tc>
        <w:tc>
          <w:tcPr>
            <w:tcW w:w="0" w:type="auto"/>
            <w:noWrap/>
            <w:vAlign w:val="center"/>
            <w:hideMark/>
          </w:tcPr>
          <w:p w14:paraId="03839D82"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$87</w:t>
            </w:r>
          </w:p>
        </w:tc>
        <w:tc>
          <w:tcPr>
            <w:tcW w:w="0" w:type="auto"/>
            <w:noWrap/>
            <w:vAlign w:val="center"/>
            <w:hideMark/>
          </w:tcPr>
          <w:p w14:paraId="6B3E34B4"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$31</w:t>
            </w:r>
          </w:p>
        </w:tc>
        <w:tc>
          <w:tcPr>
            <w:tcW w:w="0" w:type="auto"/>
            <w:noWrap/>
            <w:vAlign w:val="center"/>
            <w:hideMark/>
          </w:tcPr>
          <w:p w14:paraId="4C78CB3C"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26,28%</w:t>
            </w:r>
          </w:p>
        </w:tc>
      </w:tr>
      <w:tr w:rsidR="001800D8" w:rsidRPr="00DF5FFA" w14:paraId="379BE304"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5F5E29BF" w14:textId="77777777" w:rsidR="001800D8" w:rsidRPr="00DF5FFA" w:rsidRDefault="001800D8" w:rsidP="001800D8">
            <w:pPr>
              <w:jc w:val="center"/>
              <w:rPr>
                <w:rFonts w:ascii="Arial" w:hAnsi="Arial" w:cs="Arial"/>
                <w:color w:val="000000"/>
                <w:sz w:val="18"/>
                <w:szCs w:val="21"/>
              </w:rPr>
            </w:pPr>
            <w:r w:rsidRPr="00DF5FFA">
              <w:rPr>
                <w:rFonts w:ascii="Arial" w:hAnsi="Arial" w:cs="Arial"/>
                <w:color w:val="000000"/>
                <w:sz w:val="18"/>
                <w:szCs w:val="21"/>
              </w:rPr>
              <w:t>Residenciales</w:t>
            </w:r>
          </w:p>
        </w:tc>
        <w:tc>
          <w:tcPr>
            <w:tcW w:w="0" w:type="auto"/>
            <w:noWrap/>
            <w:vAlign w:val="center"/>
            <w:hideMark/>
          </w:tcPr>
          <w:p w14:paraId="3A7461AC"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w:t>
            </w:r>
          </w:p>
        </w:tc>
        <w:tc>
          <w:tcPr>
            <w:tcW w:w="0" w:type="auto"/>
            <w:noWrap/>
            <w:vAlign w:val="center"/>
            <w:hideMark/>
          </w:tcPr>
          <w:p w14:paraId="1DD3E2CC"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2.828</w:t>
            </w:r>
          </w:p>
        </w:tc>
        <w:tc>
          <w:tcPr>
            <w:tcW w:w="0" w:type="auto"/>
            <w:noWrap/>
            <w:vAlign w:val="center"/>
            <w:hideMark/>
          </w:tcPr>
          <w:p w14:paraId="64B06162"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$731</w:t>
            </w:r>
          </w:p>
        </w:tc>
        <w:tc>
          <w:tcPr>
            <w:tcW w:w="0" w:type="auto"/>
            <w:noWrap/>
            <w:vAlign w:val="center"/>
            <w:hideMark/>
          </w:tcPr>
          <w:p w14:paraId="5D94CC0F"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$298</w:t>
            </w:r>
          </w:p>
        </w:tc>
        <w:tc>
          <w:tcPr>
            <w:tcW w:w="0" w:type="auto"/>
            <w:noWrap/>
            <w:vAlign w:val="center"/>
            <w:hideMark/>
          </w:tcPr>
          <w:p w14:paraId="30654506"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$432</w:t>
            </w:r>
          </w:p>
        </w:tc>
        <w:tc>
          <w:tcPr>
            <w:tcW w:w="0" w:type="auto"/>
            <w:noWrap/>
            <w:vAlign w:val="center"/>
            <w:hideMark/>
          </w:tcPr>
          <w:p w14:paraId="3815CE66"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59,20%</w:t>
            </w:r>
          </w:p>
        </w:tc>
      </w:tr>
      <w:tr w:rsidR="001800D8" w:rsidRPr="00DF5FFA" w14:paraId="4230AA62"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260E0A0" w14:textId="77777777" w:rsidR="001800D8" w:rsidRPr="00DF5FFA" w:rsidRDefault="001800D8" w:rsidP="001800D8">
            <w:pPr>
              <w:jc w:val="center"/>
              <w:rPr>
                <w:rFonts w:ascii="Arial" w:hAnsi="Arial" w:cs="Arial"/>
                <w:color w:val="000000"/>
                <w:sz w:val="18"/>
                <w:szCs w:val="21"/>
              </w:rPr>
            </w:pPr>
          </w:p>
        </w:tc>
        <w:tc>
          <w:tcPr>
            <w:tcW w:w="0" w:type="auto"/>
            <w:noWrap/>
            <w:vAlign w:val="center"/>
            <w:hideMark/>
          </w:tcPr>
          <w:p w14:paraId="0996419B"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w:t>
            </w:r>
          </w:p>
        </w:tc>
        <w:tc>
          <w:tcPr>
            <w:tcW w:w="0" w:type="auto"/>
            <w:noWrap/>
            <w:vAlign w:val="center"/>
            <w:hideMark/>
          </w:tcPr>
          <w:p w14:paraId="645F84F0"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9.952</w:t>
            </w:r>
          </w:p>
        </w:tc>
        <w:tc>
          <w:tcPr>
            <w:tcW w:w="0" w:type="auto"/>
            <w:noWrap/>
            <w:vAlign w:val="center"/>
            <w:hideMark/>
          </w:tcPr>
          <w:p w14:paraId="3F7BDCC7"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$5.878</w:t>
            </w:r>
          </w:p>
        </w:tc>
        <w:tc>
          <w:tcPr>
            <w:tcW w:w="0" w:type="auto"/>
            <w:noWrap/>
            <w:vAlign w:val="center"/>
            <w:hideMark/>
          </w:tcPr>
          <w:p w14:paraId="0DD1A639"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$2.865</w:t>
            </w:r>
          </w:p>
        </w:tc>
        <w:tc>
          <w:tcPr>
            <w:tcW w:w="0" w:type="auto"/>
            <w:noWrap/>
            <w:vAlign w:val="center"/>
            <w:hideMark/>
          </w:tcPr>
          <w:p w14:paraId="3EE289B6"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$3.012</w:t>
            </w:r>
          </w:p>
        </w:tc>
        <w:tc>
          <w:tcPr>
            <w:tcW w:w="0" w:type="auto"/>
            <w:noWrap/>
            <w:vAlign w:val="center"/>
            <w:hideMark/>
          </w:tcPr>
          <w:p w14:paraId="13C9DD04"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51,25%</w:t>
            </w:r>
          </w:p>
        </w:tc>
      </w:tr>
      <w:tr w:rsidR="001800D8" w:rsidRPr="00DF5FFA" w14:paraId="79E8EDE8"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00559D3" w14:textId="77777777" w:rsidR="001800D8" w:rsidRPr="00DF5FFA" w:rsidRDefault="001800D8" w:rsidP="001800D8">
            <w:pPr>
              <w:jc w:val="center"/>
              <w:rPr>
                <w:rFonts w:ascii="Arial" w:hAnsi="Arial" w:cs="Arial"/>
                <w:color w:val="000000"/>
                <w:sz w:val="18"/>
                <w:szCs w:val="21"/>
              </w:rPr>
            </w:pPr>
          </w:p>
        </w:tc>
        <w:tc>
          <w:tcPr>
            <w:tcW w:w="0" w:type="auto"/>
            <w:noWrap/>
            <w:vAlign w:val="center"/>
            <w:hideMark/>
          </w:tcPr>
          <w:p w14:paraId="4853E6E4"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3</w:t>
            </w:r>
          </w:p>
        </w:tc>
        <w:tc>
          <w:tcPr>
            <w:tcW w:w="0" w:type="auto"/>
            <w:noWrap/>
            <w:vAlign w:val="center"/>
            <w:hideMark/>
          </w:tcPr>
          <w:p w14:paraId="55CDA09A"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4.267</w:t>
            </w:r>
          </w:p>
        </w:tc>
        <w:tc>
          <w:tcPr>
            <w:tcW w:w="0" w:type="auto"/>
            <w:noWrap/>
            <w:vAlign w:val="center"/>
            <w:hideMark/>
          </w:tcPr>
          <w:p w14:paraId="4C9723BD"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$8.349</w:t>
            </w:r>
          </w:p>
        </w:tc>
        <w:tc>
          <w:tcPr>
            <w:tcW w:w="0" w:type="auto"/>
            <w:noWrap/>
            <w:vAlign w:val="center"/>
            <w:hideMark/>
          </w:tcPr>
          <w:p w14:paraId="5D42E3CC"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$6.427</w:t>
            </w:r>
          </w:p>
        </w:tc>
        <w:tc>
          <w:tcPr>
            <w:tcW w:w="0" w:type="auto"/>
            <w:noWrap/>
            <w:vAlign w:val="center"/>
            <w:hideMark/>
          </w:tcPr>
          <w:p w14:paraId="6A29F6A7"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$1.923</w:t>
            </w:r>
          </w:p>
        </w:tc>
        <w:tc>
          <w:tcPr>
            <w:tcW w:w="0" w:type="auto"/>
            <w:noWrap/>
            <w:vAlign w:val="center"/>
            <w:hideMark/>
          </w:tcPr>
          <w:p w14:paraId="66E853EF"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23,03%</w:t>
            </w:r>
          </w:p>
        </w:tc>
      </w:tr>
      <w:tr w:rsidR="001800D8" w:rsidRPr="00DF5FFA" w14:paraId="170AC705"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7FBE7AC" w14:textId="77777777" w:rsidR="001800D8" w:rsidRPr="00DF5FFA" w:rsidRDefault="001800D8" w:rsidP="001800D8">
            <w:pPr>
              <w:jc w:val="center"/>
              <w:rPr>
                <w:rFonts w:ascii="Arial" w:hAnsi="Arial" w:cs="Arial"/>
                <w:color w:val="000000"/>
                <w:sz w:val="18"/>
                <w:szCs w:val="21"/>
              </w:rPr>
            </w:pPr>
          </w:p>
        </w:tc>
        <w:tc>
          <w:tcPr>
            <w:tcW w:w="0" w:type="auto"/>
            <w:noWrap/>
            <w:vAlign w:val="center"/>
            <w:hideMark/>
          </w:tcPr>
          <w:p w14:paraId="15F39E35"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4</w:t>
            </w:r>
          </w:p>
        </w:tc>
        <w:tc>
          <w:tcPr>
            <w:tcW w:w="0" w:type="auto"/>
            <w:noWrap/>
            <w:vAlign w:val="center"/>
            <w:hideMark/>
          </w:tcPr>
          <w:p w14:paraId="3E09204F"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323</w:t>
            </w:r>
          </w:p>
        </w:tc>
        <w:tc>
          <w:tcPr>
            <w:tcW w:w="0" w:type="auto"/>
            <w:noWrap/>
            <w:vAlign w:val="center"/>
            <w:hideMark/>
          </w:tcPr>
          <w:p w14:paraId="7F29545B"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$4.409</w:t>
            </w:r>
          </w:p>
        </w:tc>
        <w:tc>
          <w:tcPr>
            <w:tcW w:w="0" w:type="auto"/>
            <w:noWrap/>
            <w:vAlign w:val="center"/>
            <w:hideMark/>
          </w:tcPr>
          <w:p w14:paraId="6F962935"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$3.409</w:t>
            </w:r>
          </w:p>
        </w:tc>
        <w:tc>
          <w:tcPr>
            <w:tcW w:w="0" w:type="auto"/>
            <w:noWrap/>
            <w:vAlign w:val="center"/>
            <w:hideMark/>
          </w:tcPr>
          <w:p w14:paraId="6EB7C3B9"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$1.000</w:t>
            </w:r>
          </w:p>
        </w:tc>
        <w:tc>
          <w:tcPr>
            <w:tcW w:w="0" w:type="auto"/>
            <w:noWrap/>
            <w:vAlign w:val="center"/>
            <w:hideMark/>
          </w:tcPr>
          <w:p w14:paraId="1ADC7896"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22,67%</w:t>
            </w:r>
          </w:p>
        </w:tc>
      </w:tr>
      <w:tr w:rsidR="001800D8" w:rsidRPr="00DF5FFA" w14:paraId="4068C54D"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381CAF5" w14:textId="77777777" w:rsidR="001800D8" w:rsidRPr="00DF5FFA" w:rsidRDefault="001800D8" w:rsidP="001800D8">
            <w:pPr>
              <w:jc w:val="center"/>
              <w:rPr>
                <w:rFonts w:ascii="Arial" w:hAnsi="Arial" w:cs="Arial"/>
                <w:color w:val="000000"/>
                <w:sz w:val="18"/>
                <w:szCs w:val="21"/>
              </w:rPr>
            </w:pPr>
          </w:p>
        </w:tc>
        <w:tc>
          <w:tcPr>
            <w:tcW w:w="0" w:type="auto"/>
            <w:noWrap/>
            <w:vAlign w:val="center"/>
            <w:hideMark/>
          </w:tcPr>
          <w:p w14:paraId="7553DF0F"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5</w:t>
            </w:r>
          </w:p>
        </w:tc>
        <w:tc>
          <w:tcPr>
            <w:tcW w:w="0" w:type="auto"/>
            <w:noWrap/>
            <w:vAlign w:val="center"/>
            <w:hideMark/>
          </w:tcPr>
          <w:p w14:paraId="2DA13C49"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215</w:t>
            </w:r>
          </w:p>
        </w:tc>
        <w:tc>
          <w:tcPr>
            <w:tcW w:w="0" w:type="auto"/>
            <w:noWrap/>
            <w:vAlign w:val="center"/>
            <w:hideMark/>
          </w:tcPr>
          <w:p w14:paraId="1D927D7C"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$2.848</w:t>
            </w:r>
          </w:p>
        </w:tc>
        <w:tc>
          <w:tcPr>
            <w:tcW w:w="0" w:type="auto"/>
            <w:noWrap/>
            <w:vAlign w:val="center"/>
            <w:hideMark/>
          </w:tcPr>
          <w:p w14:paraId="17E4C408"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$2.449</w:t>
            </w:r>
          </w:p>
        </w:tc>
        <w:tc>
          <w:tcPr>
            <w:tcW w:w="0" w:type="auto"/>
            <w:noWrap/>
            <w:vAlign w:val="center"/>
            <w:hideMark/>
          </w:tcPr>
          <w:p w14:paraId="3E413369"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$400</w:t>
            </w:r>
          </w:p>
        </w:tc>
        <w:tc>
          <w:tcPr>
            <w:tcW w:w="0" w:type="auto"/>
            <w:noWrap/>
            <w:vAlign w:val="center"/>
            <w:hideMark/>
          </w:tcPr>
          <w:p w14:paraId="665E0814"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14,03%</w:t>
            </w:r>
          </w:p>
        </w:tc>
      </w:tr>
      <w:tr w:rsidR="001800D8" w:rsidRPr="00DF5FFA" w14:paraId="0E904316"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E65F33E" w14:textId="77777777" w:rsidR="001800D8" w:rsidRPr="00DF5FFA" w:rsidRDefault="001800D8" w:rsidP="001800D8">
            <w:pPr>
              <w:jc w:val="center"/>
              <w:rPr>
                <w:rFonts w:ascii="Arial" w:hAnsi="Arial" w:cs="Arial"/>
                <w:color w:val="000000"/>
                <w:sz w:val="18"/>
                <w:szCs w:val="21"/>
              </w:rPr>
            </w:pPr>
          </w:p>
        </w:tc>
        <w:tc>
          <w:tcPr>
            <w:tcW w:w="0" w:type="auto"/>
            <w:noWrap/>
            <w:vAlign w:val="center"/>
            <w:hideMark/>
          </w:tcPr>
          <w:p w14:paraId="783143F2"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6</w:t>
            </w:r>
          </w:p>
        </w:tc>
        <w:tc>
          <w:tcPr>
            <w:tcW w:w="0" w:type="auto"/>
            <w:noWrap/>
            <w:vAlign w:val="center"/>
            <w:hideMark/>
          </w:tcPr>
          <w:p w14:paraId="1508A47C"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65</w:t>
            </w:r>
          </w:p>
        </w:tc>
        <w:tc>
          <w:tcPr>
            <w:tcW w:w="0" w:type="auto"/>
            <w:noWrap/>
            <w:vAlign w:val="center"/>
            <w:hideMark/>
          </w:tcPr>
          <w:p w14:paraId="079AEF69"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$1.823</w:t>
            </w:r>
          </w:p>
        </w:tc>
        <w:tc>
          <w:tcPr>
            <w:tcW w:w="0" w:type="auto"/>
            <w:noWrap/>
            <w:vAlign w:val="center"/>
            <w:hideMark/>
          </w:tcPr>
          <w:p w14:paraId="5DDF31C3"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$1.776</w:t>
            </w:r>
          </w:p>
        </w:tc>
        <w:tc>
          <w:tcPr>
            <w:tcW w:w="0" w:type="auto"/>
            <w:noWrap/>
            <w:vAlign w:val="center"/>
            <w:hideMark/>
          </w:tcPr>
          <w:p w14:paraId="5684DC88"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$47</w:t>
            </w:r>
          </w:p>
        </w:tc>
        <w:tc>
          <w:tcPr>
            <w:tcW w:w="0" w:type="auto"/>
            <w:noWrap/>
            <w:vAlign w:val="center"/>
            <w:hideMark/>
          </w:tcPr>
          <w:p w14:paraId="420D2D51"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2,60%</w:t>
            </w:r>
          </w:p>
        </w:tc>
      </w:tr>
      <w:tr w:rsidR="001800D8" w:rsidRPr="00DF5FFA" w14:paraId="3C5898F2"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6A617B" w14:textId="77777777" w:rsidR="001800D8" w:rsidRPr="00DF5FFA" w:rsidRDefault="001800D8" w:rsidP="001800D8">
            <w:pPr>
              <w:jc w:val="center"/>
              <w:rPr>
                <w:rFonts w:ascii="Arial" w:hAnsi="Arial" w:cs="Arial"/>
                <w:color w:val="000000"/>
                <w:sz w:val="18"/>
                <w:szCs w:val="21"/>
              </w:rPr>
            </w:pPr>
            <w:r w:rsidRPr="00DF5FFA">
              <w:rPr>
                <w:rFonts w:ascii="Arial" w:hAnsi="Arial" w:cs="Arial"/>
                <w:color w:val="000000"/>
                <w:sz w:val="18"/>
                <w:szCs w:val="21"/>
              </w:rPr>
              <w:t>Comerciales</w:t>
            </w:r>
          </w:p>
        </w:tc>
        <w:tc>
          <w:tcPr>
            <w:tcW w:w="0" w:type="auto"/>
            <w:noWrap/>
            <w:vAlign w:val="center"/>
            <w:hideMark/>
          </w:tcPr>
          <w:p w14:paraId="3F2A9841"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p>
        </w:tc>
        <w:tc>
          <w:tcPr>
            <w:tcW w:w="0" w:type="auto"/>
            <w:noWrap/>
            <w:vAlign w:val="center"/>
            <w:hideMark/>
          </w:tcPr>
          <w:p w14:paraId="601FD705"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4.584</w:t>
            </w:r>
          </w:p>
        </w:tc>
        <w:tc>
          <w:tcPr>
            <w:tcW w:w="0" w:type="auto"/>
            <w:noWrap/>
            <w:vAlign w:val="center"/>
            <w:hideMark/>
          </w:tcPr>
          <w:p w14:paraId="4088B9C0"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$36.632</w:t>
            </w:r>
          </w:p>
        </w:tc>
        <w:tc>
          <w:tcPr>
            <w:tcW w:w="0" w:type="auto"/>
            <w:noWrap/>
            <w:vAlign w:val="center"/>
            <w:hideMark/>
          </w:tcPr>
          <w:p w14:paraId="584AD9E8"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$36.632</w:t>
            </w:r>
          </w:p>
        </w:tc>
        <w:tc>
          <w:tcPr>
            <w:tcW w:w="0" w:type="auto"/>
            <w:noWrap/>
            <w:vAlign w:val="center"/>
            <w:hideMark/>
          </w:tcPr>
          <w:p w14:paraId="4A968D58"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w:t>
            </w:r>
          </w:p>
        </w:tc>
        <w:tc>
          <w:tcPr>
            <w:tcW w:w="0" w:type="auto"/>
            <w:noWrap/>
            <w:vAlign w:val="center"/>
            <w:hideMark/>
          </w:tcPr>
          <w:p w14:paraId="0CB950AC"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0,00%</w:t>
            </w:r>
          </w:p>
        </w:tc>
      </w:tr>
      <w:tr w:rsidR="001800D8" w:rsidRPr="00DF5FFA" w14:paraId="359652DD"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F05A2D" w14:textId="77777777" w:rsidR="001800D8" w:rsidRPr="00DF5FFA" w:rsidRDefault="001800D8" w:rsidP="001800D8">
            <w:pPr>
              <w:jc w:val="center"/>
              <w:rPr>
                <w:rFonts w:ascii="Arial" w:hAnsi="Arial" w:cs="Arial"/>
                <w:color w:val="000000"/>
                <w:sz w:val="18"/>
                <w:szCs w:val="21"/>
              </w:rPr>
            </w:pPr>
            <w:r w:rsidRPr="00DF5FFA">
              <w:rPr>
                <w:rFonts w:ascii="Arial" w:hAnsi="Arial" w:cs="Arial"/>
                <w:color w:val="000000"/>
                <w:sz w:val="18"/>
                <w:szCs w:val="21"/>
              </w:rPr>
              <w:t>Financieros</w:t>
            </w:r>
          </w:p>
        </w:tc>
        <w:tc>
          <w:tcPr>
            <w:tcW w:w="0" w:type="auto"/>
            <w:noWrap/>
            <w:vAlign w:val="center"/>
            <w:hideMark/>
          </w:tcPr>
          <w:p w14:paraId="78C03727"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p>
        </w:tc>
        <w:tc>
          <w:tcPr>
            <w:tcW w:w="0" w:type="auto"/>
            <w:noWrap/>
            <w:vAlign w:val="center"/>
            <w:hideMark/>
          </w:tcPr>
          <w:p w14:paraId="0110C5F6"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7</w:t>
            </w:r>
          </w:p>
        </w:tc>
        <w:tc>
          <w:tcPr>
            <w:tcW w:w="0" w:type="auto"/>
            <w:noWrap/>
            <w:vAlign w:val="center"/>
            <w:hideMark/>
          </w:tcPr>
          <w:p w14:paraId="7B872C54"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$7.502</w:t>
            </w:r>
          </w:p>
        </w:tc>
        <w:tc>
          <w:tcPr>
            <w:tcW w:w="0" w:type="auto"/>
            <w:noWrap/>
            <w:vAlign w:val="center"/>
            <w:hideMark/>
          </w:tcPr>
          <w:p w14:paraId="0BBC9B0A"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$7.502</w:t>
            </w:r>
          </w:p>
        </w:tc>
        <w:tc>
          <w:tcPr>
            <w:tcW w:w="0" w:type="auto"/>
            <w:noWrap/>
            <w:vAlign w:val="center"/>
            <w:hideMark/>
          </w:tcPr>
          <w:p w14:paraId="5D948BB3"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w:t>
            </w:r>
          </w:p>
        </w:tc>
        <w:tc>
          <w:tcPr>
            <w:tcW w:w="0" w:type="auto"/>
            <w:noWrap/>
            <w:vAlign w:val="center"/>
            <w:hideMark/>
          </w:tcPr>
          <w:p w14:paraId="26C02D4B"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0,00%</w:t>
            </w:r>
          </w:p>
        </w:tc>
      </w:tr>
      <w:tr w:rsidR="001800D8" w:rsidRPr="00DF5FFA" w14:paraId="145C9CFB"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2F5C019" w14:textId="77777777" w:rsidR="001800D8" w:rsidRPr="00DF5FFA" w:rsidRDefault="001800D8" w:rsidP="001800D8">
            <w:pPr>
              <w:jc w:val="center"/>
              <w:rPr>
                <w:rFonts w:ascii="Arial" w:hAnsi="Arial" w:cs="Arial"/>
                <w:color w:val="000000"/>
                <w:sz w:val="18"/>
                <w:szCs w:val="21"/>
              </w:rPr>
            </w:pPr>
            <w:r w:rsidRPr="00DF5FFA">
              <w:rPr>
                <w:rFonts w:ascii="Arial" w:hAnsi="Arial" w:cs="Arial"/>
                <w:color w:val="000000"/>
                <w:sz w:val="18"/>
                <w:szCs w:val="21"/>
              </w:rPr>
              <w:t>Industriales</w:t>
            </w:r>
          </w:p>
        </w:tc>
        <w:tc>
          <w:tcPr>
            <w:tcW w:w="0" w:type="auto"/>
            <w:noWrap/>
            <w:vAlign w:val="center"/>
            <w:hideMark/>
          </w:tcPr>
          <w:p w14:paraId="08D77ACB"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p>
        </w:tc>
        <w:tc>
          <w:tcPr>
            <w:tcW w:w="0" w:type="auto"/>
            <w:noWrap/>
            <w:vAlign w:val="center"/>
            <w:hideMark/>
          </w:tcPr>
          <w:p w14:paraId="4D8E6CF3"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286</w:t>
            </w:r>
          </w:p>
        </w:tc>
        <w:tc>
          <w:tcPr>
            <w:tcW w:w="0" w:type="auto"/>
            <w:noWrap/>
            <w:vAlign w:val="center"/>
            <w:hideMark/>
          </w:tcPr>
          <w:p w14:paraId="6BF690C0"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$2.707</w:t>
            </w:r>
          </w:p>
        </w:tc>
        <w:tc>
          <w:tcPr>
            <w:tcW w:w="0" w:type="auto"/>
            <w:noWrap/>
            <w:vAlign w:val="center"/>
            <w:hideMark/>
          </w:tcPr>
          <w:p w14:paraId="6D1BF3DC"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$2.707</w:t>
            </w:r>
          </w:p>
        </w:tc>
        <w:tc>
          <w:tcPr>
            <w:tcW w:w="0" w:type="auto"/>
            <w:noWrap/>
            <w:vAlign w:val="center"/>
            <w:hideMark/>
          </w:tcPr>
          <w:p w14:paraId="64671E27"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w:t>
            </w:r>
          </w:p>
        </w:tc>
        <w:tc>
          <w:tcPr>
            <w:tcW w:w="0" w:type="auto"/>
            <w:noWrap/>
            <w:vAlign w:val="center"/>
            <w:hideMark/>
          </w:tcPr>
          <w:p w14:paraId="62FCB946"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0,00%</w:t>
            </w:r>
          </w:p>
        </w:tc>
      </w:tr>
      <w:tr w:rsidR="001800D8" w:rsidRPr="00DF5FFA" w14:paraId="2A8260D0"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FF07E6" w14:textId="77777777" w:rsidR="001800D8" w:rsidRPr="00DF5FFA" w:rsidRDefault="001800D8" w:rsidP="001800D8">
            <w:pPr>
              <w:jc w:val="center"/>
              <w:rPr>
                <w:rFonts w:ascii="Arial" w:hAnsi="Arial" w:cs="Arial"/>
                <w:color w:val="000000"/>
                <w:sz w:val="18"/>
                <w:szCs w:val="21"/>
              </w:rPr>
            </w:pPr>
            <w:r w:rsidRPr="00DF5FFA">
              <w:rPr>
                <w:rFonts w:ascii="Arial" w:hAnsi="Arial" w:cs="Arial"/>
                <w:color w:val="000000"/>
                <w:sz w:val="18"/>
                <w:szCs w:val="21"/>
              </w:rPr>
              <w:t>Depósitos y parqueaderos</w:t>
            </w:r>
          </w:p>
        </w:tc>
        <w:tc>
          <w:tcPr>
            <w:tcW w:w="0" w:type="auto"/>
            <w:noWrap/>
            <w:vAlign w:val="center"/>
            <w:hideMark/>
          </w:tcPr>
          <w:p w14:paraId="35DEDDAB"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p>
        </w:tc>
        <w:tc>
          <w:tcPr>
            <w:tcW w:w="0" w:type="auto"/>
            <w:noWrap/>
            <w:vAlign w:val="center"/>
            <w:hideMark/>
          </w:tcPr>
          <w:p w14:paraId="41EABE2A"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174</w:t>
            </w:r>
          </w:p>
        </w:tc>
        <w:tc>
          <w:tcPr>
            <w:tcW w:w="0" w:type="auto"/>
            <w:noWrap/>
            <w:vAlign w:val="center"/>
            <w:hideMark/>
          </w:tcPr>
          <w:p w14:paraId="658E3150"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$17</w:t>
            </w:r>
          </w:p>
        </w:tc>
        <w:tc>
          <w:tcPr>
            <w:tcW w:w="0" w:type="auto"/>
            <w:noWrap/>
            <w:vAlign w:val="center"/>
            <w:hideMark/>
          </w:tcPr>
          <w:p w14:paraId="1B06C506"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$17</w:t>
            </w:r>
          </w:p>
        </w:tc>
        <w:tc>
          <w:tcPr>
            <w:tcW w:w="0" w:type="auto"/>
            <w:noWrap/>
            <w:vAlign w:val="center"/>
            <w:hideMark/>
          </w:tcPr>
          <w:p w14:paraId="6DC12D6D"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w:t>
            </w:r>
          </w:p>
        </w:tc>
        <w:tc>
          <w:tcPr>
            <w:tcW w:w="0" w:type="auto"/>
            <w:noWrap/>
            <w:vAlign w:val="center"/>
            <w:hideMark/>
          </w:tcPr>
          <w:p w14:paraId="26F89BEB"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0,00%</w:t>
            </w:r>
          </w:p>
        </w:tc>
      </w:tr>
      <w:tr w:rsidR="001800D8" w:rsidRPr="00DF5FFA" w14:paraId="6E3054F8"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C8C841" w14:textId="77777777" w:rsidR="001800D8" w:rsidRPr="00DF5FFA" w:rsidRDefault="001800D8" w:rsidP="001800D8">
            <w:pPr>
              <w:jc w:val="center"/>
              <w:rPr>
                <w:rFonts w:ascii="Arial" w:hAnsi="Arial" w:cs="Arial"/>
                <w:color w:val="000000"/>
                <w:sz w:val="18"/>
                <w:szCs w:val="21"/>
              </w:rPr>
            </w:pPr>
            <w:r w:rsidRPr="00DF5FFA">
              <w:rPr>
                <w:rFonts w:ascii="Arial" w:hAnsi="Arial" w:cs="Arial"/>
                <w:color w:val="000000"/>
                <w:sz w:val="18"/>
                <w:szCs w:val="21"/>
              </w:rPr>
              <w:t>Lotes</w:t>
            </w:r>
          </w:p>
        </w:tc>
        <w:tc>
          <w:tcPr>
            <w:tcW w:w="0" w:type="auto"/>
            <w:noWrap/>
            <w:vAlign w:val="center"/>
            <w:hideMark/>
          </w:tcPr>
          <w:p w14:paraId="3FB74466"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p>
        </w:tc>
        <w:tc>
          <w:tcPr>
            <w:tcW w:w="0" w:type="auto"/>
            <w:noWrap/>
            <w:vAlign w:val="center"/>
            <w:hideMark/>
          </w:tcPr>
          <w:p w14:paraId="74C7CE46"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212</w:t>
            </w:r>
          </w:p>
        </w:tc>
        <w:tc>
          <w:tcPr>
            <w:tcW w:w="0" w:type="auto"/>
            <w:noWrap/>
            <w:vAlign w:val="center"/>
            <w:hideMark/>
          </w:tcPr>
          <w:p w14:paraId="30414FBD"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$8.625</w:t>
            </w:r>
          </w:p>
        </w:tc>
        <w:tc>
          <w:tcPr>
            <w:tcW w:w="0" w:type="auto"/>
            <w:noWrap/>
            <w:vAlign w:val="center"/>
            <w:hideMark/>
          </w:tcPr>
          <w:p w14:paraId="549CC653"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$8.625</w:t>
            </w:r>
          </w:p>
        </w:tc>
        <w:tc>
          <w:tcPr>
            <w:tcW w:w="0" w:type="auto"/>
            <w:noWrap/>
            <w:vAlign w:val="center"/>
            <w:hideMark/>
          </w:tcPr>
          <w:p w14:paraId="1D712EA1"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w:t>
            </w:r>
          </w:p>
        </w:tc>
        <w:tc>
          <w:tcPr>
            <w:tcW w:w="0" w:type="auto"/>
            <w:noWrap/>
            <w:vAlign w:val="center"/>
            <w:hideMark/>
          </w:tcPr>
          <w:p w14:paraId="1A168D1D"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0,00%</w:t>
            </w:r>
          </w:p>
        </w:tc>
      </w:tr>
      <w:tr w:rsidR="001800D8" w:rsidRPr="00DF5FFA" w14:paraId="1357F69C"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389A37" w14:textId="77777777" w:rsidR="001800D8" w:rsidRPr="00DF5FFA" w:rsidRDefault="001800D8" w:rsidP="001800D8">
            <w:pPr>
              <w:jc w:val="center"/>
              <w:rPr>
                <w:rFonts w:ascii="Arial" w:hAnsi="Arial" w:cs="Arial"/>
                <w:color w:val="000000"/>
                <w:sz w:val="18"/>
                <w:szCs w:val="21"/>
              </w:rPr>
            </w:pPr>
            <w:r w:rsidRPr="00DF5FFA">
              <w:rPr>
                <w:rFonts w:ascii="Arial" w:hAnsi="Arial" w:cs="Arial"/>
                <w:color w:val="000000"/>
                <w:sz w:val="18"/>
                <w:szCs w:val="21"/>
              </w:rPr>
              <w:t>Pequeña propiedad rural</w:t>
            </w:r>
          </w:p>
        </w:tc>
        <w:tc>
          <w:tcPr>
            <w:tcW w:w="0" w:type="auto"/>
            <w:noWrap/>
            <w:vAlign w:val="center"/>
            <w:hideMark/>
          </w:tcPr>
          <w:p w14:paraId="49810E04"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p>
        </w:tc>
        <w:tc>
          <w:tcPr>
            <w:tcW w:w="0" w:type="auto"/>
            <w:noWrap/>
            <w:vAlign w:val="center"/>
            <w:hideMark/>
          </w:tcPr>
          <w:p w14:paraId="770387B7"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w:t>
            </w:r>
          </w:p>
        </w:tc>
        <w:tc>
          <w:tcPr>
            <w:tcW w:w="0" w:type="auto"/>
            <w:noWrap/>
            <w:vAlign w:val="center"/>
            <w:hideMark/>
          </w:tcPr>
          <w:p w14:paraId="5D7A76A2"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w:t>
            </w:r>
          </w:p>
        </w:tc>
        <w:tc>
          <w:tcPr>
            <w:tcW w:w="0" w:type="auto"/>
            <w:noWrap/>
            <w:vAlign w:val="center"/>
            <w:hideMark/>
          </w:tcPr>
          <w:p w14:paraId="3E260822"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w:t>
            </w:r>
          </w:p>
        </w:tc>
        <w:tc>
          <w:tcPr>
            <w:tcW w:w="0" w:type="auto"/>
            <w:noWrap/>
            <w:vAlign w:val="center"/>
            <w:hideMark/>
          </w:tcPr>
          <w:p w14:paraId="5412CDAD"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w:t>
            </w:r>
          </w:p>
        </w:tc>
        <w:tc>
          <w:tcPr>
            <w:tcW w:w="0" w:type="auto"/>
            <w:noWrap/>
            <w:vAlign w:val="center"/>
            <w:hideMark/>
          </w:tcPr>
          <w:p w14:paraId="70695111"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0,00%</w:t>
            </w:r>
          </w:p>
        </w:tc>
      </w:tr>
      <w:tr w:rsidR="001800D8" w:rsidRPr="00DF5FFA" w14:paraId="5F20BD53"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09C74D9" w14:textId="77777777" w:rsidR="001800D8" w:rsidRPr="00DF5FFA" w:rsidRDefault="001800D8" w:rsidP="001800D8">
            <w:pPr>
              <w:jc w:val="center"/>
              <w:rPr>
                <w:rFonts w:ascii="Arial" w:hAnsi="Arial" w:cs="Arial"/>
                <w:color w:val="000000"/>
                <w:sz w:val="18"/>
                <w:szCs w:val="21"/>
              </w:rPr>
            </w:pPr>
            <w:r w:rsidRPr="00DF5FFA">
              <w:rPr>
                <w:rFonts w:ascii="Arial" w:hAnsi="Arial" w:cs="Arial"/>
                <w:color w:val="000000"/>
                <w:sz w:val="18"/>
                <w:szCs w:val="21"/>
              </w:rPr>
              <w:t>No urbanizables</w:t>
            </w:r>
          </w:p>
        </w:tc>
        <w:tc>
          <w:tcPr>
            <w:tcW w:w="0" w:type="auto"/>
            <w:noWrap/>
            <w:vAlign w:val="center"/>
            <w:hideMark/>
          </w:tcPr>
          <w:p w14:paraId="7D3B68D1"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p>
        </w:tc>
        <w:tc>
          <w:tcPr>
            <w:tcW w:w="0" w:type="auto"/>
            <w:noWrap/>
            <w:vAlign w:val="center"/>
            <w:hideMark/>
          </w:tcPr>
          <w:p w14:paraId="6B311EC5"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75</w:t>
            </w:r>
          </w:p>
        </w:tc>
        <w:tc>
          <w:tcPr>
            <w:tcW w:w="0" w:type="auto"/>
            <w:noWrap/>
            <w:vAlign w:val="center"/>
            <w:hideMark/>
          </w:tcPr>
          <w:p w14:paraId="56766DB7"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$42</w:t>
            </w:r>
          </w:p>
        </w:tc>
        <w:tc>
          <w:tcPr>
            <w:tcW w:w="0" w:type="auto"/>
            <w:noWrap/>
            <w:vAlign w:val="center"/>
            <w:hideMark/>
          </w:tcPr>
          <w:p w14:paraId="185BF2F4"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$42</w:t>
            </w:r>
          </w:p>
        </w:tc>
        <w:tc>
          <w:tcPr>
            <w:tcW w:w="0" w:type="auto"/>
            <w:noWrap/>
            <w:vAlign w:val="center"/>
            <w:hideMark/>
          </w:tcPr>
          <w:p w14:paraId="1A843C95"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w:t>
            </w:r>
          </w:p>
        </w:tc>
        <w:tc>
          <w:tcPr>
            <w:tcW w:w="0" w:type="auto"/>
            <w:noWrap/>
            <w:vAlign w:val="center"/>
            <w:hideMark/>
          </w:tcPr>
          <w:p w14:paraId="5E14CD9C"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0,00%</w:t>
            </w:r>
          </w:p>
        </w:tc>
      </w:tr>
      <w:tr w:rsidR="001800D8" w:rsidRPr="00DF5FFA" w14:paraId="1626C954"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0C0953" w14:textId="77777777" w:rsidR="001800D8" w:rsidRPr="00DF5FFA" w:rsidRDefault="001800D8" w:rsidP="001800D8">
            <w:pPr>
              <w:jc w:val="center"/>
              <w:rPr>
                <w:rFonts w:ascii="Arial" w:hAnsi="Arial" w:cs="Arial"/>
                <w:color w:val="000000"/>
                <w:sz w:val="18"/>
                <w:szCs w:val="21"/>
              </w:rPr>
            </w:pPr>
            <w:r w:rsidRPr="00DF5FFA">
              <w:rPr>
                <w:rFonts w:ascii="Arial" w:hAnsi="Arial" w:cs="Arial"/>
                <w:color w:val="000000"/>
                <w:sz w:val="18"/>
                <w:szCs w:val="21"/>
              </w:rPr>
              <w:t>Rurales</w:t>
            </w:r>
          </w:p>
        </w:tc>
        <w:tc>
          <w:tcPr>
            <w:tcW w:w="0" w:type="auto"/>
            <w:noWrap/>
            <w:vAlign w:val="center"/>
            <w:hideMark/>
          </w:tcPr>
          <w:p w14:paraId="16CE6569"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p>
        </w:tc>
        <w:tc>
          <w:tcPr>
            <w:tcW w:w="0" w:type="auto"/>
            <w:noWrap/>
            <w:vAlign w:val="center"/>
            <w:hideMark/>
          </w:tcPr>
          <w:p w14:paraId="07151FBA"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2</w:t>
            </w:r>
          </w:p>
        </w:tc>
        <w:tc>
          <w:tcPr>
            <w:tcW w:w="0" w:type="auto"/>
            <w:noWrap/>
            <w:vAlign w:val="center"/>
            <w:hideMark/>
          </w:tcPr>
          <w:p w14:paraId="506EC6FC"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$0</w:t>
            </w:r>
          </w:p>
        </w:tc>
        <w:tc>
          <w:tcPr>
            <w:tcW w:w="0" w:type="auto"/>
            <w:noWrap/>
            <w:vAlign w:val="center"/>
            <w:hideMark/>
          </w:tcPr>
          <w:p w14:paraId="44D49607"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$0</w:t>
            </w:r>
          </w:p>
        </w:tc>
        <w:tc>
          <w:tcPr>
            <w:tcW w:w="0" w:type="auto"/>
            <w:noWrap/>
            <w:vAlign w:val="center"/>
            <w:hideMark/>
          </w:tcPr>
          <w:p w14:paraId="2A8C5446"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w:t>
            </w:r>
          </w:p>
        </w:tc>
        <w:tc>
          <w:tcPr>
            <w:tcW w:w="0" w:type="auto"/>
            <w:noWrap/>
            <w:vAlign w:val="center"/>
            <w:hideMark/>
          </w:tcPr>
          <w:p w14:paraId="6489D114"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0,00%</w:t>
            </w:r>
          </w:p>
        </w:tc>
      </w:tr>
      <w:tr w:rsidR="001800D8" w:rsidRPr="00DF5FFA" w14:paraId="4F91D3B7" w14:textId="77777777" w:rsidTr="001800D8">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90665EB" w14:textId="77777777" w:rsidR="001800D8" w:rsidRPr="00DF5FFA" w:rsidRDefault="001800D8" w:rsidP="001800D8">
            <w:pPr>
              <w:jc w:val="center"/>
              <w:rPr>
                <w:rFonts w:ascii="Arial" w:hAnsi="Arial" w:cs="Arial"/>
                <w:color w:val="000000"/>
                <w:sz w:val="18"/>
                <w:szCs w:val="21"/>
              </w:rPr>
            </w:pPr>
            <w:r w:rsidRPr="00DF5FFA">
              <w:rPr>
                <w:rFonts w:ascii="Arial" w:hAnsi="Arial" w:cs="Arial"/>
                <w:color w:val="000000"/>
                <w:sz w:val="18"/>
                <w:szCs w:val="21"/>
              </w:rPr>
              <w:t>Áreas protegidas</w:t>
            </w:r>
          </w:p>
        </w:tc>
        <w:tc>
          <w:tcPr>
            <w:tcW w:w="0" w:type="auto"/>
            <w:noWrap/>
            <w:vAlign w:val="center"/>
            <w:hideMark/>
          </w:tcPr>
          <w:p w14:paraId="3580D05F"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p>
        </w:tc>
        <w:tc>
          <w:tcPr>
            <w:tcW w:w="0" w:type="auto"/>
            <w:noWrap/>
            <w:vAlign w:val="center"/>
            <w:hideMark/>
          </w:tcPr>
          <w:p w14:paraId="29C6AAD9"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1</w:t>
            </w:r>
          </w:p>
        </w:tc>
        <w:tc>
          <w:tcPr>
            <w:tcW w:w="0" w:type="auto"/>
            <w:noWrap/>
            <w:vAlign w:val="center"/>
            <w:hideMark/>
          </w:tcPr>
          <w:p w14:paraId="4595149C"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$4</w:t>
            </w:r>
          </w:p>
        </w:tc>
        <w:tc>
          <w:tcPr>
            <w:tcW w:w="0" w:type="auto"/>
            <w:noWrap/>
            <w:vAlign w:val="center"/>
            <w:hideMark/>
          </w:tcPr>
          <w:p w14:paraId="03446CFB"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$4</w:t>
            </w:r>
          </w:p>
        </w:tc>
        <w:tc>
          <w:tcPr>
            <w:tcW w:w="0" w:type="auto"/>
            <w:noWrap/>
            <w:vAlign w:val="center"/>
            <w:hideMark/>
          </w:tcPr>
          <w:p w14:paraId="73159785"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w:t>
            </w:r>
          </w:p>
        </w:tc>
        <w:tc>
          <w:tcPr>
            <w:tcW w:w="0" w:type="auto"/>
            <w:noWrap/>
            <w:vAlign w:val="center"/>
            <w:hideMark/>
          </w:tcPr>
          <w:p w14:paraId="1E62CE52" w14:textId="77777777" w:rsidR="001800D8" w:rsidRPr="00DF5FFA"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1"/>
              </w:rPr>
            </w:pPr>
            <w:r w:rsidRPr="00DF5FFA">
              <w:rPr>
                <w:rFonts w:ascii="Arial" w:hAnsi="Arial" w:cs="Arial"/>
                <w:color w:val="000000"/>
                <w:sz w:val="18"/>
                <w:szCs w:val="21"/>
              </w:rPr>
              <w:t>0,00%</w:t>
            </w:r>
          </w:p>
        </w:tc>
      </w:tr>
      <w:tr w:rsidR="001800D8" w:rsidRPr="00DF5FFA" w14:paraId="67E787F4" w14:textId="77777777" w:rsidTr="001800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2873E89A" w14:textId="77777777" w:rsidR="001800D8" w:rsidRPr="00DF5FFA" w:rsidRDefault="001800D8" w:rsidP="001800D8">
            <w:pPr>
              <w:jc w:val="center"/>
              <w:rPr>
                <w:rFonts w:ascii="Arial" w:hAnsi="Arial" w:cs="Arial"/>
                <w:color w:val="000000"/>
                <w:sz w:val="18"/>
                <w:szCs w:val="21"/>
              </w:rPr>
            </w:pPr>
            <w:r w:rsidRPr="00DF5FFA">
              <w:rPr>
                <w:rFonts w:ascii="Arial" w:hAnsi="Arial" w:cs="Arial"/>
                <w:bCs w:val="0"/>
                <w:color w:val="000000"/>
                <w:sz w:val="18"/>
                <w:szCs w:val="21"/>
              </w:rPr>
              <w:t>TOTAL</w:t>
            </w:r>
          </w:p>
        </w:tc>
        <w:tc>
          <w:tcPr>
            <w:tcW w:w="0" w:type="auto"/>
            <w:noWrap/>
            <w:vAlign w:val="center"/>
            <w:hideMark/>
          </w:tcPr>
          <w:p w14:paraId="01AF1C9D"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21"/>
              </w:rPr>
            </w:pPr>
            <w:r w:rsidRPr="00DF5FFA">
              <w:rPr>
                <w:rFonts w:ascii="Arial" w:hAnsi="Arial" w:cs="Arial"/>
                <w:b/>
                <w:bCs/>
                <w:color w:val="000000"/>
                <w:sz w:val="18"/>
                <w:szCs w:val="21"/>
              </w:rPr>
              <w:t>23.019</w:t>
            </w:r>
          </w:p>
        </w:tc>
        <w:tc>
          <w:tcPr>
            <w:tcW w:w="0" w:type="auto"/>
            <w:noWrap/>
            <w:vAlign w:val="center"/>
            <w:hideMark/>
          </w:tcPr>
          <w:p w14:paraId="35E95D25" w14:textId="77777777" w:rsidR="001800D8" w:rsidRPr="00546885"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21"/>
              </w:rPr>
            </w:pPr>
            <w:r w:rsidRPr="00546885">
              <w:rPr>
                <w:rFonts w:ascii="Arial" w:hAnsi="Arial" w:cs="Arial"/>
                <w:b/>
                <w:color w:val="000000"/>
                <w:sz w:val="18"/>
                <w:szCs w:val="21"/>
              </w:rPr>
              <w:t>$79.686</w:t>
            </w:r>
          </w:p>
        </w:tc>
        <w:tc>
          <w:tcPr>
            <w:tcW w:w="0" w:type="auto"/>
            <w:noWrap/>
            <w:vAlign w:val="center"/>
            <w:hideMark/>
          </w:tcPr>
          <w:p w14:paraId="54A7316E" w14:textId="77777777" w:rsidR="001800D8" w:rsidRPr="00546885"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21"/>
              </w:rPr>
            </w:pPr>
            <w:r w:rsidRPr="00546885">
              <w:rPr>
                <w:rFonts w:ascii="Arial" w:hAnsi="Arial" w:cs="Arial"/>
                <w:b/>
                <w:color w:val="000000"/>
                <w:sz w:val="18"/>
                <w:szCs w:val="21"/>
              </w:rPr>
              <w:t>$72.841</w:t>
            </w:r>
          </w:p>
        </w:tc>
        <w:tc>
          <w:tcPr>
            <w:tcW w:w="0" w:type="auto"/>
            <w:noWrap/>
            <w:vAlign w:val="center"/>
            <w:hideMark/>
          </w:tcPr>
          <w:p w14:paraId="2D202367" w14:textId="77777777" w:rsidR="001800D8" w:rsidRPr="00546885"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21"/>
              </w:rPr>
            </w:pPr>
            <w:r w:rsidRPr="00546885">
              <w:rPr>
                <w:rFonts w:ascii="Arial" w:hAnsi="Arial" w:cs="Arial"/>
                <w:b/>
                <w:color w:val="000000"/>
                <w:sz w:val="18"/>
                <w:szCs w:val="21"/>
              </w:rPr>
              <w:t>$6.845</w:t>
            </w:r>
          </w:p>
        </w:tc>
        <w:tc>
          <w:tcPr>
            <w:tcW w:w="0" w:type="auto"/>
            <w:noWrap/>
            <w:vAlign w:val="center"/>
            <w:hideMark/>
          </w:tcPr>
          <w:p w14:paraId="44FAE31C" w14:textId="77777777" w:rsidR="001800D8" w:rsidRPr="00DF5FFA"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21"/>
              </w:rPr>
            </w:pPr>
            <w:r w:rsidRPr="00DF5FFA">
              <w:rPr>
                <w:rFonts w:ascii="Arial" w:hAnsi="Arial" w:cs="Arial"/>
                <w:b/>
                <w:bCs/>
                <w:color w:val="000000"/>
                <w:sz w:val="18"/>
                <w:szCs w:val="21"/>
              </w:rPr>
              <w:t>8,59%</w:t>
            </w:r>
          </w:p>
        </w:tc>
      </w:tr>
    </w:tbl>
    <w:p w14:paraId="3857933A" w14:textId="77777777" w:rsidR="001800D8" w:rsidRDefault="001800D8" w:rsidP="001800D8">
      <w:pPr>
        <w:jc w:val="center"/>
        <w:rPr>
          <w:rFonts w:ascii="Arial" w:hAnsi="Arial" w:cs="Arial"/>
          <w:sz w:val="16"/>
          <w:szCs w:val="16"/>
          <w:lang w:val="es-ES"/>
        </w:rPr>
      </w:pPr>
      <w:r w:rsidRPr="00B7051F">
        <w:rPr>
          <w:rFonts w:ascii="Arial" w:hAnsi="Arial" w:cs="Arial"/>
          <w:sz w:val="16"/>
          <w:szCs w:val="16"/>
          <w:lang w:val="es-ES"/>
        </w:rPr>
        <w:t xml:space="preserve">Fuente: </w:t>
      </w:r>
      <w:r>
        <w:rPr>
          <w:rFonts w:ascii="Arial" w:hAnsi="Arial" w:cs="Arial"/>
          <w:sz w:val="16"/>
          <w:szCs w:val="16"/>
          <w:lang w:val="es-ES"/>
        </w:rPr>
        <w:t>Emisión Predial 2019. Cifras en millones de pesos a precios corrientes.</w:t>
      </w:r>
    </w:p>
    <w:p w14:paraId="12B7EE04" w14:textId="1886BC34" w:rsidR="001800D8" w:rsidRDefault="001800D8" w:rsidP="001800D8">
      <w:pPr>
        <w:jc w:val="center"/>
        <w:rPr>
          <w:rFonts w:ascii="Arial" w:hAnsi="Arial" w:cs="Arial"/>
          <w:sz w:val="16"/>
          <w:szCs w:val="16"/>
          <w:lang w:val="es-ES"/>
        </w:rPr>
      </w:pPr>
      <w:r>
        <w:rPr>
          <w:rFonts w:ascii="Arial" w:hAnsi="Arial" w:cs="Arial"/>
          <w:sz w:val="16"/>
          <w:szCs w:val="16"/>
          <w:lang w:val="es-ES"/>
        </w:rPr>
        <w:t>Cálculos y elaboración: Dirección de Impuestos de Bogotá – Secretaría Distrital de Hacienda.</w:t>
      </w:r>
    </w:p>
    <w:p w14:paraId="03EED0D0" w14:textId="77777777" w:rsidR="00F824B7" w:rsidRDefault="00F824B7" w:rsidP="001800D8">
      <w:pPr>
        <w:jc w:val="center"/>
        <w:rPr>
          <w:rFonts w:ascii="Arial" w:hAnsi="Arial" w:cs="Arial"/>
          <w:sz w:val="16"/>
          <w:szCs w:val="16"/>
          <w:lang w:val="es-ES"/>
        </w:rPr>
      </w:pPr>
    </w:p>
    <w:p w14:paraId="3532D00B" w14:textId="77777777" w:rsidR="001800D8" w:rsidRPr="008C69B2" w:rsidRDefault="001800D8" w:rsidP="001800D8">
      <w:pPr>
        <w:jc w:val="both"/>
        <w:rPr>
          <w:rFonts w:ascii="Arial" w:hAnsi="Arial"/>
          <w:lang w:val="es-ES"/>
        </w:rPr>
      </w:pPr>
    </w:p>
    <w:p w14:paraId="7963FF7F" w14:textId="24EBC50B" w:rsidR="001800D8" w:rsidRPr="001800D8" w:rsidRDefault="001800D8" w:rsidP="001800D8">
      <w:pPr>
        <w:jc w:val="both"/>
        <w:rPr>
          <w:rFonts w:ascii="Arial" w:hAnsi="Arial" w:cs="Arial"/>
          <w:sz w:val="24"/>
          <w:szCs w:val="24"/>
        </w:rPr>
      </w:pPr>
      <w:r w:rsidRPr="001800D8">
        <w:rPr>
          <w:rFonts w:ascii="Arial" w:hAnsi="Arial" w:cs="Arial"/>
          <w:sz w:val="24"/>
          <w:szCs w:val="24"/>
        </w:rPr>
        <w:t xml:space="preserve">Así, el </w:t>
      </w:r>
      <w:r w:rsidR="00026D19">
        <w:rPr>
          <w:rFonts w:ascii="Arial" w:hAnsi="Arial" w:cs="Arial"/>
          <w:sz w:val="24"/>
          <w:szCs w:val="24"/>
        </w:rPr>
        <w:t>menor recaudo esperado</w:t>
      </w:r>
      <w:r w:rsidRPr="001800D8">
        <w:rPr>
          <w:rFonts w:ascii="Arial" w:hAnsi="Arial" w:cs="Arial"/>
          <w:sz w:val="24"/>
          <w:szCs w:val="24"/>
        </w:rPr>
        <w:t xml:space="preserve"> </w:t>
      </w:r>
      <w:r w:rsidR="00026D19">
        <w:rPr>
          <w:rFonts w:ascii="Arial" w:hAnsi="Arial" w:cs="Arial"/>
          <w:sz w:val="24"/>
          <w:szCs w:val="24"/>
        </w:rPr>
        <w:t xml:space="preserve">derivado </w:t>
      </w:r>
      <w:r w:rsidRPr="001800D8">
        <w:rPr>
          <w:rFonts w:ascii="Arial" w:hAnsi="Arial" w:cs="Arial"/>
          <w:sz w:val="24"/>
          <w:szCs w:val="24"/>
        </w:rPr>
        <w:t>de los límites de crecimiento del impuesto</w:t>
      </w:r>
      <w:r w:rsidR="00026D19">
        <w:rPr>
          <w:rFonts w:ascii="Arial" w:hAnsi="Arial" w:cs="Arial"/>
          <w:sz w:val="24"/>
          <w:szCs w:val="24"/>
        </w:rPr>
        <w:t xml:space="preserve"> aprobados por el gobierno nacional, mediante la Ley 1995 de 2019</w:t>
      </w:r>
      <w:r w:rsidRPr="001800D8">
        <w:rPr>
          <w:rFonts w:ascii="Arial" w:hAnsi="Arial" w:cs="Arial"/>
          <w:sz w:val="24"/>
          <w:szCs w:val="24"/>
        </w:rPr>
        <w:t xml:space="preserve"> asciende a $</w:t>
      </w:r>
      <w:r w:rsidR="00026D19">
        <w:rPr>
          <w:rFonts w:ascii="Arial" w:hAnsi="Arial" w:cs="Arial"/>
          <w:sz w:val="24"/>
          <w:szCs w:val="24"/>
        </w:rPr>
        <w:t>87</w:t>
      </w:r>
      <w:r w:rsidRPr="001800D8">
        <w:rPr>
          <w:rFonts w:ascii="Arial" w:hAnsi="Arial" w:cs="Arial"/>
          <w:sz w:val="24"/>
          <w:szCs w:val="24"/>
        </w:rPr>
        <w:t xml:space="preserve"> mil millones de pesos, que representan un alivio en la tributación de los bogotanos.</w:t>
      </w:r>
    </w:p>
    <w:p w14:paraId="0C4DB29C" w14:textId="77777777" w:rsidR="001800D8" w:rsidRPr="001800D8" w:rsidRDefault="001800D8" w:rsidP="001800D8">
      <w:pPr>
        <w:jc w:val="both"/>
        <w:rPr>
          <w:rFonts w:ascii="Arial" w:hAnsi="Arial" w:cs="Arial"/>
          <w:sz w:val="24"/>
          <w:szCs w:val="24"/>
        </w:rPr>
      </w:pPr>
    </w:p>
    <w:p w14:paraId="1BC9CDBC" w14:textId="2B5BEEFB" w:rsidR="001800D8" w:rsidRPr="001800D8" w:rsidRDefault="001800D8" w:rsidP="001800D8">
      <w:pPr>
        <w:jc w:val="both"/>
        <w:rPr>
          <w:rFonts w:ascii="Arial" w:hAnsi="Arial" w:cs="Arial"/>
          <w:sz w:val="24"/>
          <w:szCs w:val="24"/>
        </w:rPr>
      </w:pPr>
      <w:r w:rsidRPr="001800D8">
        <w:rPr>
          <w:rFonts w:ascii="Arial" w:hAnsi="Arial" w:cs="Arial"/>
          <w:sz w:val="24"/>
          <w:szCs w:val="24"/>
        </w:rPr>
        <w:t xml:space="preserve">Se propone al honorable Concejo de la ciudad una cláusula de condición </w:t>
      </w:r>
      <w:r w:rsidR="000D6B2C" w:rsidRPr="001800D8">
        <w:rPr>
          <w:rFonts w:ascii="Arial" w:hAnsi="Arial" w:cs="Arial"/>
          <w:sz w:val="24"/>
          <w:szCs w:val="24"/>
        </w:rPr>
        <w:t>más</w:t>
      </w:r>
      <w:r w:rsidRPr="001800D8">
        <w:rPr>
          <w:rFonts w:ascii="Arial" w:hAnsi="Arial" w:cs="Arial"/>
          <w:sz w:val="24"/>
          <w:szCs w:val="24"/>
        </w:rPr>
        <w:t xml:space="preserve"> beneficiosa al contribuyente, referida a señalar que durante la vigencia de la Ley 1995, la cual se define en 5 años, también se encuentran vigentes los limites adoptados por el Acuerdo 648 de 2016 y por el presente proyecto. Lo anterior se explica en la medida en que eventualmente pueden existir casos donde los </w:t>
      </w:r>
      <w:r w:rsidR="000D6B2C" w:rsidRPr="001800D8">
        <w:rPr>
          <w:rFonts w:ascii="Arial" w:hAnsi="Arial" w:cs="Arial"/>
          <w:sz w:val="24"/>
          <w:szCs w:val="24"/>
        </w:rPr>
        <w:t>límites</w:t>
      </w:r>
      <w:r w:rsidRPr="001800D8">
        <w:rPr>
          <w:rFonts w:ascii="Arial" w:hAnsi="Arial" w:cs="Arial"/>
          <w:sz w:val="24"/>
          <w:szCs w:val="24"/>
        </w:rPr>
        <w:t xml:space="preserve"> que el Distrito Capital tiene adoptados son </w:t>
      </w:r>
      <w:r w:rsidR="000D6B2C" w:rsidRPr="001800D8">
        <w:rPr>
          <w:rFonts w:ascii="Arial" w:hAnsi="Arial" w:cs="Arial"/>
          <w:sz w:val="24"/>
          <w:szCs w:val="24"/>
        </w:rPr>
        <w:t>más</w:t>
      </w:r>
      <w:r w:rsidRPr="001800D8">
        <w:rPr>
          <w:rFonts w:ascii="Arial" w:hAnsi="Arial" w:cs="Arial"/>
          <w:sz w:val="24"/>
          <w:szCs w:val="24"/>
        </w:rPr>
        <w:t xml:space="preserve"> favorables que los </w:t>
      </w:r>
      <w:r w:rsidR="000D6B2C" w:rsidRPr="001800D8">
        <w:rPr>
          <w:rFonts w:ascii="Arial" w:hAnsi="Arial" w:cs="Arial"/>
          <w:sz w:val="24"/>
          <w:szCs w:val="24"/>
        </w:rPr>
        <w:t>límites</w:t>
      </w:r>
      <w:r w:rsidRPr="001800D8">
        <w:rPr>
          <w:rFonts w:ascii="Arial" w:hAnsi="Arial" w:cs="Arial"/>
          <w:sz w:val="24"/>
          <w:szCs w:val="24"/>
        </w:rPr>
        <w:t xml:space="preserve"> de crecimientos adoptados por la Ley 1995.</w:t>
      </w:r>
    </w:p>
    <w:p w14:paraId="4E2CEFF8" w14:textId="39FF03AD" w:rsidR="001800D8" w:rsidRPr="001800D8" w:rsidRDefault="001800D8" w:rsidP="001800D8">
      <w:pPr>
        <w:jc w:val="both"/>
        <w:rPr>
          <w:rFonts w:ascii="Arial" w:hAnsi="Arial" w:cs="Arial"/>
          <w:sz w:val="24"/>
          <w:szCs w:val="24"/>
        </w:rPr>
      </w:pPr>
      <w:r w:rsidRPr="001800D8">
        <w:rPr>
          <w:rFonts w:ascii="Arial" w:hAnsi="Arial" w:cs="Arial"/>
          <w:sz w:val="24"/>
          <w:szCs w:val="24"/>
        </w:rPr>
        <w:lastRenderedPageBreak/>
        <w:t xml:space="preserve">De no incorporar tal garantía, puede tener lugar un mayor incremento en vigencia de la </w:t>
      </w:r>
      <w:r w:rsidR="00842E33">
        <w:rPr>
          <w:rFonts w:ascii="Arial" w:hAnsi="Arial" w:cs="Arial"/>
          <w:sz w:val="24"/>
          <w:szCs w:val="24"/>
        </w:rPr>
        <w:t>L</w:t>
      </w:r>
      <w:r w:rsidRPr="001800D8">
        <w:rPr>
          <w:rFonts w:ascii="Arial" w:hAnsi="Arial" w:cs="Arial"/>
          <w:sz w:val="24"/>
          <w:szCs w:val="24"/>
        </w:rPr>
        <w:t xml:space="preserve">ey 1995 que en vigencia del Acuerdo 648 </w:t>
      </w:r>
      <w:r w:rsidR="000D6B2C" w:rsidRPr="001800D8">
        <w:rPr>
          <w:rFonts w:ascii="Arial" w:hAnsi="Arial" w:cs="Arial"/>
          <w:sz w:val="24"/>
          <w:szCs w:val="24"/>
        </w:rPr>
        <w:t>de 2016</w:t>
      </w:r>
      <w:r w:rsidRPr="001800D8">
        <w:rPr>
          <w:rFonts w:ascii="Arial" w:hAnsi="Arial" w:cs="Arial"/>
          <w:sz w:val="24"/>
          <w:szCs w:val="24"/>
        </w:rPr>
        <w:t xml:space="preserve"> y de los límites del presente proyecto de acuerdo.</w:t>
      </w:r>
    </w:p>
    <w:p w14:paraId="2CFECC85" w14:textId="77777777" w:rsidR="001800D8" w:rsidRPr="001800D8" w:rsidRDefault="001800D8" w:rsidP="001800D8">
      <w:pPr>
        <w:jc w:val="both"/>
        <w:rPr>
          <w:rFonts w:ascii="Arial" w:hAnsi="Arial" w:cs="Arial"/>
          <w:sz w:val="24"/>
          <w:szCs w:val="24"/>
        </w:rPr>
      </w:pPr>
    </w:p>
    <w:p w14:paraId="475B46E0" w14:textId="57854A01" w:rsidR="008E1D1A" w:rsidRPr="00285BA5" w:rsidRDefault="001800D8" w:rsidP="008E1D1A">
      <w:pPr>
        <w:jc w:val="both"/>
        <w:rPr>
          <w:rStyle w:val="Textoennegrita"/>
          <w:rFonts w:ascii="Arial" w:hAnsi="Arial" w:cs="Arial"/>
          <w:b w:val="0"/>
          <w:sz w:val="24"/>
          <w:szCs w:val="24"/>
        </w:rPr>
      </w:pPr>
      <w:r w:rsidRPr="001800D8">
        <w:rPr>
          <w:rFonts w:ascii="Arial" w:hAnsi="Arial"/>
          <w:sz w:val="24"/>
          <w:szCs w:val="24"/>
        </w:rPr>
        <w:t>Finalmente, es importante resaltar que, si bien se espera una menor facturación del impuesto como consecuencia de los nuevos límites de crecimiento del impuesto, se espera igualmente que este alivio en la tributación de los hogares bogotanos se refleje en una mayor tasa de cumplimiento de las obligaciones tributarias de los contribuyentes obligados al pago de este tributo. Lo anterior, por cuanto esta medida busca alinear la capacidad de pago de los hogares con el nivel nominal del tributo a pagar, a la vez que se cuentan con medidas de alivio de flujo de caja como el Sistema de Pago Alternativo por Cuotas Voluntario (SPAC) incluido en el Acuerdo Distrital 648 de 2016. En el corto y mediano plazo, este tipo de impactos en la tasa de cumplimiento son positivos para la ciudad porque el cumplimiento voluntario de las obligaciones de los contribuyentes es el mejor indicador de eficiencia de la administración tributaria</w:t>
      </w:r>
      <w:r w:rsidRPr="001800D8">
        <w:rPr>
          <w:rFonts w:ascii="Arial" w:hAnsi="Arial" w:cs="Arial"/>
          <w:sz w:val="24"/>
          <w:szCs w:val="24"/>
        </w:rPr>
        <w:t>.</w:t>
      </w:r>
    </w:p>
    <w:p w14:paraId="63A007DF" w14:textId="7BCD7EB2" w:rsidR="008E1D1A" w:rsidRDefault="008E1D1A" w:rsidP="008E1D1A">
      <w:pPr>
        <w:jc w:val="both"/>
        <w:rPr>
          <w:rFonts w:ascii="Arial" w:hAnsi="Arial" w:cs="Arial"/>
          <w:b/>
          <w:sz w:val="24"/>
          <w:szCs w:val="24"/>
        </w:rPr>
      </w:pPr>
    </w:p>
    <w:p w14:paraId="15826947" w14:textId="77777777" w:rsidR="00F824B7" w:rsidRPr="008E1D1A" w:rsidRDefault="00F824B7" w:rsidP="008E1D1A">
      <w:pPr>
        <w:jc w:val="both"/>
        <w:rPr>
          <w:rFonts w:ascii="Arial" w:hAnsi="Arial" w:cs="Arial"/>
          <w:b/>
          <w:sz w:val="24"/>
          <w:szCs w:val="24"/>
        </w:rPr>
      </w:pPr>
    </w:p>
    <w:p w14:paraId="373584F2" w14:textId="4738A85E" w:rsidR="00C2462F" w:rsidRPr="00BE0F8F" w:rsidRDefault="00C2462F" w:rsidP="008E1D1A">
      <w:pPr>
        <w:pStyle w:val="Prrafodelista"/>
        <w:numPr>
          <w:ilvl w:val="0"/>
          <w:numId w:val="18"/>
        </w:numPr>
        <w:jc w:val="both"/>
        <w:rPr>
          <w:rFonts w:ascii="Arial" w:hAnsi="Arial" w:cs="Arial"/>
          <w:b/>
          <w:sz w:val="24"/>
          <w:szCs w:val="24"/>
        </w:rPr>
      </w:pPr>
      <w:r w:rsidRPr="00BE0F8F">
        <w:rPr>
          <w:rFonts w:ascii="Arial" w:hAnsi="Arial" w:cs="Arial"/>
          <w:b/>
          <w:sz w:val="24"/>
          <w:szCs w:val="24"/>
        </w:rPr>
        <w:t>Adopción del</w:t>
      </w:r>
      <w:r w:rsidRPr="00BE0F8F">
        <w:rPr>
          <w:rFonts w:ascii="Arial" w:hAnsi="Arial" w:cs="Arial"/>
          <w:sz w:val="24"/>
          <w:szCs w:val="24"/>
        </w:rPr>
        <w:t xml:space="preserve"> </w:t>
      </w:r>
      <w:r w:rsidR="007730FB">
        <w:rPr>
          <w:rFonts w:ascii="Arial" w:hAnsi="Arial" w:cs="Arial"/>
          <w:b/>
          <w:sz w:val="24"/>
          <w:szCs w:val="24"/>
        </w:rPr>
        <w:t>I</w:t>
      </w:r>
      <w:r w:rsidRPr="00BE0F8F">
        <w:rPr>
          <w:rFonts w:ascii="Arial" w:hAnsi="Arial" w:cs="Arial"/>
          <w:b/>
          <w:sz w:val="24"/>
          <w:szCs w:val="24"/>
        </w:rPr>
        <w:t xml:space="preserve">mpuesto </w:t>
      </w:r>
      <w:r w:rsidR="007730FB">
        <w:rPr>
          <w:rFonts w:ascii="Arial" w:hAnsi="Arial" w:cs="Arial"/>
          <w:b/>
          <w:sz w:val="24"/>
          <w:szCs w:val="24"/>
        </w:rPr>
        <w:t>U</w:t>
      </w:r>
      <w:r w:rsidRPr="00BE0F8F">
        <w:rPr>
          <w:rFonts w:ascii="Arial" w:hAnsi="Arial" w:cs="Arial"/>
          <w:b/>
          <w:sz w:val="24"/>
          <w:szCs w:val="24"/>
        </w:rPr>
        <w:t xml:space="preserve">nificado bajo el </w:t>
      </w:r>
      <w:r w:rsidR="001511C1">
        <w:rPr>
          <w:rFonts w:ascii="Arial" w:hAnsi="Arial" w:cs="Arial"/>
          <w:b/>
          <w:sz w:val="24"/>
          <w:szCs w:val="24"/>
        </w:rPr>
        <w:t>Régimen Simple de Tributación (SIMPLE)</w:t>
      </w:r>
      <w:r w:rsidRPr="00BE0F8F">
        <w:rPr>
          <w:rFonts w:ascii="Arial" w:hAnsi="Arial" w:cs="Arial"/>
          <w:b/>
          <w:sz w:val="24"/>
          <w:szCs w:val="24"/>
        </w:rPr>
        <w:t xml:space="preserve"> para la formalización y la generación de empleo contenido en el Libro Octavo del Estatuto Tributario Nacional.</w:t>
      </w:r>
    </w:p>
    <w:p w14:paraId="1B3A082A" w14:textId="37546546" w:rsidR="00B53E5E" w:rsidRPr="00285BA5" w:rsidRDefault="00B53E5E" w:rsidP="00C2462F">
      <w:pPr>
        <w:jc w:val="both"/>
        <w:rPr>
          <w:rFonts w:ascii="Arial" w:hAnsi="Arial" w:cs="Arial"/>
          <w:b/>
          <w:sz w:val="24"/>
          <w:szCs w:val="24"/>
        </w:rPr>
      </w:pPr>
    </w:p>
    <w:p w14:paraId="2D01D5D5" w14:textId="77777777" w:rsidR="001800D8" w:rsidRPr="001800D8" w:rsidRDefault="001800D8" w:rsidP="001800D8">
      <w:pPr>
        <w:jc w:val="both"/>
        <w:rPr>
          <w:rFonts w:ascii="Arial" w:hAnsi="Arial"/>
          <w:color w:val="000000"/>
          <w:sz w:val="24"/>
          <w:szCs w:val="24"/>
          <w:lang w:val="es-CO"/>
        </w:rPr>
      </w:pPr>
      <w:r w:rsidRPr="001800D8">
        <w:rPr>
          <w:rFonts w:ascii="Arial" w:hAnsi="Arial"/>
          <w:sz w:val="24"/>
          <w:szCs w:val="24"/>
        </w:rPr>
        <w:t xml:space="preserve">En la recientemente expedida Ley 1943 de 2018, se creó el Régimen Simple de Tributación, en adelante SIMPLE, con el objetivo de reducir </w:t>
      </w:r>
      <w:r w:rsidRPr="001800D8">
        <w:rPr>
          <w:rFonts w:ascii="Arial" w:hAnsi="Arial"/>
          <w:color w:val="000000"/>
          <w:sz w:val="24"/>
          <w:szCs w:val="24"/>
          <w:lang w:val="es-CO"/>
        </w:rPr>
        <w:t xml:space="preserve">las cargas formales y sustanciales, impulsar la formalidad y, en general, simplificar y facilitar el cumplimiento de la obligación tributaria de los contribuyentes que voluntariamente se acojan al régimen previsto en el libro octavo del Estatuto Tributario Nacional. </w:t>
      </w:r>
    </w:p>
    <w:p w14:paraId="3A750BFE" w14:textId="77777777" w:rsidR="001800D8" w:rsidRPr="001800D8" w:rsidRDefault="001800D8" w:rsidP="001800D8">
      <w:pPr>
        <w:jc w:val="both"/>
        <w:rPr>
          <w:rFonts w:ascii="Arial" w:hAnsi="Arial"/>
          <w:color w:val="000000"/>
          <w:sz w:val="24"/>
          <w:szCs w:val="24"/>
          <w:lang w:val="es-CO"/>
        </w:rPr>
      </w:pPr>
    </w:p>
    <w:p w14:paraId="3759F148" w14:textId="77777777" w:rsidR="001800D8" w:rsidRPr="001800D8" w:rsidRDefault="001800D8" w:rsidP="001800D8">
      <w:pPr>
        <w:jc w:val="both"/>
        <w:rPr>
          <w:rFonts w:ascii="Arial" w:hAnsi="Arial"/>
          <w:color w:val="000000"/>
          <w:sz w:val="24"/>
          <w:szCs w:val="24"/>
          <w:lang w:val="es-CO"/>
        </w:rPr>
      </w:pPr>
      <w:r w:rsidRPr="001800D8">
        <w:rPr>
          <w:rFonts w:ascii="Arial" w:hAnsi="Arial"/>
          <w:color w:val="000000"/>
          <w:sz w:val="24"/>
          <w:szCs w:val="24"/>
          <w:lang w:val="es-CO"/>
        </w:rPr>
        <w:t xml:space="preserve">El SIMPLE es un modelo de tributación opcional de determinación integral, de causación anual y pago bimensual, que sustituye el impuesto sobre la renta y complementarios, el impuesto al consumo, el impuesto de industria y comercio y su complementario de avisos y tableros, a cargo de los contribuyentes que opten voluntariamente por acogerse al mismo. </w:t>
      </w:r>
    </w:p>
    <w:p w14:paraId="108A211D" w14:textId="77777777" w:rsidR="001800D8" w:rsidRPr="001800D8" w:rsidRDefault="001800D8" w:rsidP="001800D8">
      <w:pPr>
        <w:jc w:val="both"/>
        <w:rPr>
          <w:rFonts w:ascii="Arial" w:hAnsi="Arial"/>
          <w:color w:val="000000"/>
          <w:sz w:val="24"/>
          <w:szCs w:val="24"/>
          <w:lang w:val="es-CO"/>
        </w:rPr>
      </w:pPr>
    </w:p>
    <w:p w14:paraId="1E2513BA" w14:textId="77777777" w:rsidR="001800D8" w:rsidRPr="001800D8" w:rsidRDefault="001800D8" w:rsidP="001800D8">
      <w:pPr>
        <w:jc w:val="both"/>
        <w:rPr>
          <w:rFonts w:ascii="Arial" w:hAnsi="Arial"/>
          <w:color w:val="000000"/>
          <w:sz w:val="24"/>
          <w:szCs w:val="24"/>
          <w:lang w:val="es-CO"/>
        </w:rPr>
      </w:pPr>
      <w:r w:rsidRPr="001800D8">
        <w:rPr>
          <w:rFonts w:ascii="Arial" w:hAnsi="Arial"/>
          <w:color w:val="000000"/>
          <w:sz w:val="24"/>
          <w:szCs w:val="24"/>
          <w:lang w:val="es-CO"/>
        </w:rPr>
        <w:t>Según se indica en la exposición de motivos de la Ley 1943 de 2018 la propuesta busca avanzar en la formalización empresarial a través de la simplificación en la tributación, tanto en el cumplimiento de la obligación sustancial como en la obligación formal de declarar.</w:t>
      </w:r>
    </w:p>
    <w:p w14:paraId="0F729745" w14:textId="77777777" w:rsidR="001800D8" w:rsidRPr="001800D8" w:rsidRDefault="001800D8" w:rsidP="001800D8">
      <w:pPr>
        <w:jc w:val="both"/>
        <w:rPr>
          <w:rFonts w:ascii="Arial" w:hAnsi="Arial"/>
          <w:color w:val="000000"/>
          <w:sz w:val="24"/>
          <w:szCs w:val="24"/>
          <w:lang w:val="es-CO"/>
        </w:rPr>
      </w:pPr>
    </w:p>
    <w:p w14:paraId="3A21FD98" w14:textId="77777777" w:rsidR="001800D8" w:rsidRPr="001800D8" w:rsidRDefault="001800D8" w:rsidP="001800D8">
      <w:pPr>
        <w:jc w:val="both"/>
        <w:rPr>
          <w:rFonts w:ascii="Arial" w:hAnsi="Arial"/>
          <w:color w:val="000000"/>
          <w:sz w:val="24"/>
          <w:szCs w:val="24"/>
          <w:lang w:val="es-CO"/>
        </w:rPr>
      </w:pPr>
      <w:r w:rsidRPr="001800D8">
        <w:rPr>
          <w:rFonts w:ascii="Arial" w:hAnsi="Arial"/>
          <w:color w:val="000000"/>
          <w:sz w:val="24"/>
          <w:szCs w:val="24"/>
          <w:lang w:val="es-CO"/>
        </w:rPr>
        <w:t xml:space="preserve">Proponemos en este aparte del SIMPLE ver la tendencia del recaudo del ICA en el Distrito Capital durante el último decenio, frente a la dinámica económica de la </w:t>
      </w:r>
      <w:r w:rsidRPr="001800D8">
        <w:rPr>
          <w:rFonts w:ascii="Arial" w:hAnsi="Arial"/>
          <w:color w:val="000000"/>
          <w:sz w:val="24"/>
          <w:szCs w:val="24"/>
          <w:lang w:val="es-CO"/>
        </w:rPr>
        <w:lastRenderedPageBreak/>
        <w:t>ciudad y el comportamiento del recaudo nacional de este tributo; y presentamos los hechos estilizados para tener en cuenta en el cálculo de las tarifas ICA consolidado.</w:t>
      </w:r>
    </w:p>
    <w:p w14:paraId="72E5A651" w14:textId="77777777" w:rsidR="00324AD9" w:rsidRDefault="00324AD9" w:rsidP="00324AD9">
      <w:pPr>
        <w:rPr>
          <w:rFonts w:ascii="Arial" w:hAnsi="Arial" w:cs="Arial"/>
          <w:b/>
          <w:bCs/>
          <w:sz w:val="24"/>
          <w:szCs w:val="24"/>
          <w:lang w:val="es-ES"/>
        </w:rPr>
      </w:pPr>
    </w:p>
    <w:p w14:paraId="40E92CEA" w14:textId="69F8ED5D" w:rsidR="001800D8" w:rsidRPr="00324AD9" w:rsidRDefault="001800D8" w:rsidP="00324AD9">
      <w:pPr>
        <w:pStyle w:val="Prrafodelista"/>
        <w:numPr>
          <w:ilvl w:val="0"/>
          <w:numId w:val="22"/>
        </w:numPr>
        <w:rPr>
          <w:rFonts w:ascii="Arial" w:hAnsi="Arial" w:cs="Arial"/>
          <w:b/>
          <w:bCs/>
          <w:sz w:val="24"/>
          <w:szCs w:val="24"/>
          <w:lang w:val="es-ES"/>
        </w:rPr>
      </w:pPr>
      <w:r w:rsidRPr="00324AD9">
        <w:rPr>
          <w:rFonts w:ascii="Arial" w:hAnsi="Arial" w:cs="Arial"/>
          <w:b/>
          <w:bCs/>
          <w:sz w:val="24"/>
          <w:szCs w:val="24"/>
          <w:lang w:val="es-ES"/>
        </w:rPr>
        <w:t>Tendencia reciente del recaudo del ICA en Bogotá</w:t>
      </w:r>
    </w:p>
    <w:p w14:paraId="4C6CE067" w14:textId="77777777" w:rsidR="001800D8" w:rsidRPr="001800D8" w:rsidRDefault="001800D8" w:rsidP="001800D8">
      <w:pPr>
        <w:jc w:val="both"/>
        <w:rPr>
          <w:rFonts w:ascii="Arial" w:hAnsi="Arial"/>
          <w:sz w:val="24"/>
          <w:szCs w:val="24"/>
          <w:lang w:val="es-ES"/>
        </w:rPr>
      </w:pPr>
    </w:p>
    <w:p w14:paraId="07E9AFA1" w14:textId="77777777" w:rsidR="001800D8" w:rsidRPr="001800D8" w:rsidRDefault="001800D8" w:rsidP="001800D8">
      <w:pPr>
        <w:jc w:val="both"/>
        <w:rPr>
          <w:rFonts w:ascii="Arial" w:hAnsi="Arial"/>
          <w:color w:val="000000"/>
          <w:sz w:val="24"/>
          <w:szCs w:val="24"/>
          <w:lang w:val="es-CO"/>
        </w:rPr>
      </w:pPr>
      <w:r w:rsidRPr="001800D8">
        <w:rPr>
          <w:rFonts w:ascii="Arial" w:hAnsi="Arial"/>
          <w:color w:val="000000"/>
          <w:sz w:val="24"/>
          <w:szCs w:val="24"/>
          <w:lang w:val="es-CO"/>
        </w:rPr>
        <w:t>La pérdida de dinamismo del recaudo parece tener una tendencia estructural. Desde 2008, los ingresos por ICA han perdido participación en el PIB de la ciudad (Gráfico 1). En todo caso, se trata de un comportamiento gradual: como porcentaje del PIB el recaudo bajó de 1,63% en 2008 a 1,47% en 2018. La relocalización de empresas en zonas francas de municipios aledaños al Distrito, el cambio en las normas que determinan la territorialidad del tributo, el costo de los servicios públicos, las normas ambientales, los costos de transporte y los incentivos tributarios, parecen ser factores que explican el menor dinamismo observado.</w:t>
      </w:r>
    </w:p>
    <w:p w14:paraId="2B036FA8" w14:textId="77777777" w:rsidR="001800D8" w:rsidRPr="001800D8" w:rsidRDefault="001800D8" w:rsidP="001800D8">
      <w:pPr>
        <w:jc w:val="both"/>
        <w:rPr>
          <w:rFonts w:ascii="Arial" w:hAnsi="Arial"/>
          <w:b/>
          <w:sz w:val="24"/>
          <w:szCs w:val="24"/>
          <w:lang w:val="es-ES"/>
        </w:rPr>
      </w:pPr>
    </w:p>
    <w:p w14:paraId="3DDF5467" w14:textId="768E17C9" w:rsidR="001800D8" w:rsidRDefault="001800D8" w:rsidP="001800D8">
      <w:pPr>
        <w:jc w:val="both"/>
        <w:rPr>
          <w:rFonts w:ascii="Arial" w:hAnsi="Arial" w:cs="Arial"/>
          <w:color w:val="000000"/>
          <w:sz w:val="24"/>
          <w:szCs w:val="24"/>
          <w:lang w:val="es-CO" w:eastAsia="es-CO"/>
        </w:rPr>
      </w:pPr>
      <w:r w:rsidRPr="001800D8">
        <w:rPr>
          <w:rFonts w:ascii="Arial" w:hAnsi="Arial" w:cs="Arial"/>
          <w:color w:val="000000"/>
          <w:sz w:val="24"/>
          <w:szCs w:val="24"/>
          <w:lang w:val="es-CO" w:eastAsia="es-CO"/>
        </w:rPr>
        <w:t xml:space="preserve">Por otra parte, el impuesto de industria y comercio al gravar los ingresos netos de los contribuyentes, tiene un recaudo que se comporta de forma pro-cíclica. Esto es, mientras la economía está en períodos de expansión mayor será el ingreso que obtienen las firmas, y por el contrario, en períodos de recesión menor será el ingreso de </w:t>
      </w:r>
      <w:r w:rsidR="00324AD9">
        <w:rPr>
          <w:rFonts w:ascii="Arial" w:hAnsi="Arial" w:cs="Arial"/>
          <w:color w:val="000000"/>
          <w:sz w:val="24"/>
          <w:szCs w:val="24"/>
          <w:lang w:val="es-CO" w:eastAsia="es-CO"/>
        </w:rPr>
        <w:t>é</w:t>
      </w:r>
      <w:r w:rsidRPr="001800D8">
        <w:rPr>
          <w:rFonts w:ascii="Arial" w:hAnsi="Arial" w:cs="Arial"/>
          <w:color w:val="000000"/>
          <w:sz w:val="24"/>
          <w:szCs w:val="24"/>
          <w:lang w:val="es-CO" w:eastAsia="es-CO"/>
        </w:rPr>
        <w:t>stas. Al observar el comportamiento del PIB (Gráfico 1) en los últimos 12 años, es posible establecer que en los períodos en los que hay reducción de la tasa de crecimiento de la producción, también se puede observar una reducción en la tasa de crecimiento de la recaudación vegetativa del ICA.</w:t>
      </w:r>
    </w:p>
    <w:p w14:paraId="0A1A29D7" w14:textId="77777777" w:rsidR="00F824B7" w:rsidRPr="001800D8" w:rsidRDefault="00F824B7" w:rsidP="001800D8">
      <w:pPr>
        <w:jc w:val="both"/>
        <w:rPr>
          <w:rFonts w:ascii="Arial" w:hAnsi="Arial" w:cs="Arial"/>
          <w:color w:val="000000"/>
          <w:sz w:val="24"/>
          <w:szCs w:val="24"/>
          <w:lang w:val="es-CO" w:eastAsia="es-CO"/>
        </w:rPr>
      </w:pPr>
    </w:p>
    <w:p w14:paraId="45D88DF2" w14:textId="0179645A" w:rsidR="001800D8" w:rsidRDefault="001800D8" w:rsidP="001800D8">
      <w:pPr>
        <w:rPr>
          <w:rFonts w:ascii="Arial" w:hAnsi="Arial" w:cs="Arial"/>
          <w:b/>
          <w:bCs/>
          <w:lang w:val="es-CO"/>
        </w:rPr>
      </w:pPr>
    </w:p>
    <w:p w14:paraId="1FCA5628" w14:textId="77777777" w:rsidR="001800D8" w:rsidRPr="001800D8" w:rsidRDefault="001800D8" w:rsidP="001800D8">
      <w:pPr>
        <w:jc w:val="center"/>
        <w:rPr>
          <w:rFonts w:ascii="Arial" w:hAnsi="Arial" w:cs="Arial"/>
          <w:sz w:val="24"/>
          <w:szCs w:val="24"/>
          <w:lang w:val="es-CO"/>
        </w:rPr>
      </w:pPr>
      <w:r w:rsidRPr="001800D8">
        <w:rPr>
          <w:rFonts w:ascii="Arial" w:hAnsi="Arial" w:cs="Arial"/>
          <w:b/>
          <w:bCs/>
          <w:sz w:val="24"/>
          <w:szCs w:val="24"/>
          <w:lang w:val="es-CO"/>
        </w:rPr>
        <w:t xml:space="preserve">Gráfico 1. </w:t>
      </w:r>
      <w:r w:rsidRPr="001800D8">
        <w:rPr>
          <w:rFonts w:ascii="Arial" w:hAnsi="Arial" w:cs="Arial"/>
          <w:sz w:val="24"/>
          <w:szCs w:val="24"/>
          <w:lang w:val="es-CO"/>
        </w:rPr>
        <w:t>Crecimiento anual del PIB en Bogotá, 2006-2018</w:t>
      </w:r>
    </w:p>
    <w:p w14:paraId="3057FCD2" w14:textId="77777777" w:rsidR="001800D8" w:rsidRDefault="001800D8" w:rsidP="001800D8">
      <w:pPr>
        <w:jc w:val="center"/>
        <w:rPr>
          <w:noProof/>
        </w:rPr>
      </w:pPr>
      <w:r>
        <w:rPr>
          <w:noProof/>
          <w:lang w:val="es-CO" w:eastAsia="es-CO"/>
        </w:rPr>
        <w:drawing>
          <wp:inline distT="0" distB="0" distL="0" distR="0" wp14:anchorId="40609CC0" wp14:editId="556A5478">
            <wp:extent cx="4320000" cy="2529525"/>
            <wp:effectExtent l="0" t="0" r="0" b="0"/>
            <wp:docPr id="10" name="Gráfico 10">
              <a:extLst xmlns:a="http://schemas.openxmlformats.org/drawingml/2006/main">
                <a:ext uri="{FF2B5EF4-FFF2-40B4-BE49-F238E27FC236}">
                  <a16:creationId xmlns:a16="http://schemas.microsoft.com/office/drawing/2014/main" id="{F9FDF59E-997C-4765-A99B-05C370A28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8AD849" w14:textId="77777777" w:rsidR="001800D8" w:rsidRPr="00AA60D0" w:rsidRDefault="001800D8" w:rsidP="001800D8">
      <w:pPr>
        <w:tabs>
          <w:tab w:val="left" w:pos="2400"/>
        </w:tabs>
        <w:jc w:val="center"/>
        <w:rPr>
          <w:rFonts w:ascii="Arial" w:hAnsi="Arial" w:cs="Arial"/>
          <w:sz w:val="16"/>
          <w:szCs w:val="16"/>
          <w:lang w:val="es-CO"/>
        </w:rPr>
      </w:pPr>
      <w:r w:rsidRPr="00AA60D0">
        <w:rPr>
          <w:rFonts w:ascii="Arial" w:hAnsi="Arial" w:cs="Arial"/>
          <w:sz w:val="16"/>
          <w:szCs w:val="16"/>
          <w:lang w:val="es-CO"/>
        </w:rPr>
        <w:t>Fuente: Cuentas Departamentales – DANE. Cifras en valores porcentuales.</w:t>
      </w:r>
    </w:p>
    <w:p w14:paraId="7B9833BF" w14:textId="77777777" w:rsidR="001800D8" w:rsidRDefault="001800D8" w:rsidP="001800D8">
      <w:pPr>
        <w:tabs>
          <w:tab w:val="left" w:pos="2400"/>
        </w:tabs>
        <w:jc w:val="center"/>
        <w:rPr>
          <w:rFonts w:ascii="Arial" w:hAnsi="Arial" w:cs="Arial"/>
          <w:sz w:val="16"/>
          <w:szCs w:val="16"/>
          <w:lang w:val="es-CO"/>
        </w:rPr>
      </w:pPr>
      <w:r w:rsidRPr="00AA60D0">
        <w:rPr>
          <w:rFonts w:ascii="Arial" w:hAnsi="Arial" w:cs="Arial"/>
          <w:sz w:val="16"/>
          <w:szCs w:val="16"/>
          <w:lang w:val="es-CO"/>
        </w:rPr>
        <w:t>Cálculos y elaboración: Secretaría Distrital de Hacienda.</w:t>
      </w:r>
    </w:p>
    <w:p w14:paraId="19060E51" w14:textId="77777777" w:rsidR="001800D8" w:rsidRDefault="001800D8" w:rsidP="001800D8">
      <w:pPr>
        <w:jc w:val="both"/>
        <w:rPr>
          <w:rFonts w:ascii="Arial" w:hAnsi="Arial" w:cs="Arial"/>
          <w:color w:val="000000"/>
          <w:lang w:val="es-CO" w:eastAsia="es-CO"/>
        </w:rPr>
      </w:pPr>
    </w:p>
    <w:p w14:paraId="32B42FBB" w14:textId="77777777" w:rsidR="001800D8" w:rsidRPr="001800D8" w:rsidRDefault="001800D8" w:rsidP="001800D8">
      <w:pPr>
        <w:jc w:val="both"/>
        <w:rPr>
          <w:rFonts w:ascii="Arial" w:hAnsi="Arial"/>
          <w:color w:val="000000"/>
          <w:sz w:val="24"/>
          <w:szCs w:val="24"/>
          <w:lang w:val="es-CO"/>
        </w:rPr>
      </w:pPr>
      <w:r w:rsidRPr="001800D8">
        <w:rPr>
          <w:rFonts w:ascii="Arial" w:hAnsi="Arial"/>
          <w:color w:val="000000"/>
          <w:sz w:val="24"/>
          <w:szCs w:val="24"/>
          <w:lang w:val="es-CO"/>
        </w:rPr>
        <w:lastRenderedPageBreak/>
        <w:t xml:space="preserve">Motivadas por el menor pago de impuestos nacionales, principalmente renta e IVA, empresas nacionales y multinacionales se han trasladado por fuera del perímetro urbano de la ciudad, alrededor de municipios de la sabana bogotana. Esto les permite reducir su carga tributaria sin perder acceso a los mercados y la oferta de bienes públicos del Distrito Capital. </w:t>
      </w:r>
    </w:p>
    <w:p w14:paraId="4597DCBE" w14:textId="77777777" w:rsidR="001800D8" w:rsidRPr="001800D8" w:rsidRDefault="001800D8" w:rsidP="001800D8">
      <w:pPr>
        <w:rPr>
          <w:rFonts w:ascii="Arial" w:hAnsi="Arial"/>
          <w:b/>
          <w:sz w:val="24"/>
          <w:szCs w:val="24"/>
          <w:lang w:val="es-ES"/>
        </w:rPr>
      </w:pPr>
    </w:p>
    <w:p w14:paraId="6DFC4D9F" w14:textId="77777777" w:rsidR="001800D8" w:rsidRPr="001800D8" w:rsidRDefault="001800D8" w:rsidP="001800D8">
      <w:pPr>
        <w:jc w:val="both"/>
        <w:rPr>
          <w:rFonts w:ascii="Arial" w:hAnsi="Arial"/>
          <w:sz w:val="24"/>
          <w:szCs w:val="24"/>
          <w:lang w:val="es-ES"/>
        </w:rPr>
      </w:pPr>
      <w:r w:rsidRPr="001800D8">
        <w:rPr>
          <w:rFonts w:ascii="Arial" w:hAnsi="Arial"/>
          <w:color w:val="000000"/>
          <w:sz w:val="24"/>
          <w:szCs w:val="24"/>
          <w:lang w:val="es-CO"/>
        </w:rPr>
        <w:t xml:space="preserve">Los datos del Gráfico </w:t>
      </w:r>
      <w:r w:rsidRPr="001800D8">
        <w:rPr>
          <w:rFonts w:ascii="Arial" w:hAnsi="Arial" w:cs="Arial"/>
          <w:color w:val="000000"/>
          <w:sz w:val="24"/>
          <w:szCs w:val="24"/>
          <w:lang w:val="es-CO" w:eastAsia="es-CO"/>
        </w:rPr>
        <w:t>2</w:t>
      </w:r>
      <w:r w:rsidRPr="001800D8">
        <w:rPr>
          <w:rFonts w:ascii="Arial" w:hAnsi="Arial"/>
          <w:color w:val="000000"/>
          <w:sz w:val="24"/>
          <w:szCs w:val="24"/>
          <w:lang w:val="es-CO"/>
        </w:rPr>
        <w:t xml:space="preserve"> sugieren que la Ley 1819 de 2016 pudo incidir en la pérdida de dinamismo del recaudo respecto al PIB en 2017 y 2018. La norma cambió los criterios que determinan la territorialidad del tributo. Con la nueva legislación, el impuesto se causa a favor del municipio donde se realice y no en el lugar donde se ejerce la actividad gravada</w:t>
      </w:r>
      <w:r w:rsidRPr="001800D8">
        <w:rPr>
          <w:rStyle w:val="Refdenotaalpie"/>
          <w:rFonts w:ascii="Arial" w:hAnsi="Arial"/>
          <w:sz w:val="24"/>
          <w:szCs w:val="24"/>
          <w:lang w:val="es-ES"/>
        </w:rPr>
        <w:footnoteReference w:id="1"/>
      </w:r>
      <w:r w:rsidRPr="001800D8">
        <w:rPr>
          <w:rFonts w:ascii="Arial" w:hAnsi="Arial"/>
          <w:sz w:val="24"/>
          <w:szCs w:val="24"/>
          <w:lang w:val="es-ES"/>
        </w:rPr>
        <w:t>.</w:t>
      </w:r>
    </w:p>
    <w:p w14:paraId="033ABC7C" w14:textId="77777777" w:rsidR="001800D8" w:rsidRPr="00C342F8" w:rsidRDefault="001800D8" w:rsidP="001800D8">
      <w:pPr>
        <w:rPr>
          <w:rFonts w:ascii="Arial" w:hAnsi="Arial"/>
          <w:b/>
          <w:lang w:val="es-ES"/>
        </w:rPr>
      </w:pPr>
    </w:p>
    <w:p w14:paraId="7F5D8DED" w14:textId="77777777" w:rsidR="001800D8" w:rsidRPr="001800D8" w:rsidRDefault="001800D8" w:rsidP="001800D8">
      <w:pPr>
        <w:jc w:val="center"/>
        <w:rPr>
          <w:rFonts w:ascii="Arial" w:hAnsi="Arial"/>
          <w:b/>
          <w:sz w:val="24"/>
          <w:szCs w:val="24"/>
          <w:lang w:val="es-ES"/>
        </w:rPr>
      </w:pPr>
      <w:r w:rsidRPr="001800D8">
        <w:rPr>
          <w:rFonts w:ascii="Arial" w:hAnsi="Arial"/>
          <w:b/>
          <w:sz w:val="24"/>
          <w:szCs w:val="24"/>
          <w:lang w:val="es-ES"/>
        </w:rPr>
        <w:t xml:space="preserve">Gráfico </w:t>
      </w:r>
      <w:r w:rsidRPr="001800D8">
        <w:rPr>
          <w:rFonts w:ascii="Arial" w:hAnsi="Arial" w:cs="Arial"/>
          <w:b/>
          <w:sz w:val="24"/>
          <w:szCs w:val="24"/>
          <w:lang w:val="es-ES"/>
        </w:rPr>
        <w:t>2</w:t>
      </w:r>
      <w:r w:rsidRPr="001800D8">
        <w:rPr>
          <w:rFonts w:ascii="Arial" w:hAnsi="Arial"/>
          <w:b/>
          <w:sz w:val="24"/>
          <w:szCs w:val="24"/>
          <w:lang w:val="es-ES"/>
        </w:rPr>
        <w:t xml:space="preserve">. </w:t>
      </w:r>
      <w:r w:rsidRPr="001800D8">
        <w:rPr>
          <w:rFonts w:ascii="Arial" w:hAnsi="Arial"/>
          <w:sz w:val="24"/>
          <w:szCs w:val="24"/>
          <w:lang w:val="es-ES"/>
        </w:rPr>
        <w:t>Recaudo ICA en Bogotá D.C., 2000 - 2018</w:t>
      </w:r>
    </w:p>
    <w:p w14:paraId="431AB5BC" w14:textId="77777777" w:rsidR="001800D8" w:rsidRPr="008C69B2" w:rsidRDefault="001800D8" w:rsidP="001800D8">
      <w:pPr>
        <w:jc w:val="center"/>
        <w:rPr>
          <w:rFonts w:ascii="Arial" w:hAnsi="Arial"/>
          <w:lang w:val="es-ES"/>
        </w:rPr>
      </w:pPr>
      <w:r w:rsidRPr="008C69B2">
        <w:rPr>
          <w:rFonts w:ascii="Arial" w:hAnsi="Arial"/>
          <w:noProof/>
          <w:lang w:val="es-CO" w:eastAsia="es-CO"/>
        </w:rPr>
        <w:drawing>
          <wp:inline distT="0" distB="0" distL="0" distR="0" wp14:anchorId="6B37522A" wp14:editId="55D3CA44">
            <wp:extent cx="5124450" cy="2105025"/>
            <wp:effectExtent l="0" t="0" r="0" b="9525"/>
            <wp:docPr id="7" name="Gráfico 7" descr="Billones de Pesos 2018 = 100&#10;">
              <a:extLst xmlns:a="http://schemas.openxmlformats.org/drawingml/2006/main">
                <a:ext uri="{FF2B5EF4-FFF2-40B4-BE49-F238E27FC236}">
                  <a16:creationId xmlns:a16="http://schemas.microsoft.com/office/drawing/2014/main" id="{B2929B79-78C2-4B6B-8138-B1BD6BE2904D}"/>
                </a:ex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BAC8C8" w14:textId="77777777" w:rsidR="001800D8" w:rsidRDefault="001800D8" w:rsidP="001800D8">
      <w:pPr>
        <w:jc w:val="center"/>
        <w:rPr>
          <w:rFonts w:ascii="Arial" w:hAnsi="Arial" w:cs="Arial"/>
          <w:sz w:val="16"/>
          <w:szCs w:val="16"/>
          <w:lang w:val="es-ES"/>
        </w:rPr>
      </w:pPr>
      <w:r>
        <w:rPr>
          <w:rFonts w:ascii="Arial" w:hAnsi="Arial" w:cs="Arial"/>
          <w:sz w:val="16"/>
          <w:szCs w:val="16"/>
          <w:lang w:val="es-ES"/>
        </w:rPr>
        <w:t>Fuente: Soportes Tributarios – SHD. Cuentas Nacionales – DANE.</w:t>
      </w:r>
    </w:p>
    <w:p w14:paraId="02B5988C" w14:textId="77777777" w:rsidR="001800D8" w:rsidRDefault="001800D8" w:rsidP="001800D8">
      <w:pPr>
        <w:jc w:val="center"/>
        <w:rPr>
          <w:rFonts w:ascii="Arial" w:hAnsi="Arial" w:cs="Arial"/>
          <w:sz w:val="16"/>
          <w:szCs w:val="16"/>
          <w:lang w:val="es-ES"/>
        </w:rPr>
      </w:pPr>
      <w:r>
        <w:rPr>
          <w:rFonts w:ascii="Arial" w:hAnsi="Arial" w:cs="Arial"/>
          <w:sz w:val="16"/>
          <w:szCs w:val="16"/>
          <w:lang w:val="es-ES"/>
        </w:rPr>
        <w:t>Cálculos y elaboración: Dirección de Estadísticas y Estudios Fiscales – SHD.</w:t>
      </w:r>
    </w:p>
    <w:p w14:paraId="0BA9D7F4" w14:textId="77777777" w:rsidR="001800D8" w:rsidRPr="005C73F8" w:rsidRDefault="001800D8" w:rsidP="001800D8">
      <w:pPr>
        <w:jc w:val="center"/>
        <w:rPr>
          <w:rFonts w:ascii="Arial" w:hAnsi="Arial" w:cs="Arial"/>
          <w:sz w:val="16"/>
          <w:szCs w:val="16"/>
          <w:lang w:val="es-ES"/>
        </w:rPr>
      </w:pPr>
      <w:r>
        <w:rPr>
          <w:rFonts w:ascii="Arial" w:hAnsi="Arial" w:cs="Arial"/>
          <w:sz w:val="16"/>
          <w:szCs w:val="16"/>
          <w:lang w:val="es-ES"/>
        </w:rPr>
        <w:t>Cifras en billones de pesos a precios corrientes.</w:t>
      </w:r>
    </w:p>
    <w:p w14:paraId="0DCE5BC0" w14:textId="77777777" w:rsidR="001800D8" w:rsidRPr="008C69B2" w:rsidRDefault="001800D8" w:rsidP="001800D8">
      <w:pPr>
        <w:rPr>
          <w:rFonts w:ascii="Arial" w:hAnsi="Arial"/>
          <w:lang w:val="es-ES"/>
        </w:rPr>
      </w:pPr>
    </w:p>
    <w:p w14:paraId="40A29062" w14:textId="68D8C799" w:rsidR="001800D8" w:rsidRDefault="001800D8" w:rsidP="001800D8">
      <w:pPr>
        <w:jc w:val="both"/>
        <w:rPr>
          <w:rFonts w:ascii="Arial" w:hAnsi="Arial"/>
          <w:color w:val="000000"/>
          <w:sz w:val="24"/>
          <w:szCs w:val="24"/>
          <w:lang w:val="es-CO"/>
        </w:rPr>
      </w:pPr>
      <w:r w:rsidRPr="001800D8">
        <w:rPr>
          <w:rFonts w:ascii="Arial" w:hAnsi="Arial"/>
          <w:color w:val="000000"/>
          <w:sz w:val="24"/>
          <w:szCs w:val="24"/>
          <w:lang w:val="es-CO"/>
        </w:rPr>
        <w:t xml:space="preserve">A diferencia de Bogotá, el recaudo nacional de ICA evidenció un ritmo de crecimiento superior al de la economía nacional durante el periodo 2008-2017 y se proyecta que esta tendencia se mantuvo en 2018.  Como se aprecia en el Gráfico </w:t>
      </w:r>
      <w:r w:rsidRPr="001800D8">
        <w:rPr>
          <w:rFonts w:ascii="Arial" w:hAnsi="Arial" w:cs="Arial"/>
          <w:color w:val="000000"/>
          <w:sz w:val="24"/>
          <w:szCs w:val="24"/>
          <w:lang w:val="es-CO" w:eastAsia="es-CO"/>
        </w:rPr>
        <w:t>3</w:t>
      </w:r>
      <w:r w:rsidRPr="001800D8">
        <w:rPr>
          <w:rFonts w:ascii="Arial" w:hAnsi="Arial"/>
          <w:color w:val="000000"/>
          <w:sz w:val="24"/>
          <w:szCs w:val="24"/>
          <w:lang w:val="es-CO"/>
        </w:rPr>
        <w:t>, los ingresos nacionales por ICA sin Bogotá subieron de 0,42% del PIB en 2008 a 0,51% del PIB en 2017 y se proyectan en 0,52% del PIB para el cierre de 2018</w:t>
      </w:r>
      <w:r w:rsidRPr="001800D8">
        <w:rPr>
          <w:rFonts w:ascii="Arial" w:hAnsi="Arial"/>
          <w:color w:val="000000"/>
          <w:sz w:val="24"/>
          <w:szCs w:val="24"/>
          <w:vertAlign w:val="superscript"/>
          <w:lang w:val="es-CO"/>
        </w:rPr>
        <w:footnoteReference w:id="2"/>
      </w:r>
      <w:r w:rsidRPr="001800D8">
        <w:rPr>
          <w:rFonts w:ascii="Arial" w:hAnsi="Arial"/>
          <w:color w:val="000000"/>
          <w:sz w:val="24"/>
          <w:szCs w:val="24"/>
          <w:lang w:val="es-CO"/>
        </w:rPr>
        <w:t>.</w:t>
      </w:r>
    </w:p>
    <w:p w14:paraId="5F6E2E98" w14:textId="77777777" w:rsidR="00F824B7" w:rsidRPr="001800D8" w:rsidRDefault="00F824B7" w:rsidP="001800D8">
      <w:pPr>
        <w:jc w:val="both"/>
        <w:rPr>
          <w:rFonts w:ascii="Arial" w:hAnsi="Arial"/>
          <w:b/>
          <w:sz w:val="24"/>
          <w:szCs w:val="24"/>
          <w:lang w:val="es-ES"/>
        </w:rPr>
      </w:pPr>
    </w:p>
    <w:p w14:paraId="3F7CF935" w14:textId="290B6EE5" w:rsidR="001800D8" w:rsidRDefault="001800D8" w:rsidP="001800D8">
      <w:pPr>
        <w:rPr>
          <w:rFonts w:ascii="Arial" w:hAnsi="Arial" w:cs="Arial"/>
          <w:b/>
          <w:lang w:val="es-ES"/>
        </w:rPr>
      </w:pPr>
    </w:p>
    <w:p w14:paraId="38712E1C" w14:textId="77777777" w:rsidR="001800D8" w:rsidRPr="001800D8" w:rsidRDefault="001800D8" w:rsidP="001800D8">
      <w:pPr>
        <w:jc w:val="center"/>
        <w:rPr>
          <w:rFonts w:ascii="Arial" w:hAnsi="Arial"/>
          <w:sz w:val="24"/>
          <w:szCs w:val="24"/>
          <w:lang w:val="es-ES"/>
        </w:rPr>
      </w:pPr>
      <w:r w:rsidRPr="001800D8">
        <w:rPr>
          <w:rFonts w:ascii="Arial" w:hAnsi="Arial"/>
          <w:b/>
          <w:sz w:val="24"/>
          <w:szCs w:val="24"/>
          <w:lang w:val="es-ES"/>
        </w:rPr>
        <w:t xml:space="preserve">Gráfico </w:t>
      </w:r>
      <w:r w:rsidRPr="001800D8">
        <w:rPr>
          <w:rFonts w:ascii="Arial" w:hAnsi="Arial" w:cs="Arial"/>
          <w:b/>
          <w:sz w:val="24"/>
          <w:szCs w:val="24"/>
          <w:lang w:val="es-ES"/>
        </w:rPr>
        <w:t>3</w:t>
      </w:r>
      <w:r w:rsidRPr="001800D8">
        <w:rPr>
          <w:rFonts w:ascii="Arial" w:hAnsi="Arial"/>
          <w:b/>
          <w:sz w:val="24"/>
          <w:szCs w:val="24"/>
          <w:lang w:val="es-ES"/>
        </w:rPr>
        <w:t xml:space="preserve">. </w:t>
      </w:r>
      <w:r w:rsidRPr="001800D8">
        <w:rPr>
          <w:rFonts w:ascii="Arial" w:hAnsi="Arial"/>
          <w:sz w:val="24"/>
          <w:szCs w:val="24"/>
          <w:lang w:val="es-ES"/>
        </w:rPr>
        <w:t>Recaudo Nacional de ICA sin Bogotá, 2000-2018</w:t>
      </w:r>
    </w:p>
    <w:p w14:paraId="6902C96D" w14:textId="77777777" w:rsidR="001800D8" w:rsidRPr="00C342F8" w:rsidRDefault="001800D8" w:rsidP="001800D8">
      <w:pPr>
        <w:jc w:val="both"/>
        <w:rPr>
          <w:rFonts w:ascii="Arial" w:hAnsi="Arial"/>
          <w:b/>
          <w:lang w:val="es-ES"/>
        </w:rPr>
      </w:pPr>
      <w:r w:rsidRPr="008C69B2">
        <w:rPr>
          <w:rFonts w:ascii="Arial" w:hAnsi="Arial"/>
          <w:noProof/>
          <w:lang w:val="es-CO" w:eastAsia="es-CO"/>
        </w:rPr>
        <w:drawing>
          <wp:inline distT="0" distB="0" distL="0" distR="0" wp14:anchorId="7D7398B4" wp14:editId="56B62EF8">
            <wp:extent cx="5765470" cy="2951019"/>
            <wp:effectExtent l="0" t="0" r="6985" b="1905"/>
            <wp:docPr id="9" name="Gráfico 9" descr="Billones de Pesos 2018 = 100&#10;">
              <a:extLst xmlns:a="http://schemas.openxmlformats.org/drawingml/2006/main">
                <a:ext uri="{FF2B5EF4-FFF2-40B4-BE49-F238E27FC236}">
                  <a16:creationId xmlns:a16="http://schemas.microsoft.com/office/drawing/2014/main" id="{8E5A8437-2610-4120-9A5E-DD0476A8F1BE}"/>
                </a:ex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F651F6" w14:textId="77777777" w:rsidR="001800D8" w:rsidRDefault="001800D8" w:rsidP="001800D8">
      <w:pPr>
        <w:jc w:val="center"/>
        <w:rPr>
          <w:rFonts w:ascii="Arial" w:hAnsi="Arial" w:cs="Arial"/>
          <w:sz w:val="16"/>
          <w:szCs w:val="16"/>
          <w:lang w:val="es-ES"/>
        </w:rPr>
      </w:pPr>
      <w:r>
        <w:rPr>
          <w:rFonts w:ascii="Arial" w:hAnsi="Arial" w:cs="Arial"/>
          <w:sz w:val="16"/>
          <w:szCs w:val="16"/>
          <w:lang w:val="es-ES"/>
        </w:rPr>
        <w:t>Fuente: CHIP - MHCP. Cuentas Nacionales – DANE.</w:t>
      </w:r>
    </w:p>
    <w:p w14:paraId="46B30B68" w14:textId="77777777" w:rsidR="001800D8" w:rsidRDefault="001800D8" w:rsidP="001800D8">
      <w:pPr>
        <w:jc w:val="center"/>
        <w:rPr>
          <w:rFonts w:ascii="Arial" w:hAnsi="Arial" w:cs="Arial"/>
          <w:sz w:val="16"/>
          <w:szCs w:val="16"/>
          <w:lang w:val="es-ES"/>
        </w:rPr>
      </w:pPr>
      <w:r>
        <w:rPr>
          <w:rFonts w:ascii="Arial" w:hAnsi="Arial" w:cs="Arial"/>
          <w:sz w:val="16"/>
          <w:szCs w:val="16"/>
          <w:lang w:val="es-ES"/>
        </w:rPr>
        <w:t>Cálculos y elaboración: Dirección de Estadísticas y Estudios Fiscales – SHD.</w:t>
      </w:r>
    </w:p>
    <w:p w14:paraId="5DC961BB" w14:textId="77777777" w:rsidR="001800D8" w:rsidRPr="005C73F8" w:rsidRDefault="001800D8" w:rsidP="001800D8">
      <w:pPr>
        <w:jc w:val="center"/>
        <w:rPr>
          <w:rFonts w:ascii="Arial" w:hAnsi="Arial" w:cs="Arial"/>
          <w:sz w:val="16"/>
          <w:szCs w:val="16"/>
          <w:lang w:val="es-ES"/>
        </w:rPr>
      </w:pPr>
      <w:r>
        <w:rPr>
          <w:rFonts w:ascii="Arial" w:hAnsi="Arial" w:cs="Arial"/>
          <w:sz w:val="16"/>
          <w:szCs w:val="16"/>
          <w:lang w:val="es-ES"/>
        </w:rPr>
        <w:t>Cifras en billones de pesos a precios corrientes.</w:t>
      </w:r>
    </w:p>
    <w:p w14:paraId="11B731AE" w14:textId="77777777" w:rsidR="001800D8" w:rsidRPr="008C69B2" w:rsidRDefault="001800D8" w:rsidP="001800D8">
      <w:pPr>
        <w:rPr>
          <w:rFonts w:ascii="Arial" w:hAnsi="Arial"/>
          <w:lang w:val="es-ES"/>
        </w:rPr>
      </w:pPr>
    </w:p>
    <w:p w14:paraId="3BF9A585" w14:textId="77777777" w:rsidR="001800D8" w:rsidRPr="001800D8" w:rsidRDefault="001800D8" w:rsidP="001800D8">
      <w:pPr>
        <w:jc w:val="both"/>
        <w:rPr>
          <w:rFonts w:ascii="Arial" w:hAnsi="Arial"/>
          <w:color w:val="000000"/>
          <w:sz w:val="24"/>
          <w:szCs w:val="24"/>
          <w:lang w:val="es-CO"/>
        </w:rPr>
      </w:pPr>
      <w:r w:rsidRPr="001800D8">
        <w:rPr>
          <w:rFonts w:ascii="Arial" w:hAnsi="Arial"/>
          <w:color w:val="000000"/>
          <w:sz w:val="24"/>
          <w:szCs w:val="24"/>
          <w:lang w:val="es-CO"/>
        </w:rPr>
        <w:t xml:space="preserve">Por otra parte, para 2018 la Secretaría Distrital de Hacienda estima la evasión del ICA en alrededor del 22,5% del total de recaudo efectivo de la vigencia 2018. Entre las causas probables se encuentran las siguientes: alta incidencia de la informalidad económica; alta presión tributaria a los contribuyentes (impuestos nacionales y territoriales); tarifas altas de ICA en la ciudad; sistema tributario complejo; bajo riesgo de ser detectado y planeación tributaria.  </w:t>
      </w:r>
    </w:p>
    <w:p w14:paraId="734FB9D4" w14:textId="77777777" w:rsidR="001800D8" w:rsidRPr="001800D8" w:rsidRDefault="001800D8" w:rsidP="001800D8">
      <w:pPr>
        <w:rPr>
          <w:sz w:val="24"/>
          <w:szCs w:val="24"/>
          <w:lang w:val="es-ES" w:eastAsia="x-none"/>
        </w:rPr>
      </w:pPr>
    </w:p>
    <w:p w14:paraId="509DA65A" w14:textId="77777777" w:rsidR="000D6B2C" w:rsidRDefault="000D6B2C">
      <w:pPr>
        <w:rPr>
          <w:rFonts w:ascii="Arial" w:hAnsi="Arial" w:cs="Arial"/>
          <w:b/>
          <w:bCs/>
          <w:sz w:val="24"/>
          <w:szCs w:val="24"/>
          <w:lang w:val="es-ES" w:eastAsia="x-none"/>
        </w:rPr>
      </w:pPr>
      <w:r>
        <w:rPr>
          <w:rFonts w:ascii="Arial" w:hAnsi="Arial" w:cs="Arial"/>
          <w:b/>
          <w:bCs/>
          <w:sz w:val="24"/>
          <w:szCs w:val="24"/>
          <w:lang w:val="es-ES" w:eastAsia="x-none"/>
        </w:rPr>
        <w:br w:type="page"/>
      </w:r>
    </w:p>
    <w:p w14:paraId="7CD3A3D0" w14:textId="64209269" w:rsidR="000D6B2C" w:rsidRDefault="001800D8" w:rsidP="000D6B2C">
      <w:pPr>
        <w:pStyle w:val="Prrafodelista"/>
        <w:numPr>
          <w:ilvl w:val="0"/>
          <w:numId w:val="19"/>
        </w:numPr>
        <w:rPr>
          <w:rFonts w:ascii="Arial" w:hAnsi="Arial" w:cs="Arial"/>
          <w:b/>
          <w:bCs/>
          <w:sz w:val="24"/>
          <w:szCs w:val="24"/>
          <w:lang w:val="es-ES" w:eastAsia="x-none"/>
        </w:rPr>
      </w:pPr>
      <w:r w:rsidRPr="001800D8">
        <w:rPr>
          <w:rFonts w:ascii="Arial" w:hAnsi="Arial" w:cs="Arial"/>
          <w:b/>
          <w:bCs/>
          <w:sz w:val="24"/>
          <w:szCs w:val="24"/>
          <w:lang w:val="es-ES" w:eastAsia="x-none"/>
        </w:rPr>
        <w:lastRenderedPageBreak/>
        <w:t>La informalidad empresarial y la importancia del SIMPLE para aumentar el recaudo del ICA.</w:t>
      </w:r>
    </w:p>
    <w:p w14:paraId="2A5042D4" w14:textId="77777777" w:rsidR="000D6B2C" w:rsidRDefault="000D6B2C" w:rsidP="000D6B2C">
      <w:pPr>
        <w:ind w:left="360"/>
        <w:rPr>
          <w:rFonts w:ascii="Arial" w:hAnsi="Arial"/>
          <w:sz w:val="24"/>
          <w:szCs w:val="24"/>
          <w:lang w:val="es-CO"/>
        </w:rPr>
      </w:pPr>
    </w:p>
    <w:p w14:paraId="790CCB13" w14:textId="4347889A" w:rsidR="001800D8" w:rsidRPr="000D6B2C" w:rsidRDefault="001800D8" w:rsidP="000D6B2C">
      <w:pPr>
        <w:jc w:val="both"/>
        <w:rPr>
          <w:rFonts w:ascii="Arial" w:hAnsi="Arial" w:cs="Arial"/>
          <w:b/>
          <w:bCs/>
          <w:sz w:val="24"/>
          <w:szCs w:val="24"/>
          <w:lang w:val="es-ES" w:eastAsia="x-none"/>
        </w:rPr>
      </w:pPr>
      <w:r w:rsidRPr="000D6B2C">
        <w:rPr>
          <w:rFonts w:ascii="Arial" w:hAnsi="Arial"/>
          <w:sz w:val="24"/>
          <w:szCs w:val="24"/>
          <w:lang w:val="es-CO"/>
        </w:rPr>
        <w:t>Existe una generalizada preocupación en la administración tributaria por las implicaciones que las altas tasas de informalidad empresarial tienen sobre el recaudo del impuesto de industria y comercio. La Cámara de Comercio de Bogotá contrató con Fedesarrollo la elaboración de una serie de documentos que realizan un diagnóstico de la ciudad en un abanico de temas de política económica local, a la vez que señala una serie de recomendaciones de reforma.</w:t>
      </w:r>
    </w:p>
    <w:p w14:paraId="7AD78C90" w14:textId="77777777" w:rsidR="001800D8" w:rsidRPr="001800D8" w:rsidRDefault="001800D8" w:rsidP="001800D8">
      <w:pPr>
        <w:ind w:right="51"/>
        <w:jc w:val="both"/>
        <w:rPr>
          <w:rFonts w:ascii="Arial" w:hAnsi="Arial"/>
          <w:sz w:val="24"/>
          <w:szCs w:val="24"/>
          <w:lang w:val="es-CO"/>
        </w:rPr>
      </w:pPr>
    </w:p>
    <w:p w14:paraId="3A386979" w14:textId="53D334C6" w:rsidR="001800D8" w:rsidRPr="001800D8" w:rsidRDefault="001800D8" w:rsidP="001800D8">
      <w:pPr>
        <w:ind w:right="51"/>
        <w:jc w:val="both"/>
        <w:rPr>
          <w:rFonts w:ascii="Arial" w:hAnsi="Arial"/>
          <w:sz w:val="24"/>
          <w:szCs w:val="24"/>
          <w:lang w:val="es-CO"/>
        </w:rPr>
      </w:pPr>
      <w:r w:rsidRPr="001800D8">
        <w:rPr>
          <w:rFonts w:ascii="Arial" w:hAnsi="Arial"/>
          <w:sz w:val="24"/>
          <w:szCs w:val="24"/>
          <w:lang w:val="es-CO"/>
        </w:rPr>
        <w:t>De acuerdo con el estudio adelantado por la Cámara de Comercio de Bogotá y Fedesarrollo, la informalidad empresarial en las 24 principales ciudades de Colombia se estima en un 61%, mientras que en Bogotá es del 54%. Si bien estamos por debajo de la tasa nacional, la situación no es menos preocupante por el volumen de transacciones que se realizan en Bogotá, y por el monto de los ingresos transados igualmente en la ciudad. El estudio señala, por ejemplo, que tener registro mercantil aumenta la probabilidad de que los microestablecimientos paguen impuestos. Señala igualmente que altas tarifas tien</w:t>
      </w:r>
      <w:r w:rsidR="00E54A2C">
        <w:rPr>
          <w:rFonts w:ascii="Arial" w:hAnsi="Arial"/>
          <w:sz w:val="24"/>
          <w:szCs w:val="24"/>
          <w:lang w:val="es-CO"/>
        </w:rPr>
        <w:t>d</w:t>
      </w:r>
      <w:r w:rsidRPr="001800D8">
        <w:rPr>
          <w:rFonts w:ascii="Arial" w:hAnsi="Arial"/>
          <w:sz w:val="24"/>
          <w:szCs w:val="24"/>
          <w:lang w:val="es-CO"/>
        </w:rPr>
        <w:t>en a desincentivar la declaración del impuesto de industria y comercio por parte de los microestablecimientos, lo que sugiere que tarifas bajas en segmentos de negocios de ingresos bajos puede favorecer el recaudo.</w:t>
      </w:r>
    </w:p>
    <w:p w14:paraId="213315DC" w14:textId="77777777" w:rsidR="001800D8" w:rsidRPr="001800D8" w:rsidRDefault="001800D8" w:rsidP="001800D8">
      <w:pPr>
        <w:ind w:right="51"/>
        <w:jc w:val="both"/>
        <w:rPr>
          <w:rFonts w:ascii="Arial" w:eastAsia="Calibri" w:hAnsi="Arial"/>
          <w:sz w:val="24"/>
          <w:szCs w:val="24"/>
          <w:lang w:val="es-CO"/>
        </w:rPr>
      </w:pPr>
    </w:p>
    <w:p w14:paraId="3FDA56AA" w14:textId="5348DCC2" w:rsidR="001800D8" w:rsidRPr="001800D8" w:rsidRDefault="001800D8" w:rsidP="001800D8">
      <w:pPr>
        <w:ind w:right="51"/>
        <w:jc w:val="both"/>
        <w:rPr>
          <w:rFonts w:ascii="Arial" w:eastAsiaTheme="minorEastAsia" w:hAnsi="Arial"/>
          <w:sz w:val="24"/>
          <w:szCs w:val="24"/>
          <w:lang w:val="es-CO"/>
        </w:rPr>
      </w:pPr>
      <w:r w:rsidRPr="001800D8">
        <w:rPr>
          <w:rFonts w:ascii="Arial" w:eastAsiaTheme="minorEastAsia" w:hAnsi="Arial" w:cs="Arial"/>
          <w:sz w:val="24"/>
          <w:szCs w:val="24"/>
          <w:lang w:val="es-CO"/>
        </w:rPr>
        <w:t>Es preciso señalar que la</w:t>
      </w:r>
      <w:r w:rsidRPr="001800D8">
        <w:rPr>
          <w:rFonts w:ascii="Arial" w:eastAsiaTheme="minorEastAsia" w:hAnsi="Arial"/>
          <w:sz w:val="24"/>
          <w:szCs w:val="24"/>
          <w:lang w:val="es-CO"/>
        </w:rPr>
        <w:t xml:space="preserve"> informalidad empresarial es una situación a la que se enfrentan principalmente las micro y pequeñas empresas que operan en la economía</w:t>
      </w:r>
      <w:r w:rsidRPr="001800D8">
        <w:rPr>
          <w:rFonts w:ascii="Arial" w:eastAsiaTheme="minorEastAsia" w:hAnsi="Arial" w:cs="Arial"/>
          <w:sz w:val="24"/>
          <w:szCs w:val="24"/>
          <w:lang w:val="es-CO"/>
        </w:rPr>
        <w:t>, las mismas unidades empresariales que múltiples</w:t>
      </w:r>
      <w:r w:rsidRPr="001800D8">
        <w:rPr>
          <w:rFonts w:ascii="Arial" w:eastAsiaTheme="minorEastAsia" w:hAnsi="Arial"/>
          <w:sz w:val="24"/>
          <w:szCs w:val="24"/>
          <w:lang w:val="es-CO"/>
        </w:rPr>
        <w:t xml:space="preserve"> autores </w:t>
      </w:r>
      <w:r w:rsidRPr="001800D8">
        <w:rPr>
          <w:rFonts w:ascii="Arial" w:eastAsiaTheme="minorEastAsia" w:hAnsi="Arial" w:cs="Arial"/>
          <w:sz w:val="24"/>
          <w:szCs w:val="24"/>
          <w:lang w:val="es-CO"/>
        </w:rPr>
        <w:t>señalan</w:t>
      </w:r>
      <w:r w:rsidRPr="001800D8">
        <w:rPr>
          <w:rFonts w:ascii="Arial" w:eastAsiaTheme="minorEastAsia" w:hAnsi="Arial"/>
          <w:sz w:val="24"/>
          <w:szCs w:val="24"/>
          <w:lang w:val="es-CO"/>
        </w:rPr>
        <w:t xml:space="preserve"> que no deben gravarse por </w:t>
      </w:r>
      <w:r w:rsidRPr="001800D8">
        <w:rPr>
          <w:rFonts w:ascii="Arial" w:eastAsiaTheme="minorEastAsia" w:hAnsi="Arial" w:cs="Arial"/>
          <w:sz w:val="24"/>
          <w:szCs w:val="24"/>
          <w:lang w:val="es-CO"/>
        </w:rPr>
        <w:t>cuestiones</w:t>
      </w:r>
      <w:r w:rsidRPr="001800D8">
        <w:rPr>
          <w:rFonts w:ascii="Arial" w:eastAsiaTheme="minorEastAsia" w:hAnsi="Arial"/>
          <w:sz w:val="24"/>
          <w:szCs w:val="24"/>
          <w:lang w:val="es-CO"/>
        </w:rPr>
        <w:t xml:space="preserve"> de </w:t>
      </w:r>
      <w:r w:rsidRPr="001800D8">
        <w:rPr>
          <w:rFonts w:ascii="Arial" w:eastAsiaTheme="minorEastAsia" w:hAnsi="Arial" w:cs="Arial"/>
          <w:sz w:val="24"/>
          <w:szCs w:val="24"/>
          <w:lang w:val="es-CO"/>
        </w:rPr>
        <w:t xml:space="preserve">distribución del ingreso. No obstante, debido a que para la mayoría de </w:t>
      </w:r>
      <w:r w:rsidR="000D6B2C" w:rsidRPr="001800D8">
        <w:rPr>
          <w:rFonts w:ascii="Arial" w:eastAsiaTheme="minorEastAsia" w:hAnsi="Arial"/>
          <w:sz w:val="24"/>
          <w:szCs w:val="24"/>
          <w:lang w:val="es-CO"/>
        </w:rPr>
        <w:t>los impuestos</w:t>
      </w:r>
      <w:r w:rsidRPr="001800D8">
        <w:rPr>
          <w:rFonts w:ascii="Arial" w:eastAsiaTheme="minorEastAsia" w:hAnsi="Arial"/>
          <w:sz w:val="24"/>
          <w:szCs w:val="24"/>
          <w:lang w:val="es-CO"/>
        </w:rPr>
        <w:t xml:space="preserve"> </w:t>
      </w:r>
      <w:r w:rsidRPr="001800D8">
        <w:rPr>
          <w:rFonts w:ascii="Arial" w:eastAsiaTheme="minorEastAsia" w:hAnsi="Arial" w:cs="Arial"/>
          <w:sz w:val="24"/>
          <w:szCs w:val="24"/>
          <w:lang w:val="es-CO"/>
        </w:rPr>
        <w:t>que gravan el ingreso o la renta estas pequeñas y medianas unidades empresariales están exentas o excluidas porque no devengan</w:t>
      </w:r>
      <w:r w:rsidRPr="001800D8">
        <w:rPr>
          <w:rFonts w:ascii="Arial" w:eastAsiaTheme="minorEastAsia" w:hAnsi="Arial"/>
          <w:sz w:val="24"/>
          <w:szCs w:val="24"/>
          <w:lang w:val="es-CO"/>
        </w:rPr>
        <w:t xml:space="preserve"> el </w:t>
      </w:r>
      <w:r w:rsidRPr="001800D8">
        <w:rPr>
          <w:rFonts w:ascii="Arial" w:eastAsiaTheme="minorEastAsia" w:hAnsi="Arial" w:cs="Arial"/>
          <w:sz w:val="24"/>
          <w:szCs w:val="24"/>
          <w:lang w:val="es-CO"/>
        </w:rPr>
        <w:t>mínimo ingreso requerido para tributar, éstas</w:t>
      </w:r>
      <w:r w:rsidRPr="001800D8">
        <w:rPr>
          <w:rFonts w:ascii="Arial" w:eastAsiaTheme="minorEastAsia" w:hAnsi="Arial"/>
          <w:sz w:val="24"/>
          <w:szCs w:val="24"/>
          <w:lang w:val="es-CO"/>
        </w:rPr>
        <w:t xml:space="preserve"> se han convertido en un canal de evasión para </w:t>
      </w:r>
      <w:r w:rsidRPr="001800D8">
        <w:rPr>
          <w:rFonts w:ascii="Arial" w:eastAsiaTheme="minorEastAsia" w:hAnsi="Arial" w:cs="Arial"/>
          <w:sz w:val="24"/>
          <w:szCs w:val="24"/>
          <w:lang w:val="es-CO"/>
        </w:rPr>
        <w:t xml:space="preserve">aquellas </w:t>
      </w:r>
      <w:r w:rsidRPr="001800D8">
        <w:rPr>
          <w:rFonts w:ascii="Arial" w:eastAsiaTheme="minorEastAsia" w:hAnsi="Arial"/>
          <w:sz w:val="24"/>
          <w:szCs w:val="24"/>
          <w:lang w:val="es-CO"/>
        </w:rPr>
        <w:t xml:space="preserve">firmas que no califican para </w:t>
      </w:r>
      <w:r w:rsidRPr="001800D8">
        <w:rPr>
          <w:rFonts w:ascii="Arial" w:eastAsiaTheme="minorEastAsia" w:hAnsi="Arial" w:cs="Arial"/>
          <w:sz w:val="24"/>
          <w:szCs w:val="24"/>
          <w:lang w:val="es-CO"/>
        </w:rPr>
        <w:t>estos beneficios tributarios.</w:t>
      </w:r>
    </w:p>
    <w:p w14:paraId="363B8503" w14:textId="77777777" w:rsidR="001800D8" w:rsidRPr="001800D8" w:rsidRDefault="001800D8" w:rsidP="001800D8">
      <w:pPr>
        <w:ind w:right="51"/>
        <w:jc w:val="both"/>
        <w:rPr>
          <w:rFonts w:ascii="Arial" w:hAnsi="Arial"/>
          <w:sz w:val="24"/>
          <w:szCs w:val="24"/>
          <w:lang w:val="es-ES"/>
        </w:rPr>
      </w:pPr>
    </w:p>
    <w:p w14:paraId="246A81FC" w14:textId="77777777" w:rsidR="001800D8" w:rsidRPr="001800D8" w:rsidRDefault="001800D8" w:rsidP="001800D8">
      <w:pPr>
        <w:ind w:right="51"/>
        <w:jc w:val="both"/>
        <w:rPr>
          <w:rFonts w:ascii="Arial" w:hAnsi="Arial"/>
          <w:sz w:val="24"/>
          <w:szCs w:val="24"/>
        </w:rPr>
      </w:pPr>
      <w:r w:rsidRPr="001800D8">
        <w:rPr>
          <w:rFonts w:ascii="Arial" w:hAnsi="Arial"/>
          <w:sz w:val="24"/>
          <w:szCs w:val="24"/>
          <w:lang w:val="es-ES"/>
        </w:rPr>
        <w:t xml:space="preserve">De acuerdo con lo señalado en el documento CONPES “Política de formalización empresarial”, la informalidad no se entiende como una condición binaria sino como un proceso de cuatro grandes dimensiones. </w:t>
      </w:r>
      <w:r w:rsidRPr="001800D8">
        <w:rPr>
          <w:rFonts w:ascii="Arial" w:hAnsi="Arial"/>
          <w:sz w:val="24"/>
          <w:szCs w:val="24"/>
        </w:rPr>
        <w:t>que de acuerdo con el DNP (2018) se pueden sintetizar en cuatro: 1) entrada a la formalidad (registro en las Cámaras de Comercio y registro tributario), 2) insumos (contratación de mano de obra y títulos de propiedad), 3) producción (requerimientos técnicos y ambientales) y 4) pago de impuestos o informalidad tributaria (contabilidad, declaración y pago de impuestos). En concordancia con esta visión, es posible entender la informalidad empresarial y el pago de impuestos como dos dimensiones distintas del mismo fenómeno.</w:t>
      </w:r>
    </w:p>
    <w:p w14:paraId="25095560" w14:textId="77777777" w:rsidR="001800D8" w:rsidRPr="001800D8" w:rsidRDefault="001800D8" w:rsidP="001800D8">
      <w:pPr>
        <w:ind w:right="51"/>
        <w:jc w:val="both"/>
        <w:rPr>
          <w:rFonts w:ascii="Arial" w:hAnsi="Arial"/>
          <w:sz w:val="24"/>
          <w:szCs w:val="24"/>
        </w:rPr>
      </w:pPr>
    </w:p>
    <w:p w14:paraId="721CF985" w14:textId="77777777" w:rsidR="001800D8" w:rsidRPr="001800D8" w:rsidRDefault="001800D8" w:rsidP="001800D8">
      <w:pPr>
        <w:ind w:right="51"/>
        <w:jc w:val="both"/>
        <w:rPr>
          <w:rFonts w:ascii="Arial" w:hAnsi="Arial"/>
          <w:sz w:val="24"/>
          <w:szCs w:val="24"/>
        </w:rPr>
      </w:pPr>
      <w:r w:rsidRPr="001800D8">
        <w:rPr>
          <w:rFonts w:ascii="Arial" w:hAnsi="Arial"/>
          <w:sz w:val="24"/>
          <w:szCs w:val="24"/>
        </w:rPr>
        <w:t xml:space="preserve">Así, una mayor tasa de informalidad empresarial se traduce en una mayor tasa de evasión del impuesto de industria y comercio bajo el entendido que son dos dimensiones del mismo fenómeno social. </w:t>
      </w:r>
    </w:p>
    <w:p w14:paraId="5C9D659E" w14:textId="77777777" w:rsidR="001800D8" w:rsidRPr="001800D8" w:rsidRDefault="001800D8" w:rsidP="001800D8">
      <w:pPr>
        <w:ind w:right="51"/>
        <w:jc w:val="both"/>
        <w:rPr>
          <w:rFonts w:ascii="Arial" w:hAnsi="Arial"/>
          <w:sz w:val="24"/>
          <w:szCs w:val="24"/>
          <w:lang w:val="es-ES"/>
        </w:rPr>
      </w:pPr>
    </w:p>
    <w:p w14:paraId="1D503372" w14:textId="77777777" w:rsidR="001800D8" w:rsidRPr="001800D8" w:rsidRDefault="001800D8" w:rsidP="001800D8">
      <w:pPr>
        <w:ind w:right="51"/>
        <w:jc w:val="both"/>
        <w:rPr>
          <w:rFonts w:ascii="Arial" w:hAnsi="Arial"/>
          <w:sz w:val="24"/>
          <w:szCs w:val="24"/>
        </w:rPr>
      </w:pPr>
      <w:r w:rsidRPr="001800D8">
        <w:rPr>
          <w:rFonts w:ascii="Arial" w:hAnsi="Arial"/>
          <w:sz w:val="24"/>
          <w:szCs w:val="24"/>
        </w:rPr>
        <w:t xml:space="preserve">Dentro de este contexto, </w:t>
      </w:r>
      <w:r w:rsidRPr="001800D8">
        <w:rPr>
          <w:rFonts w:ascii="Arial" w:hAnsi="Arial" w:cs="Arial"/>
          <w:sz w:val="24"/>
          <w:szCs w:val="24"/>
        </w:rPr>
        <w:t>la mayoría</w:t>
      </w:r>
      <w:r w:rsidRPr="001800D8">
        <w:rPr>
          <w:rFonts w:ascii="Arial" w:hAnsi="Arial"/>
          <w:sz w:val="24"/>
          <w:szCs w:val="24"/>
        </w:rPr>
        <w:t xml:space="preserve"> de </w:t>
      </w:r>
      <w:r w:rsidRPr="001800D8">
        <w:rPr>
          <w:rFonts w:ascii="Arial" w:hAnsi="Arial" w:cs="Arial"/>
          <w:sz w:val="24"/>
          <w:szCs w:val="24"/>
        </w:rPr>
        <w:t>los países de América Latina han propendido por la búsqueda de mecanismos simplificados de tributación</w:t>
      </w:r>
      <w:r w:rsidRPr="001800D8">
        <w:rPr>
          <w:rFonts w:ascii="Arial" w:hAnsi="Arial"/>
          <w:sz w:val="24"/>
          <w:szCs w:val="24"/>
        </w:rPr>
        <w:t xml:space="preserve"> que </w:t>
      </w:r>
      <w:r w:rsidRPr="001800D8">
        <w:rPr>
          <w:rFonts w:ascii="Arial" w:hAnsi="Arial" w:cs="Arial"/>
          <w:sz w:val="24"/>
          <w:szCs w:val="24"/>
        </w:rPr>
        <w:t>permitan aumentar</w:t>
      </w:r>
      <w:r w:rsidRPr="001800D8">
        <w:rPr>
          <w:rFonts w:ascii="Arial" w:hAnsi="Arial"/>
          <w:sz w:val="24"/>
          <w:szCs w:val="24"/>
        </w:rPr>
        <w:t xml:space="preserve"> la base tributaria</w:t>
      </w:r>
      <w:r w:rsidRPr="001800D8">
        <w:rPr>
          <w:rFonts w:ascii="Arial" w:hAnsi="Arial" w:cs="Arial"/>
          <w:sz w:val="24"/>
          <w:szCs w:val="24"/>
        </w:rPr>
        <w:t xml:space="preserve"> sin impactar negativamente la dinámica económica de las pequeñas firmas. Una de estas medidas ha sido la implementación de esquemas de monotributo que promuevan</w:t>
      </w:r>
      <w:r w:rsidRPr="001800D8">
        <w:rPr>
          <w:rFonts w:ascii="Arial" w:hAnsi="Arial"/>
          <w:sz w:val="24"/>
          <w:szCs w:val="24"/>
        </w:rPr>
        <w:t xml:space="preserve"> la formalización </w:t>
      </w:r>
      <w:r w:rsidRPr="001800D8">
        <w:rPr>
          <w:rFonts w:ascii="Arial" w:hAnsi="Arial" w:cs="Arial"/>
          <w:sz w:val="24"/>
          <w:szCs w:val="24"/>
        </w:rPr>
        <w:t>empresarial, a la vez que generan una cadena de externalidades positivas para las firmas que se acogen a estos esquemas. Los esquemas de monotributo que han implementado países como Brasil y Chile se caracterizan porque tienen tarifas simples, y reglas claras y fáciles de liquidación del impuesto. El estudio adelantado por Fedesarrollo establece que la</w:t>
      </w:r>
      <w:r w:rsidRPr="001800D8">
        <w:rPr>
          <w:rFonts w:ascii="Arial" w:hAnsi="Arial"/>
          <w:sz w:val="24"/>
          <w:szCs w:val="24"/>
        </w:rPr>
        <w:t xml:space="preserve"> esencia de este impuesto es que el pequeño empresario, que usualmente no puede costear las altas cargas del cumplimiento tributario, pueda cumplir con sus deberes tributarios con un único pago que sustituye muchos impuestos. La inclusión de las entidades regionales en el monotributo hace sentido, toda vez que, a nivel local, los costos de monitoreo son menores y los ingresos potenciales relativamente mayores.</w:t>
      </w:r>
    </w:p>
    <w:p w14:paraId="28D2561C" w14:textId="77777777" w:rsidR="001800D8" w:rsidRPr="001800D8" w:rsidRDefault="001800D8" w:rsidP="001800D8">
      <w:pPr>
        <w:ind w:right="51"/>
        <w:jc w:val="both"/>
        <w:rPr>
          <w:rFonts w:ascii="Arial" w:hAnsi="Arial"/>
          <w:sz w:val="24"/>
          <w:szCs w:val="24"/>
        </w:rPr>
      </w:pPr>
    </w:p>
    <w:p w14:paraId="283E44C5" w14:textId="77777777" w:rsidR="001800D8" w:rsidRPr="001800D8" w:rsidRDefault="001800D8" w:rsidP="001800D8">
      <w:pPr>
        <w:ind w:right="51"/>
        <w:jc w:val="both"/>
        <w:rPr>
          <w:rFonts w:ascii="Arial" w:hAnsi="Arial"/>
          <w:sz w:val="24"/>
          <w:szCs w:val="24"/>
          <w:lang w:val="es-ES"/>
        </w:rPr>
      </w:pPr>
      <w:r w:rsidRPr="001800D8">
        <w:rPr>
          <w:rFonts w:ascii="Arial" w:hAnsi="Arial" w:cs="Arial"/>
          <w:sz w:val="24"/>
          <w:szCs w:val="24"/>
        </w:rPr>
        <w:t>Ahora bien, otro</w:t>
      </w:r>
      <w:r w:rsidRPr="001800D8">
        <w:rPr>
          <w:rFonts w:ascii="Arial" w:hAnsi="Arial"/>
          <w:sz w:val="24"/>
          <w:szCs w:val="24"/>
        </w:rPr>
        <w:t xml:space="preserve"> de los </w:t>
      </w:r>
      <w:r w:rsidRPr="001800D8">
        <w:rPr>
          <w:rFonts w:ascii="Arial" w:hAnsi="Arial" w:cs="Arial"/>
          <w:sz w:val="24"/>
          <w:szCs w:val="24"/>
        </w:rPr>
        <w:t>beneficios que ofrecen los esquemas</w:t>
      </w:r>
      <w:r w:rsidRPr="001800D8">
        <w:rPr>
          <w:rFonts w:ascii="Arial" w:hAnsi="Arial"/>
          <w:sz w:val="24"/>
          <w:szCs w:val="24"/>
        </w:rPr>
        <w:t xml:space="preserve"> de </w:t>
      </w:r>
      <w:r w:rsidRPr="001800D8">
        <w:rPr>
          <w:rFonts w:ascii="Arial" w:hAnsi="Arial" w:cs="Arial"/>
          <w:sz w:val="24"/>
          <w:szCs w:val="24"/>
        </w:rPr>
        <w:t>monotributo es la reducción</w:t>
      </w:r>
      <w:r w:rsidRPr="001800D8">
        <w:rPr>
          <w:rFonts w:ascii="Arial" w:hAnsi="Arial"/>
          <w:sz w:val="24"/>
          <w:szCs w:val="24"/>
        </w:rPr>
        <w:t xml:space="preserve"> de los costos de cumplimiento</w:t>
      </w:r>
      <w:r w:rsidRPr="001800D8">
        <w:rPr>
          <w:rFonts w:ascii="Arial" w:hAnsi="Arial" w:cs="Arial"/>
          <w:sz w:val="24"/>
          <w:szCs w:val="24"/>
        </w:rPr>
        <w:t xml:space="preserve"> tributario de las pequeñas y medianas firmas.</w:t>
      </w:r>
      <w:r w:rsidRPr="001800D8">
        <w:rPr>
          <w:rFonts w:ascii="Arial" w:hAnsi="Arial"/>
          <w:sz w:val="24"/>
          <w:szCs w:val="24"/>
        </w:rPr>
        <w:t xml:space="preserve"> </w:t>
      </w:r>
      <w:r w:rsidRPr="001800D8">
        <w:rPr>
          <w:rFonts w:ascii="Arial" w:hAnsi="Arial"/>
          <w:sz w:val="24"/>
          <w:szCs w:val="24"/>
          <w:lang w:val="es-ES"/>
        </w:rPr>
        <w:t>De acuerdo con estudios del Banco Mundial, se estima que el costo del cumplimiento tributario en Bogotá representa el 4,9% de los ingresos brutos anuales para las MIPYME y cuentapropistas, sumado al costo de cumplimiento tributario nacional que asciende al 6,1% de los ingresos brutos anuales. Esto contrasta con el costo de cumplimiento de las grandes empresas que únicamente representa el 0,7% de sus ingresos brutos.</w:t>
      </w:r>
    </w:p>
    <w:p w14:paraId="77E0EFD0" w14:textId="77777777" w:rsidR="001800D8" w:rsidRPr="001800D8" w:rsidRDefault="001800D8" w:rsidP="001800D8">
      <w:pPr>
        <w:ind w:right="51"/>
        <w:jc w:val="both"/>
        <w:rPr>
          <w:rFonts w:ascii="Arial" w:hAnsi="Arial"/>
          <w:sz w:val="24"/>
          <w:szCs w:val="24"/>
          <w:lang w:val="es-CO"/>
        </w:rPr>
      </w:pPr>
    </w:p>
    <w:p w14:paraId="0B5CEBE3" w14:textId="77777777" w:rsidR="001800D8" w:rsidRPr="001800D8" w:rsidRDefault="001800D8" w:rsidP="001800D8">
      <w:pPr>
        <w:ind w:right="51"/>
        <w:jc w:val="both"/>
        <w:rPr>
          <w:rFonts w:ascii="Arial" w:hAnsi="Arial"/>
          <w:sz w:val="24"/>
          <w:szCs w:val="24"/>
          <w:lang w:val="es-CO"/>
        </w:rPr>
      </w:pPr>
      <w:r w:rsidRPr="001800D8">
        <w:rPr>
          <w:rFonts w:ascii="Arial" w:hAnsi="Arial"/>
          <w:sz w:val="24"/>
          <w:szCs w:val="24"/>
          <w:lang w:val="es-CO"/>
        </w:rPr>
        <w:t xml:space="preserve">Por todo lo anterior, el Régimen Simple de Tributación – SIMPLE, creado por la Ley 1943 de 2018, se convierte en una solución al problema de la evasión en el impuesto de industria y comercio porque permitirá visibilizar a los pequeños negocios omisos. </w:t>
      </w:r>
      <w:r w:rsidRPr="001800D8">
        <w:rPr>
          <w:rFonts w:ascii="Arial" w:eastAsia="Calibri" w:hAnsi="Arial"/>
          <w:sz w:val="24"/>
          <w:szCs w:val="24"/>
          <w:lang w:val="es-CO"/>
        </w:rPr>
        <w:t>El SIMPLE tiene la ventaja que reduce los costos de formalización y facilita la tarea de monitoreo y control. También es posible implementar este régimen en diferentes segmentos, atendiendo la gran heterogeneidad que existe en la informalidad.</w:t>
      </w:r>
    </w:p>
    <w:p w14:paraId="06D2178B" w14:textId="77777777" w:rsidR="001800D8" w:rsidRPr="001800D8" w:rsidRDefault="001800D8" w:rsidP="001800D8">
      <w:pPr>
        <w:ind w:right="51"/>
        <w:jc w:val="both"/>
        <w:rPr>
          <w:rFonts w:ascii="Arial" w:eastAsia="Calibri" w:hAnsi="Arial"/>
          <w:sz w:val="24"/>
          <w:szCs w:val="24"/>
          <w:lang w:val="es-CO"/>
        </w:rPr>
      </w:pPr>
    </w:p>
    <w:p w14:paraId="44DDEC30" w14:textId="77777777" w:rsidR="001800D8" w:rsidRPr="001800D8" w:rsidRDefault="001800D8" w:rsidP="001800D8">
      <w:pPr>
        <w:ind w:right="51"/>
        <w:jc w:val="both"/>
        <w:rPr>
          <w:rFonts w:ascii="Arial" w:hAnsi="Arial"/>
          <w:sz w:val="24"/>
          <w:szCs w:val="24"/>
        </w:rPr>
      </w:pPr>
      <w:r w:rsidRPr="001800D8">
        <w:rPr>
          <w:rFonts w:ascii="Arial" w:eastAsia="Calibri" w:hAnsi="Arial"/>
          <w:sz w:val="24"/>
          <w:szCs w:val="24"/>
          <w:lang w:val="es-CO"/>
        </w:rPr>
        <w:t xml:space="preserve">Según algunos cálculos realizados por el DNP (2018) en su documento CONPES de informalidad, los costos tributarios constituyen casi la mitad de los costos de formalización de una microempresa. En este sentido, la ciudad se podría ver </w:t>
      </w:r>
      <w:r w:rsidRPr="001800D8">
        <w:rPr>
          <w:rFonts w:ascii="Arial" w:eastAsia="Calibri" w:hAnsi="Arial"/>
          <w:sz w:val="24"/>
          <w:szCs w:val="24"/>
          <w:lang w:val="es-CO"/>
        </w:rPr>
        <w:lastRenderedPageBreak/>
        <w:t>beneficiada de un esquema de monotributo, como los que se han instaurado en otros países de América Latina, en la medida en que éste utilice tarifas planas y facilite el cobro de impuestos locales.</w:t>
      </w:r>
    </w:p>
    <w:p w14:paraId="10BACC3A" w14:textId="77777777" w:rsidR="001800D8" w:rsidRPr="001800D8" w:rsidRDefault="001800D8" w:rsidP="001800D8">
      <w:pPr>
        <w:ind w:right="51"/>
        <w:jc w:val="both"/>
        <w:rPr>
          <w:rFonts w:ascii="Arial" w:eastAsia="Calibri" w:hAnsi="Arial"/>
          <w:sz w:val="24"/>
          <w:szCs w:val="24"/>
          <w:lang w:val="es-CO"/>
        </w:rPr>
      </w:pPr>
    </w:p>
    <w:p w14:paraId="693977ED" w14:textId="20FE5A48" w:rsidR="001800D8" w:rsidRDefault="001800D8" w:rsidP="001800D8">
      <w:pPr>
        <w:ind w:right="51"/>
        <w:jc w:val="both"/>
        <w:rPr>
          <w:rFonts w:ascii="Arial" w:eastAsia="Calibri" w:hAnsi="Arial" w:cs="Arial"/>
          <w:sz w:val="24"/>
          <w:szCs w:val="24"/>
          <w:lang w:val="es-CO"/>
        </w:rPr>
      </w:pPr>
      <w:r w:rsidRPr="001800D8">
        <w:rPr>
          <w:rFonts w:ascii="Arial" w:eastAsia="Calibri" w:hAnsi="Arial"/>
          <w:sz w:val="24"/>
          <w:szCs w:val="24"/>
          <w:lang w:val="es-CO"/>
        </w:rPr>
        <w:t>Un esquema de monotributo cumple con tres propiedades deseables: la simplicidad de la estructura de tarifas, la reducción del costo de cumplimiento tributario y el “enganche” de pequeños empresarios que antes no estaban bajo la órbita del estado, lo que aumenta la información disponible de las autoridades, facilita el monitoreo, y por estas razones puede mejorar la recolección de impuestos y el cumplimiento de otras obligaciones/ estándares sanitarios, de calidad, ambientales y laborales.</w:t>
      </w:r>
      <w:r w:rsidRPr="001800D8">
        <w:rPr>
          <w:rFonts w:ascii="Arial" w:eastAsia="Calibri" w:hAnsi="Arial" w:cs="Arial"/>
          <w:sz w:val="24"/>
          <w:szCs w:val="24"/>
          <w:lang w:val="es-CO"/>
        </w:rPr>
        <w:t xml:space="preserve"> (Fernández y Fernández, 2018)</w:t>
      </w:r>
      <w:r w:rsidRPr="001800D8">
        <w:rPr>
          <w:rStyle w:val="Refdenotaalpie"/>
          <w:rFonts w:ascii="Arial" w:eastAsia="Calibri" w:hAnsi="Arial" w:cs="Arial"/>
          <w:sz w:val="24"/>
          <w:szCs w:val="24"/>
          <w:lang w:val="es-CO"/>
        </w:rPr>
        <w:footnoteReference w:id="3"/>
      </w:r>
    </w:p>
    <w:p w14:paraId="58DA468F" w14:textId="77777777" w:rsidR="00F824B7" w:rsidRPr="001800D8" w:rsidRDefault="00F824B7" w:rsidP="001800D8">
      <w:pPr>
        <w:ind w:right="51"/>
        <w:jc w:val="both"/>
        <w:rPr>
          <w:rFonts w:ascii="Arial" w:eastAsia="Calibri" w:hAnsi="Arial"/>
          <w:sz w:val="24"/>
          <w:szCs w:val="24"/>
          <w:lang w:val="es-CO"/>
        </w:rPr>
      </w:pPr>
    </w:p>
    <w:p w14:paraId="02B44560" w14:textId="77777777" w:rsidR="001800D8" w:rsidRPr="00C342F8" w:rsidRDefault="001800D8" w:rsidP="001800D8">
      <w:pPr>
        <w:ind w:right="51"/>
        <w:jc w:val="both"/>
        <w:rPr>
          <w:rFonts w:ascii="Arial" w:hAnsi="Arial"/>
        </w:rPr>
      </w:pPr>
    </w:p>
    <w:p w14:paraId="58D61704" w14:textId="77777777" w:rsidR="001800D8" w:rsidRPr="00BE0F8F" w:rsidRDefault="001800D8" w:rsidP="001800D8">
      <w:pPr>
        <w:pStyle w:val="Prrafodelista"/>
        <w:numPr>
          <w:ilvl w:val="0"/>
          <w:numId w:val="19"/>
        </w:numPr>
        <w:ind w:right="51"/>
        <w:jc w:val="both"/>
        <w:rPr>
          <w:rFonts w:ascii="Arial" w:hAnsi="Arial" w:cs="Arial"/>
          <w:b/>
          <w:bCs/>
          <w:sz w:val="24"/>
          <w:szCs w:val="24"/>
        </w:rPr>
      </w:pPr>
      <w:r w:rsidRPr="00BE0F8F">
        <w:rPr>
          <w:rFonts w:ascii="Arial" w:hAnsi="Arial" w:cs="Arial"/>
          <w:b/>
          <w:bCs/>
          <w:sz w:val="24"/>
          <w:szCs w:val="24"/>
        </w:rPr>
        <w:t>Adopción del SIMPLE por el Distrito Capital</w:t>
      </w:r>
    </w:p>
    <w:p w14:paraId="283DD590" w14:textId="77777777" w:rsidR="001800D8" w:rsidRPr="00B146F8" w:rsidRDefault="001800D8" w:rsidP="001800D8">
      <w:pPr>
        <w:ind w:right="51"/>
        <w:jc w:val="both"/>
        <w:rPr>
          <w:rFonts w:ascii="Arial" w:hAnsi="Arial" w:cs="Arial"/>
          <w:b/>
          <w:bCs/>
          <w:sz w:val="28"/>
          <w:szCs w:val="28"/>
        </w:rPr>
      </w:pPr>
    </w:p>
    <w:p w14:paraId="6736CF60" w14:textId="77777777" w:rsidR="001800D8" w:rsidRPr="001800D8" w:rsidRDefault="001800D8" w:rsidP="001800D8">
      <w:pPr>
        <w:pStyle w:val="Default"/>
        <w:ind w:right="51"/>
        <w:jc w:val="both"/>
        <w:rPr>
          <w:rStyle w:val="Ninguno"/>
        </w:rPr>
      </w:pPr>
      <w:r w:rsidRPr="001800D8">
        <w:rPr>
          <w:rStyle w:val="Ninguno"/>
        </w:rPr>
        <w:t>En cumplimiento de lo establecido en el parágrafo transitorio del artículo 907 y el parágrafo tercero del artículo 908 del Estatuto Tributario, los municipios y/o distritos deberán informar las tarifas del impuesto de industria y comercio consolidado a la Unidad Administrativa Especial Dirección de Impuestos y Aduanas Nacionales –DIAN antes del 31 de diciembre de 2019.</w:t>
      </w:r>
    </w:p>
    <w:p w14:paraId="3CBE7C74" w14:textId="77777777" w:rsidR="001800D8" w:rsidRPr="001800D8" w:rsidRDefault="001800D8" w:rsidP="001800D8">
      <w:pPr>
        <w:pStyle w:val="Default"/>
        <w:ind w:right="51"/>
        <w:jc w:val="both"/>
        <w:rPr>
          <w:rStyle w:val="Ninguno"/>
        </w:rPr>
      </w:pPr>
    </w:p>
    <w:p w14:paraId="72B93B2A" w14:textId="77777777" w:rsidR="001800D8" w:rsidRPr="001800D8" w:rsidRDefault="001800D8" w:rsidP="001800D8">
      <w:pPr>
        <w:pStyle w:val="Default"/>
        <w:ind w:right="51"/>
        <w:jc w:val="both"/>
        <w:rPr>
          <w:rStyle w:val="Ninguno"/>
        </w:rPr>
      </w:pPr>
      <w:r w:rsidRPr="001800D8">
        <w:rPr>
          <w:rStyle w:val="Ninguno"/>
        </w:rPr>
        <w:t>Las tarifas del ICA consolidado incluyen para Bogotá el impuesto complementario de avisos y tableros, razón por la cual fue necesario calcular una tarifa por cada agrupación tarifaria del CIIU que incluyera el impuesto de industria y comercio más el impuesto complementario de avisos y tableros.</w:t>
      </w:r>
    </w:p>
    <w:p w14:paraId="471FAFF8" w14:textId="77777777" w:rsidR="001800D8" w:rsidRPr="001800D8" w:rsidRDefault="001800D8" w:rsidP="001800D8">
      <w:pPr>
        <w:pStyle w:val="Default"/>
        <w:ind w:right="51"/>
        <w:jc w:val="both"/>
        <w:rPr>
          <w:rStyle w:val="Ninguno"/>
        </w:rPr>
      </w:pPr>
    </w:p>
    <w:p w14:paraId="25AEA4B9" w14:textId="77777777" w:rsidR="001800D8" w:rsidRPr="001800D8" w:rsidRDefault="001800D8" w:rsidP="001800D8">
      <w:pPr>
        <w:pStyle w:val="Default"/>
        <w:ind w:right="51"/>
        <w:jc w:val="both"/>
        <w:rPr>
          <w:rStyle w:val="Ninguno"/>
        </w:rPr>
      </w:pPr>
      <w:r w:rsidRPr="001800D8">
        <w:rPr>
          <w:rStyle w:val="Ninguno"/>
        </w:rPr>
        <w:t>En tal sentido, la Dirección Distrital de Impuestos de Bogotá calculó la tarifa efectiva consolidada para cada agrupación tarifaria del CIIU a partir de la siguiente regla:</w:t>
      </w:r>
    </w:p>
    <w:p w14:paraId="37F208B3" w14:textId="77777777" w:rsidR="001800D8" w:rsidRPr="001800D8" w:rsidRDefault="001800D8" w:rsidP="001800D8">
      <w:pPr>
        <w:pStyle w:val="Default"/>
        <w:ind w:right="474"/>
        <w:jc w:val="both"/>
        <w:rPr>
          <w:rStyle w:val="Ninguno"/>
        </w:rPr>
      </w:pPr>
    </w:p>
    <w:p w14:paraId="5B449D68" w14:textId="77777777" w:rsidR="001800D8" w:rsidRPr="001800D8" w:rsidRDefault="009E68DF" w:rsidP="001800D8">
      <w:pPr>
        <w:jc w:val="both"/>
        <w:rPr>
          <w:sz w:val="24"/>
          <w:szCs w:val="24"/>
          <w:lang w:val="es-ES" w:eastAsia="x-none"/>
        </w:rPr>
      </w:pPr>
      <m:oMathPara>
        <m:oMath>
          <m:sSub>
            <m:sSubPr>
              <m:ctrlPr>
                <w:rPr>
                  <w:rFonts w:ascii="Cambria Math" w:hAnsi="Cambria Math"/>
                  <w:i/>
                  <w:sz w:val="22"/>
                  <w:szCs w:val="22"/>
                  <w:lang w:val="es-ES"/>
                </w:rPr>
              </m:ctrlPr>
            </m:sSubPr>
            <m:e>
              <m:r>
                <w:rPr>
                  <w:rFonts w:ascii="Cambria Math" w:hAnsi="Cambria Math"/>
                  <w:sz w:val="22"/>
                  <w:szCs w:val="22"/>
                  <w:lang w:val="es-ES"/>
                </w:rPr>
                <m:t>Tarifa ICA Consolidada</m:t>
              </m:r>
            </m:e>
            <m:sub>
              <m:r>
                <w:rPr>
                  <w:rFonts w:ascii="Cambria Math" w:hAnsi="Cambria Math"/>
                  <w:sz w:val="22"/>
                  <w:szCs w:val="22"/>
                  <w:lang w:val="es-ES"/>
                </w:rPr>
                <m:t>it</m:t>
              </m:r>
            </m:sub>
          </m:sSub>
          <m:r>
            <w:rPr>
              <w:rFonts w:ascii="Cambria Math" w:hAnsi="Cambria Math"/>
              <w:sz w:val="22"/>
              <w:szCs w:val="22"/>
              <w:lang w:val="es-ES"/>
            </w:rPr>
            <m:t xml:space="preserve">= </m:t>
          </m:r>
          <m:f>
            <m:fPr>
              <m:ctrlPr>
                <w:rPr>
                  <w:rFonts w:ascii="Cambria Math" w:hAnsi="Cambria Math"/>
                  <w:i/>
                  <w:sz w:val="22"/>
                  <w:szCs w:val="22"/>
                  <w:lang w:val="es-ES"/>
                </w:rPr>
              </m:ctrlPr>
            </m:fPr>
            <m:num>
              <m:sSub>
                <m:sSubPr>
                  <m:ctrlPr>
                    <w:rPr>
                      <w:rFonts w:ascii="Cambria Math" w:hAnsi="Cambria Math"/>
                      <w:i/>
                      <w:sz w:val="22"/>
                      <w:szCs w:val="22"/>
                      <w:lang w:val="es-ES"/>
                    </w:rPr>
                  </m:ctrlPr>
                </m:sSubPr>
                <m:e>
                  <m:r>
                    <w:rPr>
                      <w:rFonts w:ascii="Cambria Math" w:hAnsi="Cambria Math"/>
                      <w:sz w:val="22"/>
                      <w:szCs w:val="22"/>
                      <w:lang w:val="es-ES"/>
                    </w:rPr>
                    <m:t>(ICA+Impuesto Complementario de Avisos y Tableros)</m:t>
                  </m:r>
                </m:e>
                <m:sub>
                  <m:r>
                    <w:rPr>
                      <w:rFonts w:ascii="Cambria Math" w:hAnsi="Cambria Math"/>
                      <w:sz w:val="22"/>
                      <w:szCs w:val="22"/>
                      <w:lang w:val="es-ES"/>
                    </w:rPr>
                    <m:t>it</m:t>
                  </m:r>
                </m:sub>
              </m:sSub>
            </m:num>
            <m:den>
              <m:sSub>
                <m:sSubPr>
                  <m:ctrlPr>
                    <w:rPr>
                      <w:rFonts w:ascii="Cambria Math" w:hAnsi="Cambria Math"/>
                      <w:i/>
                      <w:sz w:val="22"/>
                      <w:szCs w:val="22"/>
                      <w:lang w:val="es-ES"/>
                    </w:rPr>
                  </m:ctrlPr>
                </m:sSubPr>
                <m:e>
                  <m:r>
                    <w:rPr>
                      <w:rFonts w:ascii="Cambria Math" w:hAnsi="Cambria Math"/>
                      <w:sz w:val="22"/>
                      <w:szCs w:val="22"/>
                      <w:lang w:val="es-ES"/>
                    </w:rPr>
                    <m:t>Ingresos Netos Gravables</m:t>
                  </m:r>
                </m:e>
                <m:sub>
                  <m:r>
                    <w:rPr>
                      <w:rFonts w:ascii="Cambria Math" w:hAnsi="Cambria Math"/>
                      <w:sz w:val="22"/>
                      <w:szCs w:val="22"/>
                      <w:lang w:val="es-ES"/>
                    </w:rPr>
                    <m:t>it</m:t>
                  </m:r>
                </m:sub>
              </m:sSub>
            </m:den>
          </m:f>
        </m:oMath>
      </m:oMathPara>
    </w:p>
    <w:p w14:paraId="72578B93" w14:textId="77777777" w:rsidR="001800D8" w:rsidRPr="001800D8" w:rsidRDefault="001800D8" w:rsidP="001800D8">
      <w:pPr>
        <w:jc w:val="both"/>
        <w:rPr>
          <w:sz w:val="24"/>
          <w:szCs w:val="24"/>
          <w:lang w:val="es-ES" w:eastAsia="x-none"/>
        </w:rPr>
      </w:pPr>
    </w:p>
    <w:p w14:paraId="23927CB7" w14:textId="77777777" w:rsidR="001800D8" w:rsidRPr="001800D8" w:rsidRDefault="001800D8" w:rsidP="001800D8">
      <w:pPr>
        <w:jc w:val="both"/>
        <w:rPr>
          <w:rFonts w:ascii="Arial" w:hAnsi="Arial"/>
          <w:sz w:val="24"/>
          <w:szCs w:val="24"/>
          <w:lang w:val="es-ES"/>
        </w:rPr>
      </w:pPr>
      <w:r w:rsidRPr="001800D8">
        <w:rPr>
          <w:rFonts w:ascii="Arial" w:hAnsi="Arial"/>
          <w:sz w:val="24"/>
          <w:szCs w:val="24"/>
          <w:lang w:val="es-ES"/>
        </w:rPr>
        <w:t>Donde i corresponde a cada agrupación tarifaria, y t es el año gravable 2018.</w:t>
      </w:r>
    </w:p>
    <w:p w14:paraId="45C74B20" w14:textId="77777777" w:rsidR="001800D8" w:rsidRPr="001800D8" w:rsidRDefault="001800D8" w:rsidP="001800D8">
      <w:pPr>
        <w:jc w:val="both"/>
        <w:rPr>
          <w:rFonts w:ascii="Arial" w:hAnsi="Arial"/>
          <w:sz w:val="24"/>
          <w:szCs w:val="24"/>
          <w:lang w:val="es-ES"/>
        </w:rPr>
      </w:pPr>
    </w:p>
    <w:p w14:paraId="0999F1E1" w14:textId="77777777" w:rsidR="001800D8" w:rsidRPr="001800D8" w:rsidRDefault="001800D8" w:rsidP="001800D8">
      <w:pPr>
        <w:jc w:val="both"/>
        <w:rPr>
          <w:rFonts w:ascii="Arial" w:hAnsi="Arial"/>
          <w:sz w:val="24"/>
          <w:szCs w:val="24"/>
          <w:lang w:val="es-ES"/>
        </w:rPr>
      </w:pPr>
      <w:r w:rsidRPr="001800D8">
        <w:rPr>
          <w:rFonts w:ascii="Arial" w:hAnsi="Arial"/>
          <w:sz w:val="24"/>
          <w:szCs w:val="24"/>
          <w:lang w:val="es-ES"/>
        </w:rPr>
        <w:t>Esta tarifa efectiva para cada agrupación tarifaria garantiza que no hay impacto fiscal, y que como mínimo se recaudará el mismo monto del tributo sin importar cuáles y cuántos contribuyentes migren al SIMPLE.</w:t>
      </w:r>
    </w:p>
    <w:p w14:paraId="71E103C0" w14:textId="77777777" w:rsidR="001800D8" w:rsidRPr="001800D8" w:rsidRDefault="001800D8" w:rsidP="001800D8">
      <w:pPr>
        <w:jc w:val="both"/>
        <w:rPr>
          <w:rFonts w:ascii="Arial" w:hAnsi="Arial"/>
          <w:sz w:val="24"/>
          <w:szCs w:val="24"/>
          <w:lang w:val="es-ES"/>
        </w:rPr>
      </w:pPr>
    </w:p>
    <w:p w14:paraId="6059D3BC" w14:textId="77777777" w:rsidR="001800D8" w:rsidRPr="001800D8" w:rsidRDefault="001800D8" w:rsidP="001800D8">
      <w:pPr>
        <w:jc w:val="both"/>
        <w:rPr>
          <w:rFonts w:ascii="Arial" w:hAnsi="Arial"/>
          <w:sz w:val="24"/>
          <w:szCs w:val="24"/>
          <w:lang w:val="es-ES"/>
        </w:rPr>
      </w:pPr>
      <w:r w:rsidRPr="001800D8">
        <w:rPr>
          <w:rFonts w:ascii="Arial" w:hAnsi="Arial"/>
          <w:sz w:val="24"/>
          <w:szCs w:val="24"/>
          <w:lang w:val="es-ES"/>
        </w:rPr>
        <w:t>El impacto fiscal de la medida se observa en detalle en el siguiente cuadro:</w:t>
      </w:r>
    </w:p>
    <w:p w14:paraId="711CBE38" w14:textId="77777777" w:rsidR="001800D8" w:rsidRPr="00B15AEE" w:rsidRDefault="001800D8" w:rsidP="001800D8">
      <w:pPr>
        <w:jc w:val="both"/>
        <w:rPr>
          <w:rFonts w:ascii="Arial" w:hAnsi="Arial"/>
          <w:lang w:val="es-ES"/>
        </w:rPr>
      </w:pPr>
    </w:p>
    <w:p w14:paraId="63FEA393" w14:textId="690434FB" w:rsidR="001800D8" w:rsidRPr="00B15AEE" w:rsidRDefault="001800D8" w:rsidP="001800D8">
      <w:pPr>
        <w:jc w:val="center"/>
        <w:rPr>
          <w:rFonts w:ascii="Arial" w:hAnsi="Arial"/>
          <w:lang w:val="es-ES"/>
        </w:rPr>
      </w:pPr>
      <w:r w:rsidRPr="001800D8">
        <w:rPr>
          <w:rFonts w:ascii="Arial" w:hAnsi="Arial"/>
          <w:b/>
          <w:sz w:val="24"/>
          <w:szCs w:val="24"/>
          <w:lang w:val="es-ES"/>
        </w:rPr>
        <w:t xml:space="preserve">Cuadro </w:t>
      </w:r>
      <w:r w:rsidR="000D6B2C">
        <w:rPr>
          <w:rFonts w:ascii="Arial" w:hAnsi="Arial"/>
          <w:b/>
          <w:sz w:val="24"/>
          <w:szCs w:val="24"/>
          <w:lang w:val="es-ES"/>
        </w:rPr>
        <w:t>3</w:t>
      </w:r>
      <w:r w:rsidRPr="001800D8">
        <w:rPr>
          <w:rFonts w:ascii="Arial" w:hAnsi="Arial"/>
          <w:b/>
          <w:sz w:val="24"/>
          <w:szCs w:val="24"/>
          <w:lang w:val="es-ES"/>
        </w:rPr>
        <w:t xml:space="preserve">. </w:t>
      </w:r>
      <w:r w:rsidRPr="001800D8">
        <w:rPr>
          <w:rFonts w:ascii="Arial" w:hAnsi="Arial"/>
          <w:sz w:val="24"/>
          <w:szCs w:val="24"/>
          <w:lang w:val="es-ES"/>
        </w:rPr>
        <w:t>Tarifas Consolidadas del ICA para el SIMPLE</w:t>
      </w:r>
    </w:p>
    <w:tbl>
      <w:tblPr>
        <w:tblW w:w="0" w:type="auto"/>
        <w:jc w:val="center"/>
        <w:tblCellMar>
          <w:left w:w="70" w:type="dxa"/>
          <w:right w:w="70" w:type="dxa"/>
        </w:tblCellMar>
        <w:tblLook w:val="04A0" w:firstRow="1" w:lastRow="0" w:firstColumn="1" w:lastColumn="0" w:noHBand="0" w:noVBand="1"/>
      </w:tblPr>
      <w:tblGrid>
        <w:gridCol w:w="1300"/>
        <w:gridCol w:w="1412"/>
        <w:gridCol w:w="1278"/>
        <w:gridCol w:w="1237"/>
        <w:gridCol w:w="1430"/>
        <w:gridCol w:w="2163"/>
      </w:tblGrid>
      <w:tr w:rsidR="001800D8" w:rsidRPr="00004AA2" w14:paraId="06A2DD2A" w14:textId="77777777" w:rsidTr="001800D8">
        <w:trPr>
          <w:trHeight w:val="170"/>
          <w:jc w:val="center"/>
        </w:trPr>
        <w:tc>
          <w:tcPr>
            <w:tcW w:w="0" w:type="auto"/>
            <w:tcBorders>
              <w:top w:val="single" w:sz="8" w:space="0" w:color="auto"/>
              <w:left w:val="single" w:sz="8" w:space="0" w:color="auto"/>
              <w:bottom w:val="single" w:sz="8" w:space="0" w:color="auto"/>
              <w:right w:val="nil"/>
            </w:tcBorders>
            <w:shd w:val="clear" w:color="000000" w:fill="FFFFFF"/>
            <w:vAlign w:val="center"/>
            <w:hideMark/>
          </w:tcPr>
          <w:p w14:paraId="3AD62355" w14:textId="77777777" w:rsidR="001800D8" w:rsidRPr="00004AA2" w:rsidRDefault="001800D8" w:rsidP="001800D8">
            <w:pPr>
              <w:jc w:val="center"/>
              <w:rPr>
                <w:rFonts w:ascii="Arial" w:hAnsi="Arial" w:cs="Arial"/>
                <w:b/>
                <w:bCs/>
                <w:color w:val="000000"/>
                <w:sz w:val="16"/>
                <w:szCs w:val="16"/>
                <w:lang w:val="es-ES"/>
              </w:rPr>
            </w:pPr>
            <w:r w:rsidRPr="00004AA2">
              <w:rPr>
                <w:rFonts w:ascii="Arial" w:hAnsi="Arial" w:cs="Arial"/>
                <w:b/>
                <w:bCs/>
                <w:color w:val="000000"/>
                <w:sz w:val="16"/>
                <w:szCs w:val="16"/>
                <w:lang w:val="es-ES"/>
              </w:rPr>
              <w:t>Agrupación Tarifaria</w:t>
            </w:r>
          </w:p>
        </w:tc>
        <w:tc>
          <w:tcPr>
            <w:tcW w:w="0" w:type="auto"/>
            <w:tcBorders>
              <w:top w:val="single" w:sz="8" w:space="0" w:color="auto"/>
              <w:left w:val="nil"/>
              <w:bottom w:val="single" w:sz="8" w:space="0" w:color="auto"/>
              <w:right w:val="nil"/>
            </w:tcBorders>
            <w:shd w:val="clear" w:color="000000" w:fill="FFFFFF"/>
            <w:vAlign w:val="center"/>
            <w:hideMark/>
          </w:tcPr>
          <w:p w14:paraId="4416410E" w14:textId="77777777" w:rsidR="001800D8" w:rsidRPr="00004AA2" w:rsidRDefault="001800D8" w:rsidP="001800D8">
            <w:pPr>
              <w:jc w:val="center"/>
              <w:rPr>
                <w:rFonts w:ascii="Arial" w:hAnsi="Arial" w:cs="Arial"/>
                <w:b/>
                <w:bCs/>
                <w:color w:val="000000"/>
                <w:sz w:val="16"/>
                <w:szCs w:val="16"/>
                <w:lang w:val="es-ES"/>
              </w:rPr>
            </w:pPr>
            <w:r w:rsidRPr="00004AA2">
              <w:rPr>
                <w:rFonts w:ascii="Arial" w:hAnsi="Arial" w:cs="Arial"/>
                <w:b/>
                <w:bCs/>
                <w:color w:val="000000"/>
                <w:sz w:val="16"/>
                <w:szCs w:val="16"/>
                <w:lang w:val="es-ES"/>
              </w:rPr>
              <w:t>Ingresos Netos Gravables</w:t>
            </w:r>
          </w:p>
        </w:tc>
        <w:tc>
          <w:tcPr>
            <w:tcW w:w="0" w:type="auto"/>
            <w:tcBorders>
              <w:top w:val="single" w:sz="8" w:space="0" w:color="auto"/>
              <w:left w:val="nil"/>
              <w:bottom w:val="single" w:sz="8" w:space="0" w:color="auto"/>
              <w:right w:val="nil"/>
            </w:tcBorders>
            <w:shd w:val="clear" w:color="000000" w:fill="FFFFFF"/>
            <w:vAlign w:val="center"/>
            <w:hideMark/>
          </w:tcPr>
          <w:p w14:paraId="24CA9360" w14:textId="77777777" w:rsidR="001800D8" w:rsidRPr="00004AA2" w:rsidRDefault="001800D8" w:rsidP="001800D8">
            <w:pPr>
              <w:jc w:val="center"/>
              <w:rPr>
                <w:rFonts w:ascii="Arial" w:hAnsi="Arial" w:cs="Arial"/>
                <w:b/>
                <w:bCs/>
                <w:color w:val="000000"/>
                <w:sz w:val="16"/>
                <w:szCs w:val="16"/>
                <w:lang w:val="es-ES"/>
              </w:rPr>
            </w:pPr>
            <w:r w:rsidRPr="00004AA2">
              <w:rPr>
                <w:rFonts w:ascii="Arial" w:hAnsi="Arial" w:cs="Arial"/>
                <w:b/>
                <w:bCs/>
                <w:color w:val="000000"/>
                <w:sz w:val="16"/>
                <w:szCs w:val="16"/>
                <w:lang w:val="es-ES"/>
              </w:rPr>
              <w:t>ICA Régimen Ordinario</w:t>
            </w:r>
          </w:p>
        </w:tc>
        <w:tc>
          <w:tcPr>
            <w:tcW w:w="0" w:type="auto"/>
            <w:tcBorders>
              <w:top w:val="single" w:sz="8" w:space="0" w:color="auto"/>
              <w:left w:val="nil"/>
              <w:bottom w:val="single" w:sz="8" w:space="0" w:color="auto"/>
              <w:right w:val="nil"/>
            </w:tcBorders>
            <w:shd w:val="clear" w:color="000000" w:fill="FFFFFF"/>
            <w:vAlign w:val="center"/>
            <w:hideMark/>
          </w:tcPr>
          <w:p w14:paraId="0A8482D3" w14:textId="77777777" w:rsidR="001800D8" w:rsidRPr="00004AA2" w:rsidRDefault="001800D8" w:rsidP="001800D8">
            <w:pPr>
              <w:jc w:val="center"/>
              <w:rPr>
                <w:rFonts w:ascii="Arial" w:hAnsi="Arial" w:cs="Arial"/>
                <w:b/>
                <w:bCs/>
                <w:color w:val="000000"/>
                <w:sz w:val="16"/>
                <w:szCs w:val="16"/>
                <w:lang w:val="es-ES"/>
              </w:rPr>
            </w:pPr>
            <w:r w:rsidRPr="00004AA2">
              <w:rPr>
                <w:rFonts w:ascii="Arial" w:hAnsi="Arial" w:cs="Arial"/>
                <w:b/>
                <w:bCs/>
                <w:color w:val="000000"/>
                <w:sz w:val="16"/>
                <w:szCs w:val="16"/>
                <w:lang w:val="es-ES"/>
              </w:rPr>
              <w:t>ICA Consolidado</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189B8DEE" w14:textId="77777777" w:rsidR="001800D8" w:rsidRPr="00004AA2" w:rsidRDefault="001800D8" w:rsidP="001800D8">
            <w:pPr>
              <w:jc w:val="center"/>
              <w:rPr>
                <w:rFonts w:ascii="Arial" w:hAnsi="Arial" w:cs="Arial"/>
                <w:b/>
                <w:bCs/>
                <w:color w:val="000000"/>
                <w:sz w:val="16"/>
                <w:szCs w:val="16"/>
                <w:lang w:val="es-ES"/>
              </w:rPr>
            </w:pPr>
            <w:r w:rsidRPr="00004AA2">
              <w:rPr>
                <w:rFonts w:ascii="Arial" w:hAnsi="Arial" w:cs="Arial"/>
                <w:b/>
                <w:bCs/>
                <w:color w:val="000000"/>
                <w:sz w:val="16"/>
                <w:szCs w:val="16"/>
                <w:lang w:val="es-ES"/>
              </w:rPr>
              <w:t>Tarifa ICA Consolidado</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22A09C8F" w14:textId="77777777" w:rsidR="001800D8" w:rsidRPr="00004AA2" w:rsidRDefault="001800D8" w:rsidP="001800D8">
            <w:pPr>
              <w:jc w:val="center"/>
              <w:rPr>
                <w:rFonts w:ascii="Arial" w:hAnsi="Arial" w:cs="Arial"/>
                <w:b/>
                <w:bCs/>
                <w:color w:val="000000"/>
                <w:sz w:val="16"/>
                <w:szCs w:val="16"/>
                <w:lang w:val="es-ES"/>
              </w:rPr>
            </w:pPr>
            <w:r w:rsidRPr="00004AA2">
              <w:rPr>
                <w:rFonts w:ascii="Arial" w:hAnsi="Arial" w:cs="Arial"/>
                <w:b/>
                <w:bCs/>
                <w:color w:val="000000"/>
                <w:sz w:val="16"/>
                <w:szCs w:val="16"/>
                <w:lang w:val="es-ES"/>
              </w:rPr>
              <w:t>Tarifa ICA Régimen Ordinario</w:t>
            </w:r>
            <w:r>
              <w:rPr>
                <w:rFonts w:ascii="Arial" w:hAnsi="Arial" w:cs="Arial"/>
                <w:b/>
                <w:bCs/>
                <w:color w:val="000000"/>
                <w:sz w:val="16"/>
                <w:szCs w:val="16"/>
                <w:lang w:val="es-ES"/>
              </w:rPr>
              <w:t>, sin avisos y tableros</w:t>
            </w:r>
          </w:p>
        </w:tc>
      </w:tr>
      <w:tr w:rsidR="001800D8" w:rsidRPr="00004AA2" w14:paraId="610B8432"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310B451D"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101</w:t>
            </w:r>
          </w:p>
        </w:tc>
        <w:tc>
          <w:tcPr>
            <w:tcW w:w="0" w:type="auto"/>
            <w:tcBorders>
              <w:top w:val="nil"/>
              <w:left w:val="nil"/>
              <w:bottom w:val="nil"/>
              <w:right w:val="nil"/>
            </w:tcBorders>
            <w:shd w:val="clear" w:color="000000" w:fill="FFFFFF"/>
            <w:noWrap/>
            <w:vAlign w:val="center"/>
            <w:hideMark/>
          </w:tcPr>
          <w:p w14:paraId="18672D7F"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1.860.666</w:t>
            </w:r>
          </w:p>
        </w:tc>
        <w:tc>
          <w:tcPr>
            <w:tcW w:w="0" w:type="auto"/>
            <w:tcBorders>
              <w:top w:val="nil"/>
              <w:left w:val="nil"/>
              <w:bottom w:val="nil"/>
              <w:right w:val="nil"/>
            </w:tcBorders>
            <w:shd w:val="clear" w:color="000000" w:fill="FFFFFF"/>
            <w:noWrap/>
            <w:vAlign w:val="center"/>
            <w:hideMark/>
          </w:tcPr>
          <w:p w14:paraId="4949314F"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8.669</w:t>
            </w:r>
          </w:p>
        </w:tc>
        <w:tc>
          <w:tcPr>
            <w:tcW w:w="0" w:type="auto"/>
            <w:tcBorders>
              <w:top w:val="nil"/>
              <w:left w:val="nil"/>
              <w:bottom w:val="nil"/>
              <w:right w:val="nil"/>
            </w:tcBorders>
            <w:shd w:val="clear" w:color="000000" w:fill="FFFFFF"/>
            <w:noWrap/>
            <w:vAlign w:val="center"/>
            <w:hideMark/>
          </w:tcPr>
          <w:p w14:paraId="17F58B2E"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9.303</w:t>
            </w:r>
          </w:p>
        </w:tc>
        <w:tc>
          <w:tcPr>
            <w:tcW w:w="0" w:type="auto"/>
            <w:tcBorders>
              <w:top w:val="nil"/>
              <w:left w:val="single" w:sz="8" w:space="0" w:color="auto"/>
              <w:bottom w:val="nil"/>
              <w:right w:val="single" w:sz="8" w:space="0" w:color="auto"/>
            </w:tcBorders>
            <w:shd w:val="clear" w:color="000000" w:fill="FFFFFF"/>
            <w:noWrap/>
            <w:vAlign w:val="center"/>
            <w:hideMark/>
          </w:tcPr>
          <w:p w14:paraId="41E91144"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0,50%</w:t>
            </w:r>
          </w:p>
        </w:tc>
        <w:tc>
          <w:tcPr>
            <w:tcW w:w="0" w:type="auto"/>
            <w:tcBorders>
              <w:top w:val="nil"/>
              <w:left w:val="nil"/>
              <w:bottom w:val="nil"/>
              <w:right w:val="single" w:sz="8" w:space="0" w:color="auto"/>
            </w:tcBorders>
            <w:shd w:val="clear" w:color="000000" w:fill="FFFFFF"/>
            <w:noWrap/>
            <w:vAlign w:val="center"/>
            <w:hideMark/>
          </w:tcPr>
          <w:p w14:paraId="25484854"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0,414%</w:t>
            </w:r>
          </w:p>
        </w:tc>
      </w:tr>
      <w:tr w:rsidR="001800D8" w:rsidRPr="00004AA2" w14:paraId="44EF0D8E"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11DB6F86"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102</w:t>
            </w:r>
          </w:p>
        </w:tc>
        <w:tc>
          <w:tcPr>
            <w:tcW w:w="0" w:type="auto"/>
            <w:tcBorders>
              <w:top w:val="nil"/>
              <w:left w:val="nil"/>
              <w:bottom w:val="nil"/>
              <w:right w:val="nil"/>
            </w:tcBorders>
            <w:shd w:val="clear" w:color="000000" w:fill="FFFFFF"/>
            <w:noWrap/>
            <w:vAlign w:val="center"/>
            <w:hideMark/>
          </w:tcPr>
          <w:p w14:paraId="2A5216BC"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277.544</w:t>
            </w:r>
          </w:p>
        </w:tc>
        <w:tc>
          <w:tcPr>
            <w:tcW w:w="0" w:type="auto"/>
            <w:tcBorders>
              <w:top w:val="nil"/>
              <w:left w:val="nil"/>
              <w:bottom w:val="nil"/>
              <w:right w:val="nil"/>
            </w:tcBorders>
            <w:shd w:val="clear" w:color="000000" w:fill="FFFFFF"/>
            <w:noWrap/>
            <w:vAlign w:val="center"/>
            <w:hideMark/>
          </w:tcPr>
          <w:p w14:paraId="2A3F06D6"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2.075</w:t>
            </w:r>
          </w:p>
        </w:tc>
        <w:tc>
          <w:tcPr>
            <w:tcW w:w="0" w:type="auto"/>
            <w:tcBorders>
              <w:top w:val="nil"/>
              <w:left w:val="nil"/>
              <w:bottom w:val="nil"/>
              <w:right w:val="nil"/>
            </w:tcBorders>
            <w:shd w:val="clear" w:color="000000" w:fill="FFFFFF"/>
            <w:noWrap/>
            <w:vAlign w:val="center"/>
            <w:hideMark/>
          </w:tcPr>
          <w:p w14:paraId="4EF5FFBB"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2.220</w:t>
            </w:r>
          </w:p>
        </w:tc>
        <w:tc>
          <w:tcPr>
            <w:tcW w:w="0" w:type="auto"/>
            <w:tcBorders>
              <w:top w:val="nil"/>
              <w:left w:val="single" w:sz="8" w:space="0" w:color="auto"/>
              <w:bottom w:val="nil"/>
              <w:right w:val="single" w:sz="8" w:space="0" w:color="auto"/>
            </w:tcBorders>
            <w:shd w:val="clear" w:color="000000" w:fill="FFFFFF"/>
            <w:noWrap/>
            <w:vAlign w:val="center"/>
            <w:hideMark/>
          </w:tcPr>
          <w:p w14:paraId="4E60876B"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0,80%</w:t>
            </w:r>
          </w:p>
        </w:tc>
        <w:tc>
          <w:tcPr>
            <w:tcW w:w="0" w:type="auto"/>
            <w:tcBorders>
              <w:top w:val="nil"/>
              <w:left w:val="nil"/>
              <w:bottom w:val="nil"/>
              <w:right w:val="single" w:sz="8" w:space="0" w:color="auto"/>
            </w:tcBorders>
            <w:shd w:val="clear" w:color="000000" w:fill="FFFFFF"/>
            <w:noWrap/>
            <w:vAlign w:val="center"/>
            <w:hideMark/>
          </w:tcPr>
          <w:p w14:paraId="6837EF95"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0,690%</w:t>
            </w:r>
          </w:p>
        </w:tc>
      </w:tr>
      <w:tr w:rsidR="001800D8" w:rsidRPr="00004AA2" w14:paraId="2767AEB9"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21E7E60A"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103</w:t>
            </w:r>
          </w:p>
        </w:tc>
        <w:tc>
          <w:tcPr>
            <w:tcW w:w="0" w:type="auto"/>
            <w:tcBorders>
              <w:top w:val="nil"/>
              <w:left w:val="nil"/>
              <w:bottom w:val="nil"/>
              <w:right w:val="nil"/>
            </w:tcBorders>
            <w:shd w:val="clear" w:color="000000" w:fill="FFFFFF"/>
            <w:noWrap/>
            <w:vAlign w:val="center"/>
            <w:hideMark/>
          </w:tcPr>
          <w:p w14:paraId="5870E539"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3.764.729</w:t>
            </w:r>
          </w:p>
        </w:tc>
        <w:tc>
          <w:tcPr>
            <w:tcW w:w="0" w:type="auto"/>
            <w:tcBorders>
              <w:top w:val="nil"/>
              <w:left w:val="nil"/>
              <w:bottom w:val="nil"/>
              <w:right w:val="nil"/>
            </w:tcBorders>
            <w:shd w:val="clear" w:color="000000" w:fill="FFFFFF"/>
            <w:noWrap/>
            <w:vAlign w:val="center"/>
            <w:hideMark/>
          </w:tcPr>
          <w:p w14:paraId="7E16A281"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42.864</w:t>
            </w:r>
          </w:p>
        </w:tc>
        <w:tc>
          <w:tcPr>
            <w:tcW w:w="0" w:type="auto"/>
            <w:tcBorders>
              <w:top w:val="nil"/>
              <w:left w:val="nil"/>
              <w:bottom w:val="nil"/>
              <w:right w:val="nil"/>
            </w:tcBorders>
            <w:shd w:val="clear" w:color="000000" w:fill="FFFFFF"/>
            <w:noWrap/>
            <w:vAlign w:val="center"/>
            <w:hideMark/>
          </w:tcPr>
          <w:p w14:paraId="45653728"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45.177</w:t>
            </w:r>
          </w:p>
        </w:tc>
        <w:tc>
          <w:tcPr>
            <w:tcW w:w="0" w:type="auto"/>
            <w:tcBorders>
              <w:top w:val="nil"/>
              <w:left w:val="single" w:sz="8" w:space="0" w:color="auto"/>
              <w:bottom w:val="nil"/>
              <w:right w:val="single" w:sz="8" w:space="0" w:color="auto"/>
            </w:tcBorders>
            <w:shd w:val="clear" w:color="000000" w:fill="FFFFFF"/>
            <w:noWrap/>
            <w:vAlign w:val="center"/>
            <w:hideMark/>
          </w:tcPr>
          <w:p w14:paraId="5701E2F4"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1,20%</w:t>
            </w:r>
          </w:p>
        </w:tc>
        <w:tc>
          <w:tcPr>
            <w:tcW w:w="0" w:type="auto"/>
            <w:tcBorders>
              <w:top w:val="nil"/>
              <w:left w:val="nil"/>
              <w:bottom w:val="nil"/>
              <w:right w:val="single" w:sz="8" w:space="0" w:color="auto"/>
            </w:tcBorders>
            <w:shd w:val="clear" w:color="000000" w:fill="FFFFFF"/>
            <w:noWrap/>
            <w:vAlign w:val="center"/>
            <w:hideMark/>
          </w:tcPr>
          <w:p w14:paraId="7E6C9A48"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1,110%</w:t>
            </w:r>
          </w:p>
        </w:tc>
      </w:tr>
      <w:tr w:rsidR="001800D8" w:rsidRPr="00004AA2" w14:paraId="2082D51B"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4FA6BEB5"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104</w:t>
            </w:r>
          </w:p>
        </w:tc>
        <w:tc>
          <w:tcPr>
            <w:tcW w:w="0" w:type="auto"/>
            <w:tcBorders>
              <w:top w:val="nil"/>
              <w:left w:val="nil"/>
              <w:bottom w:val="nil"/>
              <w:right w:val="nil"/>
            </w:tcBorders>
            <w:shd w:val="clear" w:color="000000" w:fill="FFFFFF"/>
            <w:noWrap/>
            <w:vAlign w:val="center"/>
            <w:hideMark/>
          </w:tcPr>
          <w:p w14:paraId="4AEEF4E1"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10.845</w:t>
            </w:r>
          </w:p>
        </w:tc>
        <w:tc>
          <w:tcPr>
            <w:tcW w:w="0" w:type="auto"/>
            <w:tcBorders>
              <w:top w:val="nil"/>
              <w:left w:val="nil"/>
              <w:bottom w:val="nil"/>
              <w:right w:val="nil"/>
            </w:tcBorders>
            <w:shd w:val="clear" w:color="000000" w:fill="FFFFFF"/>
            <w:noWrap/>
            <w:vAlign w:val="center"/>
            <w:hideMark/>
          </w:tcPr>
          <w:p w14:paraId="4C352E62"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89</w:t>
            </w:r>
          </w:p>
        </w:tc>
        <w:tc>
          <w:tcPr>
            <w:tcW w:w="0" w:type="auto"/>
            <w:tcBorders>
              <w:top w:val="nil"/>
              <w:left w:val="nil"/>
              <w:bottom w:val="nil"/>
              <w:right w:val="nil"/>
            </w:tcBorders>
            <w:shd w:val="clear" w:color="000000" w:fill="FFFFFF"/>
            <w:noWrap/>
            <w:vAlign w:val="center"/>
            <w:hideMark/>
          </w:tcPr>
          <w:p w14:paraId="2F414CDB"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98</w:t>
            </w:r>
          </w:p>
        </w:tc>
        <w:tc>
          <w:tcPr>
            <w:tcW w:w="0" w:type="auto"/>
            <w:tcBorders>
              <w:top w:val="nil"/>
              <w:left w:val="single" w:sz="8" w:space="0" w:color="auto"/>
              <w:bottom w:val="nil"/>
              <w:right w:val="single" w:sz="8" w:space="0" w:color="auto"/>
            </w:tcBorders>
            <w:shd w:val="clear" w:color="000000" w:fill="FFFFFF"/>
            <w:noWrap/>
            <w:vAlign w:val="center"/>
            <w:hideMark/>
          </w:tcPr>
          <w:p w14:paraId="772E2C92"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0,90%</w:t>
            </w:r>
          </w:p>
        </w:tc>
        <w:tc>
          <w:tcPr>
            <w:tcW w:w="0" w:type="auto"/>
            <w:tcBorders>
              <w:top w:val="nil"/>
              <w:left w:val="nil"/>
              <w:bottom w:val="nil"/>
              <w:right w:val="single" w:sz="8" w:space="0" w:color="auto"/>
            </w:tcBorders>
            <w:shd w:val="clear" w:color="000000" w:fill="FFFFFF"/>
            <w:noWrap/>
            <w:vAlign w:val="center"/>
            <w:hideMark/>
          </w:tcPr>
          <w:p w14:paraId="4170D407"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0,800%</w:t>
            </w:r>
          </w:p>
        </w:tc>
      </w:tr>
      <w:tr w:rsidR="001800D8" w:rsidRPr="00004AA2" w14:paraId="089DCF5D"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56362800"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201</w:t>
            </w:r>
          </w:p>
        </w:tc>
        <w:tc>
          <w:tcPr>
            <w:tcW w:w="0" w:type="auto"/>
            <w:tcBorders>
              <w:top w:val="nil"/>
              <w:left w:val="nil"/>
              <w:bottom w:val="nil"/>
              <w:right w:val="nil"/>
            </w:tcBorders>
            <w:shd w:val="clear" w:color="000000" w:fill="FFFFFF"/>
            <w:noWrap/>
            <w:vAlign w:val="center"/>
            <w:hideMark/>
          </w:tcPr>
          <w:p w14:paraId="76A974DE"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4.334.069</w:t>
            </w:r>
          </w:p>
        </w:tc>
        <w:tc>
          <w:tcPr>
            <w:tcW w:w="0" w:type="auto"/>
            <w:tcBorders>
              <w:top w:val="nil"/>
              <w:left w:val="nil"/>
              <w:bottom w:val="nil"/>
              <w:right w:val="nil"/>
            </w:tcBorders>
            <w:shd w:val="clear" w:color="000000" w:fill="FFFFFF"/>
            <w:noWrap/>
            <w:vAlign w:val="center"/>
            <w:hideMark/>
          </w:tcPr>
          <w:p w14:paraId="5DF565ED"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20.446</w:t>
            </w:r>
          </w:p>
        </w:tc>
        <w:tc>
          <w:tcPr>
            <w:tcW w:w="0" w:type="auto"/>
            <w:tcBorders>
              <w:top w:val="nil"/>
              <w:left w:val="nil"/>
              <w:bottom w:val="nil"/>
              <w:right w:val="nil"/>
            </w:tcBorders>
            <w:shd w:val="clear" w:color="000000" w:fill="FFFFFF"/>
            <w:noWrap/>
            <w:vAlign w:val="center"/>
            <w:hideMark/>
          </w:tcPr>
          <w:p w14:paraId="2A5429EA"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21.670</w:t>
            </w:r>
          </w:p>
        </w:tc>
        <w:tc>
          <w:tcPr>
            <w:tcW w:w="0" w:type="auto"/>
            <w:tcBorders>
              <w:top w:val="nil"/>
              <w:left w:val="single" w:sz="8" w:space="0" w:color="auto"/>
              <w:bottom w:val="nil"/>
              <w:right w:val="single" w:sz="8" w:space="0" w:color="auto"/>
            </w:tcBorders>
            <w:shd w:val="clear" w:color="000000" w:fill="FFFFFF"/>
            <w:noWrap/>
            <w:vAlign w:val="center"/>
            <w:hideMark/>
          </w:tcPr>
          <w:p w14:paraId="79D8B04C"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0,50%</w:t>
            </w:r>
          </w:p>
        </w:tc>
        <w:tc>
          <w:tcPr>
            <w:tcW w:w="0" w:type="auto"/>
            <w:tcBorders>
              <w:top w:val="nil"/>
              <w:left w:val="nil"/>
              <w:bottom w:val="nil"/>
              <w:right w:val="single" w:sz="8" w:space="0" w:color="auto"/>
            </w:tcBorders>
            <w:shd w:val="clear" w:color="000000" w:fill="FFFFFF"/>
            <w:noWrap/>
            <w:vAlign w:val="center"/>
            <w:hideMark/>
          </w:tcPr>
          <w:p w14:paraId="08F05FF4"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0,414%</w:t>
            </w:r>
          </w:p>
        </w:tc>
      </w:tr>
      <w:tr w:rsidR="001800D8" w:rsidRPr="00004AA2" w14:paraId="5D101268"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2928CD59"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202</w:t>
            </w:r>
          </w:p>
        </w:tc>
        <w:tc>
          <w:tcPr>
            <w:tcW w:w="0" w:type="auto"/>
            <w:tcBorders>
              <w:top w:val="nil"/>
              <w:left w:val="nil"/>
              <w:bottom w:val="nil"/>
              <w:right w:val="nil"/>
            </w:tcBorders>
            <w:shd w:val="clear" w:color="000000" w:fill="FFFFFF"/>
            <w:noWrap/>
            <w:vAlign w:val="center"/>
            <w:hideMark/>
          </w:tcPr>
          <w:p w14:paraId="1D5A8967"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1.060.002</w:t>
            </w:r>
          </w:p>
        </w:tc>
        <w:tc>
          <w:tcPr>
            <w:tcW w:w="0" w:type="auto"/>
            <w:tcBorders>
              <w:top w:val="nil"/>
              <w:left w:val="nil"/>
              <w:bottom w:val="nil"/>
              <w:right w:val="nil"/>
            </w:tcBorders>
            <w:shd w:val="clear" w:color="000000" w:fill="FFFFFF"/>
            <w:noWrap/>
            <w:vAlign w:val="center"/>
            <w:hideMark/>
          </w:tcPr>
          <w:p w14:paraId="3556057E"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8.070</w:t>
            </w:r>
          </w:p>
        </w:tc>
        <w:tc>
          <w:tcPr>
            <w:tcW w:w="0" w:type="auto"/>
            <w:tcBorders>
              <w:top w:val="nil"/>
              <w:left w:val="nil"/>
              <w:bottom w:val="nil"/>
              <w:right w:val="nil"/>
            </w:tcBorders>
            <w:shd w:val="clear" w:color="000000" w:fill="FFFFFF"/>
            <w:noWrap/>
            <w:vAlign w:val="center"/>
            <w:hideMark/>
          </w:tcPr>
          <w:p w14:paraId="401D7AC8"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8.480</w:t>
            </w:r>
          </w:p>
        </w:tc>
        <w:tc>
          <w:tcPr>
            <w:tcW w:w="0" w:type="auto"/>
            <w:tcBorders>
              <w:top w:val="nil"/>
              <w:left w:val="single" w:sz="8" w:space="0" w:color="auto"/>
              <w:bottom w:val="nil"/>
              <w:right w:val="single" w:sz="8" w:space="0" w:color="auto"/>
            </w:tcBorders>
            <w:shd w:val="clear" w:color="000000" w:fill="FFFFFF"/>
            <w:noWrap/>
            <w:vAlign w:val="center"/>
            <w:hideMark/>
          </w:tcPr>
          <w:p w14:paraId="45FC137D"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0,80%</w:t>
            </w:r>
          </w:p>
        </w:tc>
        <w:tc>
          <w:tcPr>
            <w:tcW w:w="0" w:type="auto"/>
            <w:tcBorders>
              <w:top w:val="nil"/>
              <w:left w:val="nil"/>
              <w:bottom w:val="nil"/>
              <w:right w:val="single" w:sz="8" w:space="0" w:color="auto"/>
            </w:tcBorders>
            <w:shd w:val="clear" w:color="000000" w:fill="FFFFFF"/>
            <w:noWrap/>
            <w:vAlign w:val="center"/>
            <w:hideMark/>
          </w:tcPr>
          <w:p w14:paraId="72846B2A"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0,690%</w:t>
            </w:r>
          </w:p>
        </w:tc>
      </w:tr>
      <w:tr w:rsidR="001800D8" w:rsidRPr="00004AA2" w14:paraId="71E29F05"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4C9F0C34"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203</w:t>
            </w:r>
          </w:p>
        </w:tc>
        <w:tc>
          <w:tcPr>
            <w:tcW w:w="0" w:type="auto"/>
            <w:tcBorders>
              <w:top w:val="nil"/>
              <w:left w:val="nil"/>
              <w:bottom w:val="nil"/>
              <w:right w:val="nil"/>
            </w:tcBorders>
            <w:shd w:val="clear" w:color="000000" w:fill="FFFFFF"/>
            <w:noWrap/>
            <w:vAlign w:val="center"/>
            <w:hideMark/>
          </w:tcPr>
          <w:p w14:paraId="0CA3FA5D"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177.401</w:t>
            </w:r>
          </w:p>
        </w:tc>
        <w:tc>
          <w:tcPr>
            <w:tcW w:w="0" w:type="auto"/>
            <w:tcBorders>
              <w:top w:val="nil"/>
              <w:left w:val="nil"/>
              <w:bottom w:val="nil"/>
              <w:right w:val="nil"/>
            </w:tcBorders>
            <w:shd w:val="clear" w:color="000000" w:fill="FFFFFF"/>
            <w:noWrap/>
            <w:vAlign w:val="center"/>
            <w:hideMark/>
          </w:tcPr>
          <w:p w14:paraId="09C8829A"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2.557</w:t>
            </w:r>
          </w:p>
        </w:tc>
        <w:tc>
          <w:tcPr>
            <w:tcW w:w="0" w:type="auto"/>
            <w:tcBorders>
              <w:top w:val="nil"/>
              <w:left w:val="nil"/>
              <w:bottom w:val="nil"/>
              <w:right w:val="nil"/>
            </w:tcBorders>
            <w:shd w:val="clear" w:color="000000" w:fill="FFFFFF"/>
            <w:noWrap/>
            <w:vAlign w:val="center"/>
            <w:hideMark/>
          </w:tcPr>
          <w:p w14:paraId="6C4705FD"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2.661</w:t>
            </w:r>
          </w:p>
        </w:tc>
        <w:tc>
          <w:tcPr>
            <w:tcW w:w="0" w:type="auto"/>
            <w:tcBorders>
              <w:top w:val="nil"/>
              <w:left w:val="single" w:sz="8" w:space="0" w:color="auto"/>
              <w:bottom w:val="nil"/>
              <w:right w:val="single" w:sz="8" w:space="0" w:color="auto"/>
            </w:tcBorders>
            <w:shd w:val="clear" w:color="000000" w:fill="FFFFFF"/>
            <w:noWrap/>
            <w:vAlign w:val="center"/>
            <w:hideMark/>
          </w:tcPr>
          <w:p w14:paraId="7BBDB604"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1,50%</w:t>
            </w:r>
          </w:p>
        </w:tc>
        <w:tc>
          <w:tcPr>
            <w:tcW w:w="0" w:type="auto"/>
            <w:tcBorders>
              <w:top w:val="nil"/>
              <w:left w:val="nil"/>
              <w:bottom w:val="nil"/>
              <w:right w:val="single" w:sz="8" w:space="0" w:color="auto"/>
            </w:tcBorders>
            <w:shd w:val="clear" w:color="000000" w:fill="FFFFFF"/>
            <w:noWrap/>
            <w:vAlign w:val="center"/>
            <w:hideMark/>
          </w:tcPr>
          <w:p w14:paraId="37FCA214"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0,138%</w:t>
            </w:r>
          </w:p>
        </w:tc>
      </w:tr>
      <w:tr w:rsidR="001800D8" w:rsidRPr="00004AA2" w14:paraId="03B1B20C"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1DFB8724"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204</w:t>
            </w:r>
          </w:p>
        </w:tc>
        <w:tc>
          <w:tcPr>
            <w:tcW w:w="0" w:type="auto"/>
            <w:tcBorders>
              <w:top w:val="nil"/>
              <w:left w:val="nil"/>
              <w:bottom w:val="nil"/>
              <w:right w:val="nil"/>
            </w:tcBorders>
            <w:shd w:val="clear" w:color="000000" w:fill="FFFFFF"/>
            <w:noWrap/>
            <w:vAlign w:val="center"/>
            <w:hideMark/>
          </w:tcPr>
          <w:p w14:paraId="557C4186"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8.808.151</w:t>
            </w:r>
          </w:p>
        </w:tc>
        <w:tc>
          <w:tcPr>
            <w:tcW w:w="0" w:type="auto"/>
            <w:tcBorders>
              <w:top w:val="nil"/>
              <w:left w:val="nil"/>
              <w:bottom w:val="nil"/>
              <w:right w:val="nil"/>
            </w:tcBorders>
            <w:shd w:val="clear" w:color="000000" w:fill="FFFFFF"/>
            <w:noWrap/>
            <w:vAlign w:val="center"/>
            <w:hideMark/>
          </w:tcPr>
          <w:p w14:paraId="1AEA9C88"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102.727</w:t>
            </w:r>
          </w:p>
        </w:tc>
        <w:tc>
          <w:tcPr>
            <w:tcW w:w="0" w:type="auto"/>
            <w:tcBorders>
              <w:top w:val="nil"/>
              <w:left w:val="nil"/>
              <w:bottom w:val="nil"/>
              <w:right w:val="nil"/>
            </w:tcBorders>
            <w:shd w:val="clear" w:color="000000" w:fill="FFFFFF"/>
            <w:noWrap/>
            <w:vAlign w:val="center"/>
            <w:hideMark/>
          </w:tcPr>
          <w:p w14:paraId="3583C1A2"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105.698</w:t>
            </w:r>
          </w:p>
        </w:tc>
        <w:tc>
          <w:tcPr>
            <w:tcW w:w="0" w:type="auto"/>
            <w:tcBorders>
              <w:top w:val="nil"/>
              <w:left w:val="single" w:sz="8" w:space="0" w:color="auto"/>
              <w:bottom w:val="nil"/>
              <w:right w:val="single" w:sz="8" w:space="0" w:color="auto"/>
            </w:tcBorders>
            <w:shd w:val="clear" w:color="000000" w:fill="FFFFFF"/>
            <w:noWrap/>
            <w:vAlign w:val="center"/>
            <w:hideMark/>
          </w:tcPr>
          <w:p w14:paraId="1AA82E7C"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1,20%</w:t>
            </w:r>
          </w:p>
        </w:tc>
        <w:tc>
          <w:tcPr>
            <w:tcW w:w="0" w:type="auto"/>
            <w:tcBorders>
              <w:top w:val="nil"/>
              <w:left w:val="nil"/>
              <w:bottom w:val="nil"/>
              <w:right w:val="single" w:sz="8" w:space="0" w:color="auto"/>
            </w:tcBorders>
            <w:shd w:val="clear" w:color="000000" w:fill="FFFFFF"/>
            <w:noWrap/>
            <w:vAlign w:val="center"/>
            <w:hideMark/>
          </w:tcPr>
          <w:p w14:paraId="410BFB3A"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1,110%</w:t>
            </w:r>
          </w:p>
        </w:tc>
      </w:tr>
      <w:tr w:rsidR="001800D8" w:rsidRPr="00004AA2" w14:paraId="7F477789"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53081EE5"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301</w:t>
            </w:r>
          </w:p>
        </w:tc>
        <w:tc>
          <w:tcPr>
            <w:tcW w:w="0" w:type="auto"/>
            <w:tcBorders>
              <w:top w:val="nil"/>
              <w:left w:val="nil"/>
              <w:bottom w:val="nil"/>
              <w:right w:val="nil"/>
            </w:tcBorders>
            <w:shd w:val="clear" w:color="000000" w:fill="FFFFFF"/>
            <w:noWrap/>
            <w:vAlign w:val="center"/>
            <w:hideMark/>
          </w:tcPr>
          <w:p w14:paraId="79961B4B"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2.054.752</w:t>
            </w:r>
          </w:p>
        </w:tc>
        <w:tc>
          <w:tcPr>
            <w:tcW w:w="0" w:type="auto"/>
            <w:tcBorders>
              <w:top w:val="nil"/>
              <w:left w:val="nil"/>
              <w:bottom w:val="nil"/>
              <w:right w:val="nil"/>
            </w:tcBorders>
            <w:shd w:val="clear" w:color="000000" w:fill="FFFFFF"/>
            <w:noWrap/>
            <w:vAlign w:val="center"/>
            <w:hideMark/>
          </w:tcPr>
          <w:p w14:paraId="0EA1FFDD"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9.504</w:t>
            </w:r>
          </w:p>
        </w:tc>
        <w:tc>
          <w:tcPr>
            <w:tcW w:w="0" w:type="auto"/>
            <w:tcBorders>
              <w:top w:val="nil"/>
              <w:left w:val="nil"/>
              <w:bottom w:val="nil"/>
              <w:right w:val="nil"/>
            </w:tcBorders>
            <w:shd w:val="clear" w:color="000000" w:fill="FFFFFF"/>
            <w:noWrap/>
            <w:vAlign w:val="center"/>
            <w:hideMark/>
          </w:tcPr>
          <w:p w14:paraId="77E17F3F"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10.274</w:t>
            </w:r>
          </w:p>
        </w:tc>
        <w:tc>
          <w:tcPr>
            <w:tcW w:w="0" w:type="auto"/>
            <w:tcBorders>
              <w:top w:val="nil"/>
              <w:left w:val="single" w:sz="8" w:space="0" w:color="auto"/>
              <w:bottom w:val="nil"/>
              <w:right w:val="single" w:sz="8" w:space="0" w:color="auto"/>
            </w:tcBorders>
            <w:shd w:val="clear" w:color="000000" w:fill="FFFFFF"/>
            <w:noWrap/>
            <w:vAlign w:val="center"/>
            <w:hideMark/>
          </w:tcPr>
          <w:p w14:paraId="20DB9C69"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0,50%</w:t>
            </w:r>
          </w:p>
        </w:tc>
        <w:tc>
          <w:tcPr>
            <w:tcW w:w="0" w:type="auto"/>
            <w:tcBorders>
              <w:top w:val="nil"/>
              <w:left w:val="nil"/>
              <w:bottom w:val="nil"/>
              <w:right w:val="single" w:sz="8" w:space="0" w:color="auto"/>
            </w:tcBorders>
            <w:shd w:val="clear" w:color="000000" w:fill="FFFFFF"/>
            <w:noWrap/>
            <w:vAlign w:val="center"/>
            <w:hideMark/>
          </w:tcPr>
          <w:p w14:paraId="240C19D3"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0,414%</w:t>
            </w:r>
          </w:p>
        </w:tc>
      </w:tr>
      <w:tr w:rsidR="001800D8" w:rsidRPr="00004AA2" w14:paraId="328EDAB3"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73C1B256"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302</w:t>
            </w:r>
          </w:p>
        </w:tc>
        <w:tc>
          <w:tcPr>
            <w:tcW w:w="0" w:type="auto"/>
            <w:tcBorders>
              <w:top w:val="nil"/>
              <w:left w:val="nil"/>
              <w:bottom w:val="nil"/>
              <w:right w:val="nil"/>
            </w:tcBorders>
            <w:shd w:val="clear" w:color="000000" w:fill="FFFFFF"/>
            <w:noWrap/>
            <w:vAlign w:val="center"/>
            <w:hideMark/>
          </w:tcPr>
          <w:p w14:paraId="68E378E9"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9.598.768</w:t>
            </w:r>
          </w:p>
        </w:tc>
        <w:tc>
          <w:tcPr>
            <w:tcW w:w="0" w:type="auto"/>
            <w:tcBorders>
              <w:top w:val="nil"/>
              <w:left w:val="nil"/>
              <w:bottom w:val="nil"/>
              <w:right w:val="nil"/>
            </w:tcBorders>
            <w:shd w:val="clear" w:color="000000" w:fill="FFFFFF"/>
            <w:noWrap/>
            <w:vAlign w:val="center"/>
            <w:hideMark/>
          </w:tcPr>
          <w:p w14:paraId="79A28398"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67.822</w:t>
            </w:r>
          </w:p>
        </w:tc>
        <w:tc>
          <w:tcPr>
            <w:tcW w:w="0" w:type="auto"/>
            <w:tcBorders>
              <w:top w:val="nil"/>
              <w:left w:val="nil"/>
              <w:bottom w:val="nil"/>
              <w:right w:val="nil"/>
            </w:tcBorders>
            <w:shd w:val="clear" w:color="000000" w:fill="FFFFFF"/>
            <w:noWrap/>
            <w:vAlign w:val="center"/>
            <w:hideMark/>
          </w:tcPr>
          <w:p w14:paraId="6A9F4F35"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76.790</w:t>
            </w:r>
          </w:p>
        </w:tc>
        <w:tc>
          <w:tcPr>
            <w:tcW w:w="0" w:type="auto"/>
            <w:tcBorders>
              <w:top w:val="nil"/>
              <w:left w:val="single" w:sz="8" w:space="0" w:color="auto"/>
              <w:bottom w:val="nil"/>
              <w:right w:val="single" w:sz="8" w:space="0" w:color="auto"/>
            </w:tcBorders>
            <w:shd w:val="clear" w:color="000000" w:fill="FFFFFF"/>
            <w:noWrap/>
            <w:vAlign w:val="center"/>
            <w:hideMark/>
          </w:tcPr>
          <w:p w14:paraId="7CAEA128"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0,80%</w:t>
            </w:r>
          </w:p>
        </w:tc>
        <w:tc>
          <w:tcPr>
            <w:tcW w:w="0" w:type="auto"/>
            <w:tcBorders>
              <w:top w:val="nil"/>
              <w:left w:val="nil"/>
              <w:bottom w:val="nil"/>
              <w:right w:val="single" w:sz="8" w:space="0" w:color="auto"/>
            </w:tcBorders>
            <w:shd w:val="clear" w:color="000000" w:fill="FFFFFF"/>
            <w:noWrap/>
            <w:vAlign w:val="center"/>
            <w:hideMark/>
          </w:tcPr>
          <w:p w14:paraId="526973DE"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0,690%</w:t>
            </w:r>
          </w:p>
        </w:tc>
      </w:tr>
      <w:tr w:rsidR="001800D8" w:rsidRPr="00004AA2" w14:paraId="23294EBC"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2D68D0B5"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303</w:t>
            </w:r>
          </w:p>
        </w:tc>
        <w:tc>
          <w:tcPr>
            <w:tcW w:w="0" w:type="auto"/>
            <w:tcBorders>
              <w:top w:val="nil"/>
              <w:left w:val="nil"/>
              <w:bottom w:val="nil"/>
              <w:right w:val="nil"/>
            </w:tcBorders>
            <w:shd w:val="clear" w:color="000000" w:fill="FFFFFF"/>
            <w:noWrap/>
            <w:vAlign w:val="center"/>
            <w:hideMark/>
          </w:tcPr>
          <w:p w14:paraId="291B74C4"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1.543.753</w:t>
            </w:r>
          </w:p>
        </w:tc>
        <w:tc>
          <w:tcPr>
            <w:tcW w:w="0" w:type="auto"/>
            <w:tcBorders>
              <w:top w:val="nil"/>
              <w:left w:val="nil"/>
              <w:bottom w:val="nil"/>
              <w:right w:val="nil"/>
            </w:tcBorders>
            <w:shd w:val="clear" w:color="000000" w:fill="FFFFFF"/>
            <w:noWrap/>
            <w:vAlign w:val="center"/>
            <w:hideMark/>
          </w:tcPr>
          <w:p w14:paraId="1D5B41D8"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23.305</w:t>
            </w:r>
          </w:p>
        </w:tc>
        <w:tc>
          <w:tcPr>
            <w:tcW w:w="0" w:type="auto"/>
            <w:tcBorders>
              <w:top w:val="nil"/>
              <w:left w:val="nil"/>
              <w:bottom w:val="nil"/>
              <w:right w:val="nil"/>
            </w:tcBorders>
            <w:shd w:val="clear" w:color="000000" w:fill="FFFFFF"/>
            <w:noWrap/>
            <w:vAlign w:val="center"/>
            <w:hideMark/>
          </w:tcPr>
          <w:p w14:paraId="50F9CF9D"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24.700</w:t>
            </w:r>
          </w:p>
        </w:tc>
        <w:tc>
          <w:tcPr>
            <w:tcW w:w="0" w:type="auto"/>
            <w:tcBorders>
              <w:top w:val="nil"/>
              <w:left w:val="single" w:sz="8" w:space="0" w:color="auto"/>
              <w:bottom w:val="nil"/>
              <w:right w:val="single" w:sz="8" w:space="0" w:color="auto"/>
            </w:tcBorders>
            <w:shd w:val="clear" w:color="000000" w:fill="FFFFFF"/>
            <w:noWrap/>
            <w:vAlign w:val="center"/>
            <w:hideMark/>
          </w:tcPr>
          <w:p w14:paraId="1A9E9334"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1,60%</w:t>
            </w:r>
          </w:p>
        </w:tc>
        <w:tc>
          <w:tcPr>
            <w:tcW w:w="0" w:type="auto"/>
            <w:tcBorders>
              <w:top w:val="nil"/>
              <w:left w:val="nil"/>
              <w:bottom w:val="nil"/>
              <w:right w:val="single" w:sz="8" w:space="0" w:color="auto"/>
            </w:tcBorders>
            <w:shd w:val="clear" w:color="000000" w:fill="FFFFFF"/>
            <w:noWrap/>
            <w:vAlign w:val="center"/>
            <w:hideMark/>
          </w:tcPr>
          <w:p w14:paraId="5081EB36"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1,138%</w:t>
            </w:r>
          </w:p>
        </w:tc>
      </w:tr>
      <w:tr w:rsidR="001800D8" w:rsidRPr="00004AA2" w14:paraId="29C38706"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02BE4D28"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304</w:t>
            </w:r>
          </w:p>
        </w:tc>
        <w:tc>
          <w:tcPr>
            <w:tcW w:w="0" w:type="auto"/>
            <w:tcBorders>
              <w:top w:val="nil"/>
              <w:left w:val="nil"/>
              <w:bottom w:val="nil"/>
              <w:right w:val="nil"/>
            </w:tcBorders>
            <w:shd w:val="clear" w:color="000000" w:fill="FFFFFF"/>
            <w:noWrap/>
            <w:vAlign w:val="center"/>
            <w:hideMark/>
          </w:tcPr>
          <w:p w14:paraId="59A29640"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16.492.299</w:t>
            </w:r>
          </w:p>
        </w:tc>
        <w:tc>
          <w:tcPr>
            <w:tcW w:w="0" w:type="auto"/>
            <w:tcBorders>
              <w:top w:val="nil"/>
              <w:left w:val="nil"/>
              <w:bottom w:val="nil"/>
              <w:right w:val="nil"/>
            </w:tcBorders>
            <w:shd w:val="clear" w:color="000000" w:fill="FFFFFF"/>
            <w:noWrap/>
            <w:vAlign w:val="center"/>
            <w:hideMark/>
          </w:tcPr>
          <w:p w14:paraId="4D6B0139"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162.966</w:t>
            </w:r>
          </w:p>
        </w:tc>
        <w:tc>
          <w:tcPr>
            <w:tcW w:w="0" w:type="auto"/>
            <w:tcBorders>
              <w:top w:val="nil"/>
              <w:left w:val="nil"/>
              <w:bottom w:val="nil"/>
              <w:right w:val="nil"/>
            </w:tcBorders>
            <w:shd w:val="clear" w:color="000000" w:fill="FFFFFF"/>
            <w:noWrap/>
            <w:vAlign w:val="center"/>
            <w:hideMark/>
          </w:tcPr>
          <w:p w14:paraId="1D1ACEBC"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164.923</w:t>
            </w:r>
          </w:p>
        </w:tc>
        <w:tc>
          <w:tcPr>
            <w:tcW w:w="0" w:type="auto"/>
            <w:tcBorders>
              <w:top w:val="nil"/>
              <w:left w:val="single" w:sz="8" w:space="0" w:color="auto"/>
              <w:bottom w:val="nil"/>
              <w:right w:val="single" w:sz="8" w:space="0" w:color="auto"/>
            </w:tcBorders>
            <w:shd w:val="clear" w:color="000000" w:fill="FFFFFF"/>
            <w:noWrap/>
            <w:vAlign w:val="center"/>
            <w:hideMark/>
          </w:tcPr>
          <w:p w14:paraId="2879D2C6"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1,00%</w:t>
            </w:r>
          </w:p>
        </w:tc>
        <w:tc>
          <w:tcPr>
            <w:tcW w:w="0" w:type="auto"/>
            <w:tcBorders>
              <w:top w:val="nil"/>
              <w:left w:val="nil"/>
              <w:bottom w:val="nil"/>
              <w:right w:val="single" w:sz="8" w:space="0" w:color="auto"/>
            </w:tcBorders>
            <w:shd w:val="clear" w:color="000000" w:fill="FFFFFF"/>
            <w:noWrap/>
            <w:vAlign w:val="center"/>
            <w:hideMark/>
          </w:tcPr>
          <w:p w14:paraId="6497AC8D"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0,966%</w:t>
            </w:r>
          </w:p>
        </w:tc>
      </w:tr>
      <w:tr w:rsidR="001800D8" w:rsidRPr="00004AA2" w14:paraId="24C1C257" w14:textId="77777777" w:rsidTr="001800D8">
        <w:trPr>
          <w:trHeight w:val="170"/>
          <w:jc w:val="center"/>
        </w:trPr>
        <w:tc>
          <w:tcPr>
            <w:tcW w:w="0" w:type="auto"/>
            <w:tcBorders>
              <w:top w:val="nil"/>
              <w:left w:val="single" w:sz="8" w:space="0" w:color="auto"/>
              <w:bottom w:val="nil"/>
              <w:right w:val="nil"/>
            </w:tcBorders>
            <w:shd w:val="clear" w:color="000000" w:fill="FFFFFF"/>
            <w:noWrap/>
            <w:vAlign w:val="center"/>
            <w:hideMark/>
          </w:tcPr>
          <w:p w14:paraId="4D1FB6F0"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305</w:t>
            </w:r>
          </w:p>
        </w:tc>
        <w:tc>
          <w:tcPr>
            <w:tcW w:w="0" w:type="auto"/>
            <w:tcBorders>
              <w:top w:val="nil"/>
              <w:left w:val="nil"/>
              <w:bottom w:val="nil"/>
              <w:right w:val="nil"/>
            </w:tcBorders>
            <w:shd w:val="clear" w:color="000000" w:fill="FFFFFF"/>
            <w:noWrap/>
            <w:vAlign w:val="center"/>
            <w:hideMark/>
          </w:tcPr>
          <w:p w14:paraId="54B9F326"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609.538</w:t>
            </w:r>
          </w:p>
        </w:tc>
        <w:tc>
          <w:tcPr>
            <w:tcW w:w="0" w:type="auto"/>
            <w:tcBorders>
              <w:top w:val="nil"/>
              <w:left w:val="nil"/>
              <w:bottom w:val="nil"/>
              <w:right w:val="nil"/>
            </w:tcBorders>
            <w:shd w:val="clear" w:color="000000" w:fill="FFFFFF"/>
            <w:noWrap/>
            <w:vAlign w:val="center"/>
            <w:hideMark/>
          </w:tcPr>
          <w:p w14:paraId="7CB1CA19"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4.790</w:t>
            </w:r>
          </w:p>
        </w:tc>
        <w:tc>
          <w:tcPr>
            <w:tcW w:w="0" w:type="auto"/>
            <w:tcBorders>
              <w:top w:val="nil"/>
              <w:left w:val="nil"/>
              <w:bottom w:val="nil"/>
              <w:right w:val="nil"/>
            </w:tcBorders>
            <w:shd w:val="clear" w:color="000000" w:fill="FFFFFF"/>
            <w:noWrap/>
            <w:vAlign w:val="center"/>
            <w:hideMark/>
          </w:tcPr>
          <w:p w14:paraId="4BA3245B"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4.876</w:t>
            </w:r>
          </w:p>
        </w:tc>
        <w:tc>
          <w:tcPr>
            <w:tcW w:w="0" w:type="auto"/>
            <w:tcBorders>
              <w:top w:val="nil"/>
              <w:left w:val="single" w:sz="8" w:space="0" w:color="auto"/>
              <w:bottom w:val="nil"/>
              <w:right w:val="single" w:sz="8" w:space="0" w:color="auto"/>
            </w:tcBorders>
            <w:shd w:val="clear" w:color="000000" w:fill="FFFFFF"/>
            <w:noWrap/>
            <w:vAlign w:val="center"/>
            <w:hideMark/>
          </w:tcPr>
          <w:p w14:paraId="4CB699E3"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0,80%</w:t>
            </w:r>
          </w:p>
        </w:tc>
        <w:tc>
          <w:tcPr>
            <w:tcW w:w="0" w:type="auto"/>
            <w:tcBorders>
              <w:top w:val="nil"/>
              <w:left w:val="nil"/>
              <w:bottom w:val="nil"/>
              <w:right w:val="single" w:sz="8" w:space="0" w:color="auto"/>
            </w:tcBorders>
            <w:shd w:val="clear" w:color="000000" w:fill="FFFFFF"/>
            <w:noWrap/>
            <w:vAlign w:val="center"/>
            <w:hideMark/>
          </w:tcPr>
          <w:p w14:paraId="143A89B6" w14:textId="77777777" w:rsidR="001800D8" w:rsidRPr="00004AA2" w:rsidRDefault="001800D8" w:rsidP="001800D8">
            <w:pPr>
              <w:jc w:val="center"/>
              <w:rPr>
                <w:rFonts w:ascii="Arial" w:hAnsi="Arial" w:cs="Arial"/>
                <w:color w:val="000000"/>
                <w:sz w:val="16"/>
                <w:szCs w:val="16"/>
                <w:lang w:val="es-ES"/>
              </w:rPr>
            </w:pPr>
            <w:r w:rsidRPr="00004AA2">
              <w:rPr>
                <w:rFonts w:ascii="Arial" w:hAnsi="Arial" w:cs="Arial"/>
                <w:color w:val="000000"/>
                <w:sz w:val="16"/>
                <w:szCs w:val="16"/>
                <w:lang w:val="es-ES"/>
              </w:rPr>
              <w:t>0,700%</w:t>
            </w:r>
          </w:p>
        </w:tc>
      </w:tr>
      <w:tr w:rsidR="001800D8" w:rsidRPr="00004AA2" w14:paraId="7B4E1E82" w14:textId="77777777" w:rsidTr="001800D8">
        <w:trPr>
          <w:trHeight w:val="170"/>
          <w:jc w:val="center"/>
        </w:trPr>
        <w:tc>
          <w:tcPr>
            <w:tcW w:w="0" w:type="auto"/>
            <w:tcBorders>
              <w:top w:val="nil"/>
              <w:left w:val="single" w:sz="8" w:space="0" w:color="auto"/>
              <w:bottom w:val="single" w:sz="8" w:space="0" w:color="auto"/>
              <w:right w:val="nil"/>
            </w:tcBorders>
            <w:shd w:val="clear" w:color="000000" w:fill="FFFFFF"/>
            <w:noWrap/>
            <w:vAlign w:val="bottom"/>
            <w:hideMark/>
          </w:tcPr>
          <w:p w14:paraId="3849586D" w14:textId="77777777" w:rsidR="001800D8" w:rsidRPr="00004AA2" w:rsidRDefault="001800D8" w:rsidP="001800D8">
            <w:pPr>
              <w:jc w:val="center"/>
              <w:rPr>
                <w:rFonts w:ascii="Arial" w:hAnsi="Arial" w:cs="Arial"/>
                <w:b/>
                <w:bCs/>
                <w:color w:val="000000"/>
                <w:sz w:val="16"/>
                <w:szCs w:val="16"/>
                <w:lang w:val="es-ES"/>
              </w:rPr>
            </w:pPr>
            <w:r w:rsidRPr="00004AA2">
              <w:rPr>
                <w:rFonts w:ascii="Arial" w:hAnsi="Arial" w:cs="Arial"/>
                <w:b/>
                <w:bCs/>
                <w:color w:val="000000"/>
                <w:sz w:val="16"/>
                <w:szCs w:val="16"/>
                <w:lang w:val="es-ES"/>
              </w:rPr>
              <w:t>Total</w:t>
            </w:r>
          </w:p>
        </w:tc>
        <w:tc>
          <w:tcPr>
            <w:tcW w:w="0" w:type="auto"/>
            <w:tcBorders>
              <w:top w:val="nil"/>
              <w:left w:val="nil"/>
              <w:bottom w:val="single" w:sz="8" w:space="0" w:color="auto"/>
              <w:right w:val="nil"/>
            </w:tcBorders>
            <w:shd w:val="clear" w:color="000000" w:fill="FFFFFF"/>
            <w:noWrap/>
            <w:vAlign w:val="bottom"/>
            <w:hideMark/>
          </w:tcPr>
          <w:p w14:paraId="70D218C0" w14:textId="77777777" w:rsidR="001800D8" w:rsidRPr="00004AA2" w:rsidRDefault="001800D8" w:rsidP="001800D8">
            <w:pPr>
              <w:jc w:val="center"/>
              <w:rPr>
                <w:rFonts w:ascii="Arial" w:hAnsi="Arial" w:cs="Arial"/>
                <w:b/>
                <w:bCs/>
                <w:color w:val="000000"/>
                <w:sz w:val="16"/>
                <w:szCs w:val="16"/>
                <w:lang w:val="es-ES"/>
              </w:rPr>
            </w:pPr>
            <w:r w:rsidRPr="00004AA2">
              <w:rPr>
                <w:rFonts w:ascii="Arial" w:hAnsi="Arial" w:cs="Arial"/>
                <w:b/>
                <w:bCs/>
                <w:color w:val="000000"/>
                <w:sz w:val="16"/>
                <w:szCs w:val="16"/>
                <w:lang w:val="es-ES"/>
              </w:rPr>
              <w:t>50.592.516</w:t>
            </w:r>
          </w:p>
        </w:tc>
        <w:tc>
          <w:tcPr>
            <w:tcW w:w="0" w:type="auto"/>
            <w:tcBorders>
              <w:top w:val="nil"/>
              <w:left w:val="nil"/>
              <w:bottom w:val="single" w:sz="8" w:space="0" w:color="auto"/>
              <w:right w:val="nil"/>
            </w:tcBorders>
            <w:shd w:val="clear" w:color="000000" w:fill="FFFFFF"/>
            <w:noWrap/>
            <w:vAlign w:val="bottom"/>
            <w:hideMark/>
          </w:tcPr>
          <w:p w14:paraId="470C5EB5" w14:textId="77777777" w:rsidR="001800D8" w:rsidRPr="00004AA2" w:rsidRDefault="001800D8" w:rsidP="001800D8">
            <w:pPr>
              <w:jc w:val="center"/>
              <w:rPr>
                <w:rFonts w:ascii="Arial" w:hAnsi="Arial" w:cs="Arial"/>
                <w:b/>
                <w:bCs/>
                <w:color w:val="000000"/>
                <w:sz w:val="16"/>
                <w:szCs w:val="16"/>
                <w:lang w:val="es-ES"/>
              </w:rPr>
            </w:pPr>
            <w:r w:rsidRPr="00004AA2">
              <w:rPr>
                <w:rFonts w:ascii="Arial" w:hAnsi="Arial" w:cs="Arial"/>
                <w:b/>
                <w:bCs/>
                <w:color w:val="000000"/>
                <w:sz w:val="16"/>
                <w:szCs w:val="16"/>
                <w:lang w:val="es-ES"/>
              </w:rPr>
              <w:t>455.884</w:t>
            </w:r>
          </w:p>
        </w:tc>
        <w:tc>
          <w:tcPr>
            <w:tcW w:w="0" w:type="auto"/>
            <w:tcBorders>
              <w:top w:val="nil"/>
              <w:left w:val="nil"/>
              <w:bottom w:val="single" w:sz="8" w:space="0" w:color="auto"/>
              <w:right w:val="nil"/>
            </w:tcBorders>
            <w:shd w:val="clear" w:color="000000" w:fill="FFFFFF"/>
            <w:noWrap/>
            <w:vAlign w:val="bottom"/>
            <w:hideMark/>
          </w:tcPr>
          <w:p w14:paraId="409A2164" w14:textId="77777777" w:rsidR="001800D8" w:rsidRPr="00004AA2" w:rsidRDefault="001800D8" w:rsidP="001800D8">
            <w:pPr>
              <w:jc w:val="center"/>
              <w:rPr>
                <w:rFonts w:ascii="Arial" w:hAnsi="Arial" w:cs="Arial"/>
                <w:b/>
                <w:bCs/>
                <w:color w:val="000000"/>
                <w:sz w:val="16"/>
                <w:szCs w:val="16"/>
                <w:lang w:val="es-ES"/>
              </w:rPr>
            </w:pPr>
            <w:r w:rsidRPr="00004AA2">
              <w:rPr>
                <w:rFonts w:ascii="Arial" w:hAnsi="Arial" w:cs="Arial"/>
                <w:b/>
                <w:bCs/>
                <w:color w:val="000000"/>
                <w:sz w:val="16"/>
                <w:szCs w:val="16"/>
                <w:lang w:val="es-ES"/>
              </w:rPr>
              <w:t>476.870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73FFD8C9" w14:textId="77777777" w:rsidR="001800D8" w:rsidRPr="00004AA2" w:rsidRDefault="001800D8" w:rsidP="001800D8">
            <w:pPr>
              <w:jc w:val="center"/>
              <w:rPr>
                <w:rFonts w:ascii="Arial" w:hAnsi="Arial" w:cs="Arial"/>
                <w:color w:val="000000"/>
                <w:sz w:val="16"/>
                <w:szCs w:val="16"/>
                <w:lang w:val="es-ES"/>
              </w:rPr>
            </w:pPr>
          </w:p>
        </w:tc>
        <w:tc>
          <w:tcPr>
            <w:tcW w:w="0" w:type="auto"/>
            <w:tcBorders>
              <w:top w:val="nil"/>
              <w:left w:val="nil"/>
              <w:bottom w:val="single" w:sz="8" w:space="0" w:color="auto"/>
              <w:right w:val="single" w:sz="8" w:space="0" w:color="auto"/>
            </w:tcBorders>
            <w:shd w:val="clear" w:color="000000" w:fill="FFFFFF"/>
            <w:noWrap/>
            <w:vAlign w:val="bottom"/>
            <w:hideMark/>
          </w:tcPr>
          <w:p w14:paraId="392C8098" w14:textId="77777777" w:rsidR="001800D8" w:rsidRPr="00004AA2" w:rsidRDefault="001800D8" w:rsidP="001800D8">
            <w:pPr>
              <w:jc w:val="center"/>
              <w:rPr>
                <w:rFonts w:ascii="Arial" w:hAnsi="Arial" w:cs="Arial"/>
                <w:color w:val="000000"/>
                <w:sz w:val="16"/>
                <w:szCs w:val="16"/>
                <w:lang w:val="es-ES"/>
              </w:rPr>
            </w:pPr>
          </w:p>
        </w:tc>
      </w:tr>
    </w:tbl>
    <w:p w14:paraId="7EF55284" w14:textId="77777777" w:rsidR="001800D8" w:rsidRDefault="001800D8" w:rsidP="001800D8">
      <w:pPr>
        <w:jc w:val="center"/>
        <w:rPr>
          <w:rFonts w:ascii="Arial" w:hAnsi="Arial" w:cs="Arial"/>
          <w:bCs/>
          <w:sz w:val="16"/>
          <w:szCs w:val="16"/>
          <w:lang w:val="es-ES"/>
        </w:rPr>
      </w:pPr>
      <w:r>
        <w:rPr>
          <w:rFonts w:ascii="Arial" w:hAnsi="Arial" w:cs="Arial"/>
          <w:bCs/>
          <w:sz w:val="16"/>
          <w:szCs w:val="16"/>
          <w:lang w:val="es-ES"/>
        </w:rPr>
        <w:t>Fuente: Soportes Tributarios ICA 2018. Cifras en millones de pesos a precios corrientes.</w:t>
      </w:r>
    </w:p>
    <w:p w14:paraId="246B845F" w14:textId="77777777" w:rsidR="001800D8" w:rsidRPr="00A32612" w:rsidRDefault="001800D8" w:rsidP="001800D8">
      <w:pPr>
        <w:jc w:val="center"/>
        <w:rPr>
          <w:rFonts w:ascii="Arial" w:hAnsi="Arial" w:cs="Arial"/>
          <w:bCs/>
          <w:sz w:val="16"/>
          <w:szCs w:val="16"/>
          <w:lang w:val="es-ES"/>
        </w:rPr>
      </w:pPr>
      <w:r>
        <w:rPr>
          <w:rFonts w:ascii="Arial" w:hAnsi="Arial" w:cs="Arial"/>
          <w:bCs/>
          <w:sz w:val="16"/>
          <w:szCs w:val="16"/>
          <w:lang w:val="es-ES"/>
        </w:rPr>
        <w:t>Cálculos y elaboración: Dirección Distrital de Impuestos de Bogotá.</w:t>
      </w:r>
    </w:p>
    <w:p w14:paraId="4BC1F213" w14:textId="77777777" w:rsidR="001800D8" w:rsidRPr="008C69B2" w:rsidRDefault="001800D8" w:rsidP="001800D8">
      <w:pPr>
        <w:jc w:val="both"/>
        <w:rPr>
          <w:rFonts w:ascii="Arial" w:hAnsi="Arial"/>
          <w:b/>
          <w:lang w:val="es-ES"/>
        </w:rPr>
      </w:pPr>
    </w:p>
    <w:p w14:paraId="6A709A44" w14:textId="77777777" w:rsidR="001800D8" w:rsidRPr="001800D8" w:rsidRDefault="001800D8" w:rsidP="001800D8">
      <w:pPr>
        <w:jc w:val="both"/>
        <w:rPr>
          <w:rFonts w:ascii="Arial" w:hAnsi="Arial"/>
          <w:sz w:val="24"/>
          <w:szCs w:val="24"/>
          <w:lang w:val="es-ES"/>
        </w:rPr>
      </w:pPr>
      <w:r w:rsidRPr="001800D8">
        <w:rPr>
          <w:rFonts w:ascii="Arial" w:hAnsi="Arial"/>
          <w:sz w:val="24"/>
          <w:szCs w:val="24"/>
          <w:lang w:val="es-ES"/>
        </w:rPr>
        <w:t>Por todo lo anterior, las tarifas ICA consolidadas incluidas en el proyecto de acuerdo distrital son las siguientes:</w:t>
      </w:r>
    </w:p>
    <w:p w14:paraId="7CDB1AF6" w14:textId="77777777" w:rsidR="001800D8" w:rsidRDefault="001800D8" w:rsidP="001800D8">
      <w:pPr>
        <w:jc w:val="both"/>
        <w:rPr>
          <w:rFonts w:ascii="Arial" w:hAnsi="Arial"/>
          <w:lang w:val="es-ES"/>
        </w:rPr>
      </w:pPr>
    </w:p>
    <w:p w14:paraId="7CA63DA9" w14:textId="77777777" w:rsidR="001800D8" w:rsidRPr="00C342F8" w:rsidRDefault="001800D8" w:rsidP="001800D8">
      <w:pPr>
        <w:jc w:val="both"/>
        <w:rPr>
          <w:rFonts w:ascii="Arial" w:hAnsi="Arial"/>
          <w:lang w:val="es-ES"/>
        </w:rPr>
      </w:pPr>
    </w:p>
    <w:p w14:paraId="4158F4B7" w14:textId="599D4EB9" w:rsidR="001800D8" w:rsidRPr="00B15AEE" w:rsidRDefault="001800D8" w:rsidP="001800D8">
      <w:pPr>
        <w:jc w:val="center"/>
        <w:rPr>
          <w:rFonts w:ascii="Arial" w:hAnsi="Arial"/>
          <w:b/>
          <w:lang w:val="es-ES"/>
        </w:rPr>
      </w:pPr>
      <w:r w:rsidRPr="001800D8">
        <w:rPr>
          <w:rFonts w:ascii="Arial" w:hAnsi="Arial"/>
          <w:b/>
          <w:sz w:val="24"/>
          <w:szCs w:val="24"/>
          <w:lang w:val="es-ES"/>
        </w:rPr>
        <w:t xml:space="preserve">Cuadro </w:t>
      </w:r>
      <w:r w:rsidR="000D6B2C">
        <w:rPr>
          <w:rFonts w:ascii="Arial" w:hAnsi="Arial"/>
          <w:b/>
          <w:sz w:val="24"/>
          <w:szCs w:val="24"/>
          <w:lang w:val="es-ES"/>
        </w:rPr>
        <w:t>4</w:t>
      </w:r>
      <w:r w:rsidRPr="001800D8">
        <w:rPr>
          <w:rFonts w:ascii="Arial" w:hAnsi="Arial"/>
          <w:b/>
          <w:sz w:val="24"/>
          <w:szCs w:val="24"/>
          <w:lang w:val="es-ES"/>
        </w:rPr>
        <w:t xml:space="preserve">. </w:t>
      </w:r>
      <w:r w:rsidRPr="001800D8">
        <w:rPr>
          <w:rFonts w:ascii="Arial" w:hAnsi="Arial"/>
          <w:sz w:val="24"/>
          <w:szCs w:val="24"/>
          <w:lang w:val="es-ES"/>
        </w:rPr>
        <w:t>Tarifas Consolidadas del ICA para el SIMPLE</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861"/>
        <w:gridCol w:w="2294"/>
        <w:gridCol w:w="2958"/>
      </w:tblGrid>
      <w:tr w:rsidR="001800D8" w:rsidRPr="000D6B2C" w14:paraId="45D2DFF5" w14:textId="77777777" w:rsidTr="000D6B2C">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0CB0D8DD" w14:textId="77777777" w:rsidR="001800D8" w:rsidRPr="000D6B2C" w:rsidRDefault="001800D8" w:rsidP="001800D8">
            <w:pPr>
              <w:pStyle w:val="Default"/>
              <w:ind w:left="-16"/>
              <w:jc w:val="center"/>
              <w:rPr>
                <w:sz w:val="20"/>
                <w:szCs w:val="20"/>
              </w:rPr>
            </w:pPr>
            <w:r w:rsidRPr="000D6B2C">
              <w:rPr>
                <w:rStyle w:val="Ninguno"/>
                <w:sz w:val="20"/>
                <w:szCs w:val="20"/>
              </w:rPr>
              <w:t>Actividad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777C5B97" w14:textId="77777777" w:rsidR="001800D8" w:rsidRPr="000D6B2C" w:rsidRDefault="001800D8" w:rsidP="001800D8">
            <w:pPr>
              <w:pStyle w:val="Default"/>
              <w:ind w:left="-79" w:right="-272"/>
              <w:jc w:val="center"/>
              <w:rPr>
                <w:sz w:val="20"/>
                <w:szCs w:val="20"/>
              </w:rPr>
            </w:pPr>
            <w:r w:rsidRPr="000D6B2C">
              <w:rPr>
                <w:rStyle w:val="Ninguno"/>
                <w:sz w:val="20"/>
                <w:szCs w:val="20"/>
              </w:rPr>
              <w:t>Agrupación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78D2B0BB" w14:textId="77777777" w:rsidR="001800D8" w:rsidRPr="000D6B2C" w:rsidRDefault="001800D8" w:rsidP="001800D8">
            <w:pPr>
              <w:pStyle w:val="Default"/>
              <w:ind w:left="-504" w:right="-481"/>
              <w:jc w:val="center"/>
              <w:rPr>
                <w:sz w:val="20"/>
                <w:szCs w:val="20"/>
              </w:rPr>
            </w:pPr>
            <w:r w:rsidRPr="000D6B2C">
              <w:rPr>
                <w:rStyle w:val="Ninguno"/>
                <w:sz w:val="20"/>
                <w:szCs w:val="20"/>
              </w:rPr>
              <w:t>Tarifa por mil consolidada</w:t>
            </w:r>
          </w:p>
        </w:tc>
      </w:tr>
      <w:tr w:rsidR="001800D8" w:rsidRPr="000D6B2C" w14:paraId="6D990278" w14:textId="77777777" w:rsidTr="000D6B2C">
        <w:trPr>
          <w:trHeight w:val="17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45E694BE" w14:textId="77777777" w:rsidR="001800D8" w:rsidRPr="000D6B2C" w:rsidRDefault="001800D8" w:rsidP="001800D8">
            <w:pPr>
              <w:pStyle w:val="Default"/>
              <w:ind w:left="426" w:right="474"/>
              <w:jc w:val="center"/>
              <w:rPr>
                <w:rStyle w:val="Ninguno"/>
                <w:rFonts w:eastAsia="Arial"/>
                <w:sz w:val="20"/>
                <w:szCs w:val="20"/>
              </w:rPr>
            </w:pPr>
          </w:p>
          <w:p w14:paraId="39E51597" w14:textId="77777777" w:rsidR="001800D8" w:rsidRPr="000D6B2C" w:rsidRDefault="001800D8" w:rsidP="001800D8">
            <w:pPr>
              <w:pStyle w:val="Default"/>
              <w:ind w:left="426" w:right="474"/>
              <w:jc w:val="center"/>
              <w:rPr>
                <w:sz w:val="20"/>
                <w:szCs w:val="20"/>
              </w:rPr>
            </w:pPr>
            <w:r w:rsidRPr="000D6B2C">
              <w:rPr>
                <w:rStyle w:val="Ninguno"/>
                <w:sz w:val="20"/>
                <w:szCs w:val="20"/>
              </w:rPr>
              <w:t>Industrial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247A1028" w14:textId="77777777" w:rsidR="001800D8" w:rsidRPr="000D6B2C" w:rsidRDefault="001800D8" w:rsidP="001800D8">
            <w:pPr>
              <w:pStyle w:val="Default"/>
              <w:ind w:left="426" w:right="474"/>
              <w:jc w:val="center"/>
              <w:rPr>
                <w:sz w:val="20"/>
                <w:szCs w:val="20"/>
              </w:rPr>
            </w:pPr>
            <w:r w:rsidRPr="000D6B2C">
              <w:rPr>
                <w:rStyle w:val="Ninguno"/>
                <w:sz w:val="20"/>
                <w:szCs w:val="2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79CAA140" w14:textId="77777777" w:rsidR="001800D8" w:rsidRPr="000D6B2C" w:rsidRDefault="001800D8" w:rsidP="001800D8">
            <w:pPr>
              <w:jc w:val="center"/>
              <w:rPr>
                <w:rFonts w:ascii="Arial" w:hAnsi="Arial"/>
              </w:rPr>
            </w:pPr>
            <w:r w:rsidRPr="000D6B2C">
              <w:rPr>
                <w:rFonts w:ascii="Arial" w:hAnsi="Arial"/>
              </w:rPr>
              <w:t xml:space="preserve"> 5 por mil</w:t>
            </w:r>
          </w:p>
        </w:tc>
      </w:tr>
      <w:tr w:rsidR="001800D8" w:rsidRPr="000D6B2C" w14:paraId="14D17EF0" w14:textId="77777777" w:rsidTr="000D6B2C">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220096EE" w14:textId="77777777" w:rsidR="001800D8" w:rsidRPr="000D6B2C" w:rsidRDefault="001800D8" w:rsidP="001800D8">
            <w:pPr>
              <w:jc w:val="center"/>
              <w:rPr>
                <w:rFonts w:ascii="Arial" w:hAnsi="Ari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0BAADA24" w14:textId="77777777" w:rsidR="001800D8" w:rsidRPr="000D6B2C" w:rsidRDefault="001800D8" w:rsidP="001800D8">
            <w:pPr>
              <w:pStyle w:val="Default"/>
              <w:ind w:left="426" w:right="474"/>
              <w:jc w:val="center"/>
              <w:rPr>
                <w:sz w:val="20"/>
                <w:szCs w:val="20"/>
              </w:rPr>
            </w:pPr>
            <w:r w:rsidRPr="000D6B2C">
              <w:rPr>
                <w:rStyle w:val="Ninguno"/>
                <w:sz w:val="20"/>
                <w:szCs w:val="20"/>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347F5AF7" w14:textId="77777777" w:rsidR="001800D8" w:rsidRPr="000D6B2C" w:rsidRDefault="001800D8" w:rsidP="001800D8">
            <w:pPr>
              <w:jc w:val="center"/>
              <w:rPr>
                <w:rFonts w:ascii="Arial" w:hAnsi="Arial"/>
              </w:rPr>
            </w:pPr>
            <w:r w:rsidRPr="000D6B2C">
              <w:rPr>
                <w:rFonts w:ascii="Arial" w:hAnsi="Arial"/>
              </w:rPr>
              <w:t>8 por mil</w:t>
            </w:r>
          </w:p>
        </w:tc>
      </w:tr>
      <w:tr w:rsidR="001800D8" w:rsidRPr="000D6B2C" w14:paraId="1BF37EFB" w14:textId="77777777" w:rsidTr="000D6B2C">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43FF826C" w14:textId="77777777" w:rsidR="001800D8" w:rsidRPr="000D6B2C" w:rsidRDefault="001800D8" w:rsidP="001800D8">
            <w:pPr>
              <w:jc w:val="center"/>
              <w:rPr>
                <w:rFonts w:ascii="Arial" w:hAnsi="Ari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3C3B3CC8" w14:textId="77777777" w:rsidR="001800D8" w:rsidRPr="000D6B2C" w:rsidRDefault="001800D8" w:rsidP="001800D8">
            <w:pPr>
              <w:pStyle w:val="Default"/>
              <w:ind w:left="426" w:right="474"/>
              <w:jc w:val="center"/>
              <w:rPr>
                <w:sz w:val="20"/>
                <w:szCs w:val="20"/>
              </w:rPr>
            </w:pPr>
            <w:r w:rsidRPr="000D6B2C">
              <w:rPr>
                <w:rStyle w:val="Ninguno"/>
                <w:sz w:val="20"/>
                <w:szCs w:val="20"/>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47978C70" w14:textId="77777777" w:rsidR="001800D8" w:rsidRPr="000D6B2C" w:rsidRDefault="001800D8" w:rsidP="001800D8">
            <w:pPr>
              <w:jc w:val="center"/>
              <w:rPr>
                <w:rFonts w:ascii="Arial" w:hAnsi="Arial"/>
              </w:rPr>
            </w:pPr>
            <w:r w:rsidRPr="000D6B2C">
              <w:rPr>
                <w:rFonts w:ascii="Arial" w:hAnsi="Arial"/>
              </w:rPr>
              <w:t>12 por mil</w:t>
            </w:r>
          </w:p>
        </w:tc>
      </w:tr>
      <w:tr w:rsidR="001800D8" w:rsidRPr="000D6B2C" w14:paraId="4E2BF820" w14:textId="77777777" w:rsidTr="000D6B2C">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675B11F0" w14:textId="77777777" w:rsidR="001800D8" w:rsidRPr="000D6B2C" w:rsidRDefault="001800D8" w:rsidP="001800D8">
            <w:pPr>
              <w:jc w:val="center"/>
              <w:rPr>
                <w:rFonts w:ascii="Arial" w:hAnsi="Ari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2BCC0B37" w14:textId="77777777" w:rsidR="001800D8" w:rsidRPr="000D6B2C" w:rsidRDefault="001800D8" w:rsidP="001800D8">
            <w:pPr>
              <w:pStyle w:val="Default"/>
              <w:ind w:left="426" w:right="474"/>
              <w:jc w:val="center"/>
              <w:rPr>
                <w:sz w:val="20"/>
                <w:szCs w:val="20"/>
              </w:rPr>
            </w:pPr>
            <w:r w:rsidRPr="000D6B2C">
              <w:rPr>
                <w:rStyle w:val="Ninguno"/>
                <w:sz w:val="20"/>
                <w:szCs w:val="20"/>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4DD70D74" w14:textId="77777777" w:rsidR="001800D8" w:rsidRPr="000D6B2C" w:rsidRDefault="001800D8" w:rsidP="001800D8">
            <w:pPr>
              <w:jc w:val="center"/>
              <w:rPr>
                <w:rFonts w:ascii="Arial" w:hAnsi="Arial"/>
              </w:rPr>
            </w:pPr>
            <w:r w:rsidRPr="000D6B2C">
              <w:rPr>
                <w:rFonts w:ascii="Arial" w:hAnsi="Arial"/>
              </w:rPr>
              <w:t>9 por mil</w:t>
            </w:r>
          </w:p>
        </w:tc>
      </w:tr>
      <w:tr w:rsidR="001800D8" w:rsidRPr="000D6B2C" w14:paraId="225CCF44" w14:textId="77777777" w:rsidTr="000D6B2C">
        <w:trPr>
          <w:trHeight w:val="17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07DACD6D" w14:textId="77777777" w:rsidR="001800D8" w:rsidRPr="000D6B2C" w:rsidRDefault="001800D8" w:rsidP="001800D8">
            <w:pPr>
              <w:pStyle w:val="Default"/>
              <w:ind w:left="426" w:right="474"/>
              <w:jc w:val="center"/>
              <w:rPr>
                <w:rStyle w:val="Ninguno"/>
                <w:rFonts w:eastAsia="Arial"/>
                <w:sz w:val="20"/>
                <w:szCs w:val="20"/>
              </w:rPr>
            </w:pPr>
          </w:p>
          <w:p w14:paraId="7007945A" w14:textId="77777777" w:rsidR="001800D8" w:rsidRPr="000D6B2C" w:rsidRDefault="001800D8" w:rsidP="001800D8">
            <w:pPr>
              <w:pStyle w:val="Default"/>
              <w:ind w:left="426" w:right="474"/>
              <w:jc w:val="center"/>
              <w:rPr>
                <w:sz w:val="20"/>
                <w:szCs w:val="20"/>
              </w:rPr>
            </w:pPr>
            <w:r w:rsidRPr="000D6B2C">
              <w:rPr>
                <w:rStyle w:val="Ninguno"/>
                <w:sz w:val="20"/>
                <w:szCs w:val="20"/>
              </w:rPr>
              <w:t>Comercial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6DD34504" w14:textId="77777777" w:rsidR="001800D8" w:rsidRPr="000D6B2C" w:rsidRDefault="001800D8" w:rsidP="001800D8">
            <w:pPr>
              <w:pStyle w:val="Default"/>
              <w:ind w:left="426" w:right="474"/>
              <w:jc w:val="center"/>
              <w:rPr>
                <w:sz w:val="20"/>
                <w:szCs w:val="20"/>
              </w:rPr>
            </w:pPr>
            <w:r w:rsidRPr="000D6B2C">
              <w:rPr>
                <w:rStyle w:val="Ninguno"/>
                <w:sz w:val="20"/>
                <w:szCs w:val="20"/>
              </w:rPr>
              <w:t>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5D0BA243" w14:textId="77777777" w:rsidR="001800D8" w:rsidRPr="000D6B2C" w:rsidRDefault="001800D8" w:rsidP="001800D8">
            <w:pPr>
              <w:jc w:val="center"/>
              <w:rPr>
                <w:rFonts w:ascii="Arial" w:hAnsi="Arial"/>
              </w:rPr>
            </w:pPr>
            <w:r w:rsidRPr="000D6B2C">
              <w:rPr>
                <w:rFonts w:ascii="Arial" w:hAnsi="Arial"/>
              </w:rPr>
              <w:t>5 por mil</w:t>
            </w:r>
          </w:p>
        </w:tc>
      </w:tr>
      <w:tr w:rsidR="001800D8" w:rsidRPr="000D6B2C" w14:paraId="128FE463" w14:textId="77777777" w:rsidTr="000D6B2C">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5D881EE5" w14:textId="77777777" w:rsidR="001800D8" w:rsidRPr="000D6B2C" w:rsidRDefault="001800D8" w:rsidP="001800D8">
            <w:pPr>
              <w:jc w:val="center"/>
              <w:rPr>
                <w:rFonts w:ascii="Arial" w:hAnsi="Ari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4A162410" w14:textId="77777777" w:rsidR="001800D8" w:rsidRPr="000D6B2C" w:rsidRDefault="001800D8" w:rsidP="001800D8">
            <w:pPr>
              <w:pStyle w:val="Default"/>
              <w:ind w:left="426" w:right="474"/>
              <w:jc w:val="center"/>
              <w:rPr>
                <w:sz w:val="20"/>
                <w:szCs w:val="20"/>
              </w:rPr>
            </w:pPr>
            <w:r w:rsidRPr="000D6B2C">
              <w:rPr>
                <w:rStyle w:val="Ninguno"/>
                <w:sz w:val="20"/>
                <w:szCs w:val="20"/>
              </w:rPr>
              <w:t>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4E7250BB" w14:textId="77777777" w:rsidR="001800D8" w:rsidRPr="000D6B2C" w:rsidRDefault="001800D8" w:rsidP="001800D8">
            <w:pPr>
              <w:jc w:val="center"/>
              <w:rPr>
                <w:rFonts w:ascii="Arial" w:hAnsi="Arial"/>
              </w:rPr>
            </w:pPr>
            <w:r w:rsidRPr="000D6B2C">
              <w:rPr>
                <w:rFonts w:ascii="Arial" w:hAnsi="Arial"/>
              </w:rPr>
              <w:t>8 por mil</w:t>
            </w:r>
          </w:p>
        </w:tc>
      </w:tr>
      <w:tr w:rsidR="001800D8" w:rsidRPr="000D6B2C" w14:paraId="2D8FD943" w14:textId="77777777" w:rsidTr="000D6B2C">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35396443" w14:textId="77777777" w:rsidR="001800D8" w:rsidRPr="000D6B2C" w:rsidRDefault="001800D8" w:rsidP="001800D8">
            <w:pPr>
              <w:jc w:val="center"/>
              <w:rPr>
                <w:rFonts w:ascii="Arial" w:hAnsi="Ari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75C81DF3" w14:textId="77777777" w:rsidR="001800D8" w:rsidRPr="000D6B2C" w:rsidRDefault="001800D8" w:rsidP="001800D8">
            <w:pPr>
              <w:pStyle w:val="Default"/>
              <w:ind w:left="426" w:right="474"/>
              <w:jc w:val="center"/>
              <w:rPr>
                <w:sz w:val="20"/>
                <w:szCs w:val="20"/>
              </w:rPr>
            </w:pPr>
            <w:r w:rsidRPr="000D6B2C">
              <w:rPr>
                <w:rStyle w:val="Ninguno"/>
                <w:sz w:val="20"/>
                <w:szCs w:val="20"/>
              </w:rPr>
              <w:t>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1931FBA6" w14:textId="77777777" w:rsidR="001800D8" w:rsidRPr="000D6B2C" w:rsidRDefault="001800D8" w:rsidP="001800D8">
            <w:pPr>
              <w:jc w:val="center"/>
              <w:rPr>
                <w:rFonts w:ascii="Arial" w:hAnsi="Arial"/>
              </w:rPr>
            </w:pPr>
            <w:r w:rsidRPr="000D6B2C">
              <w:rPr>
                <w:rFonts w:ascii="Arial" w:hAnsi="Arial"/>
              </w:rPr>
              <w:t>15 por mil</w:t>
            </w:r>
          </w:p>
        </w:tc>
      </w:tr>
      <w:tr w:rsidR="001800D8" w:rsidRPr="000D6B2C" w14:paraId="6B8D45AE" w14:textId="77777777" w:rsidTr="000D6B2C">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028E9D89" w14:textId="77777777" w:rsidR="001800D8" w:rsidRPr="000D6B2C" w:rsidRDefault="001800D8" w:rsidP="001800D8">
            <w:pPr>
              <w:jc w:val="center"/>
              <w:rPr>
                <w:rFonts w:ascii="Arial" w:hAnsi="Ari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343E3B1B" w14:textId="77777777" w:rsidR="001800D8" w:rsidRPr="000D6B2C" w:rsidRDefault="001800D8" w:rsidP="001800D8">
            <w:pPr>
              <w:pStyle w:val="Default"/>
              <w:ind w:left="426" w:right="474"/>
              <w:jc w:val="center"/>
              <w:rPr>
                <w:sz w:val="20"/>
                <w:szCs w:val="20"/>
              </w:rPr>
            </w:pPr>
            <w:r w:rsidRPr="000D6B2C">
              <w:rPr>
                <w:rStyle w:val="Ninguno"/>
                <w:sz w:val="20"/>
                <w:szCs w:val="20"/>
              </w:rPr>
              <w:t>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526E4656" w14:textId="77777777" w:rsidR="001800D8" w:rsidRPr="000D6B2C" w:rsidRDefault="001800D8" w:rsidP="001800D8">
            <w:pPr>
              <w:jc w:val="center"/>
              <w:rPr>
                <w:rFonts w:ascii="Arial" w:hAnsi="Arial"/>
              </w:rPr>
            </w:pPr>
            <w:r w:rsidRPr="000D6B2C">
              <w:rPr>
                <w:rFonts w:ascii="Arial" w:hAnsi="Arial"/>
              </w:rPr>
              <w:t>12 por mil</w:t>
            </w:r>
          </w:p>
        </w:tc>
      </w:tr>
      <w:tr w:rsidR="001800D8" w:rsidRPr="000D6B2C" w14:paraId="31ED9B80" w14:textId="77777777" w:rsidTr="000D6B2C">
        <w:trPr>
          <w:trHeight w:val="17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25B70864" w14:textId="77777777" w:rsidR="001800D8" w:rsidRPr="000D6B2C" w:rsidRDefault="001800D8" w:rsidP="001800D8">
            <w:pPr>
              <w:pStyle w:val="Default"/>
              <w:ind w:left="426" w:right="474"/>
              <w:jc w:val="center"/>
              <w:rPr>
                <w:rStyle w:val="Ninguno"/>
                <w:rFonts w:eastAsia="Arial"/>
                <w:sz w:val="20"/>
                <w:szCs w:val="20"/>
              </w:rPr>
            </w:pPr>
          </w:p>
          <w:p w14:paraId="79C9B89F" w14:textId="77777777" w:rsidR="001800D8" w:rsidRPr="000D6B2C" w:rsidRDefault="001800D8" w:rsidP="001800D8">
            <w:pPr>
              <w:pStyle w:val="Default"/>
              <w:ind w:left="426" w:right="474"/>
              <w:jc w:val="center"/>
              <w:rPr>
                <w:rStyle w:val="Ninguno"/>
                <w:rFonts w:eastAsia="Arial"/>
                <w:sz w:val="20"/>
                <w:szCs w:val="20"/>
              </w:rPr>
            </w:pPr>
          </w:p>
          <w:p w14:paraId="4ABC92DD" w14:textId="77777777" w:rsidR="001800D8" w:rsidRPr="000D6B2C" w:rsidRDefault="001800D8" w:rsidP="001800D8">
            <w:pPr>
              <w:pStyle w:val="Default"/>
              <w:ind w:left="426" w:right="474"/>
              <w:jc w:val="center"/>
              <w:rPr>
                <w:sz w:val="20"/>
                <w:szCs w:val="20"/>
              </w:rPr>
            </w:pPr>
            <w:r w:rsidRPr="000D6B2C">
              <w:rPr>
                <w:rStyle w:val="Ninguno"/>
                <w:sz w:val="20"/>
                <w:szCs w:val="20"/>
              </w:rPr>
              <w:t>Servicios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3F5AFFBA" w14:textId="77777777" w:rsidR="001800D8" w:rsidRPr="000D6B2C" w:rsidRDefault="001800D8" w:rsidP="001800D8">
            <w:pPr>
              <w:pStyle w:val="Default"/>
              <w:ind w:left="426" w:right="474"/>
              <w:jc w:val="center"/>
              <w:rPr>
                <w:sz w:val="20"/>
                <w:szCs w:val="20"/>
              </w:rPr>
            </w:pPr>
            <w:r w:rsidRPr="000D6B2C">
              <w:rPr>
                <w:rStyle w:val="Ninguno"/>
                <w:sz w:val="20"/>
                <w:szCs w:val="20"/>
              </w:rPr>
              <w:t>301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21115B70" w14:textId="77777777" w:rsidR="001800D8" w:rsidRPr="000D6B2C" w:rsidRDefault="001800D8" w:rsidP="001800D8">
            <w:pPr>
              <w:jc w:val="center"/>
              <w:rPr>
                <w:rFonts w:ascii="Arial" w:hAnsi="Arial"/>
              </w:rPr>
            </w:pPr>
            <w:r w:rsidRPr="000D6B2C">
              <w:rPr>
                <w:rFonts w:ascii="Arial" w:hAnsi="Arial"/>
              </w:rPr>
              <w:t>5 por mil</w:t>
            </w:r>
          </w:p>
        </w:tc>
      </w:tr>
      <w:tr w:rsidR="001800D8" w:rsidRPr="000D6B2C" w14:paraId="05783895" w14:textId="77777777" w:rsidTr="000D6B2C">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03733FBE" w14:textId="77777777" w:rsidR="001800D8" w:rsidRPr="000D6B2C" w:rsidRDefault="001800D8" w:rsidP="001800D8">
            <w:pPr>
              <w:jc w:val="center"/>
              <w:rPr>
                <w:rFonts w:ascii="Arial" w:hAnsi="Ari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7760FF03" w14:textId="77777777" w:rsidR="001800D8" w:rsidRPr="000D6B2C" w:rsidRDefault="001800D8" w:rsidP="001800D8">
            <w:pPr>
              <w:pStyle w:val="Default"/>
              <w:ind w:left="426" w:right="474"/>
              <w:jc w:val="center"/>
              <w:rPr>
                <w:sz w:val="20"/>
                <w:szCs w:val="20"/>
              </w:rPr>
            </w:pPr>
            <w:r w:rsidRPr="000D6B2C">
              <w:rPr>
                <w:rStyle w:val="Ninguno"/>
                <w:sz w:val="20"/>
                <w:szCs w:val="20"/>
              </w:rPr>
              <w:t>302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5F240F9F" w14:textId="77777777" w:rsidR="001800D8" w:rsidRPr="000D6B2C" w:rsidRDefault="001800D8" w:rsidP="001800D8">
            <w:pPr>
              <w:jc w:val="center"/>
              <w:rPr>
                <w:rFonts w:ascii="Arial" w:hAnsi="Arial"/>
              </w:rPr>
            </w:pPr>
            <w:r w:rsidRPr="000D6B2C">
              <w:rPr>
                <w:rFonts w:ascii="Arial" w:hAnsi="Arial"/>
              </w:rPr>
              <w:t>8 por mil</w:t>
            </w:r>
          </w:p>
        </w:tc>
      </w:tr>
      <w:tr w:rsidR="001800D8" w:rsidRPr="000D6B2C" w14:paraId="05D4F874" w14:textId="77777777" w:rsidTr="000D6B2C">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701F5C3B" w14:textId="77777777" w:rsidR="001800D8" w:rsidRPr="000D6B2C" w:rsidRDefault="001800D8" w:rsidP="001800D8">
            <w:pPr>
              <w:jc w:val="center"/>
              <w:rPr>
                <w:rFonts w:ascii="Arial" w:hAnsi="Ari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7E2234CC" w14:textId="77777777" w:rsidR="001800D8" w:rsidRPr="000D6B2C" w:rsidRDefault="001800D8" w:rsidP="001800D8">
            <w:pPr>
              <w:pStyle w:val="Default"/>
              <w:ind w:left="426" w:right="474"/>
              <w:jc w:val="center"/>
              <w:rPr>
                <w:sz w:val="20"/>
                <w:szCs w:val="20"/>
              </w:rPr>
            </w:pPr>
            <w:r w:rsidRPr="000D6B2C">
              <w:rPr>
                <w:rStyle w:val="Ninguno"/>
                <w:sz w:val="20"/>
                <w:szCs w:val="20"/>
              </w:rPr>
              <w:t>303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01506F93" w14:textId="77777777" w:rsidR="001800D8" w:rsidRPr="000D6B2C" w:rsidRDefault="001800D8" w:rsidP="001800D8">
            <w:pPr>
              <w:jc w:val="center"/>
              <w:rPr>
                <w:rFonts w:ascii="Arial" w:hAnsi="Arial"/>
              </w:rPr>
            </w:pPr>
            <w:r w:rsidRPr="000D6B2C">
              <w:rPr>
                <w:rFonts w:ascii="Arial" w:hAnsi="Arial"/>
              </w:rPr>
              <w:t>16 por mil</w:t>
            </w:r>
          </w:p>
        </w:tc>
      </w:tr>
      <w:tr w:rsidR="001800D8" w:rsidRPr="000D6B2C" w14:paraId="111E8C6B" w14:textId="77777777" w:rsidTr="000D6B2C">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564C2766" w14:textId="77777777" w:rsidR="001800D8" w:rsidRPr="000D6B2C" w:rsidRDefault="001800D8" w:rsidP="001800D8">
            <w:pPr>
              <w:jc w:val="center"/>
              <w:rPr>
                <w:rFonts w:ascii="Arial" w:hAnsi="Ari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42904E4D" w14:textId="77777777" w:rsidR="001800D8" w:rsidRPr="000D6B2C" w:rsidRDefault="001800D8" w:rsidP="001800D8">
            <w:pPr>
              <w:pStyle w:val="Default"/>
              <w:ind w:left="426" w:right="474"/>
              <w:jc w:val="center"/>
              <w:rPr>
                <w:sz w:val="20"/>
                <w:szCs w:val="20"/>
              </w:rPr>
            </w:pPr>
            <w:r w:rsidRPr="000D6B2C">
              <w:rPr>
                <w:rStyle w:val="Ninguno"/>
                <w:sz w:val="20"/>
                <w:szCs w:val="20"/>
              </w:rPr>
              <w:t>304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3518BD2F" w14:textId="77777777" w:rsidR="001800D8" w:rsidRPr="000D6B2C" w:rsidRDefault="001800D8" w:rsidP="001800D8">
            <w:pPr>
              <w:jc w:val="center"/>
              <w:rPr>
                <w:rFonts w:ascii="Arial" w:hAnsi="Arial"/>
              </w:rPr>
            </w:pPr>
            <w:r w:rsidRPr="000D6B2C">
              <w:rPr>
                <w:rFonts w:ascii="Arial" w:hAnsi="Arial"/>
              </w:rPr>
              <w:t>10 por mil</w:t>
            </w:r>
          </w:p>
        </w:tc>
      </w:tr>
      <w:tr w:rsidR="001800D8" w:rsidRPr="000D6B2C" w14:paraId="030E7D5C" w14:textId="77777777" w:rsidTr="000D6B2C">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14:paraId="5BFD9E44" w14:textId="77777777" w:rsidR="001800D8" w:rsidRPr="000D6B2C" w:rsidRDefault="001800D8" w:rsidP="001800D8">
            <w:pPr>
              <w:jc w:val="center"/>
              <w:rPr>
                <w:rFonts w:ascii="Arial" w:hAnsi="Ari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2BAD75CA" w14:textId="77777777" w:rsidR="001800D8" w:rsidRPr="000D6B2C" w:rsidRDefault="001800D8" w:rsidP="001800D8">
            <w:pPr>
              <w:pStyle w:val="Default"/>
              <w:ind w:left="426" w:right="474"/>
              <w:jc w:val="center"/>
              <w:rPr>
                <w:sz w:val="20"/>
                <w:szCs w:val="20"/>
              </w:rPr>
            </w:pPr>
            <w:r w:rsidRPr="000D6B2C">
              <w:rPr>
                <w:rStyle w:val="Ninguno"/>
                <w:sz w:val="20"/>
                <w:szCs w:val="20"/>
              </w:rPr>
              <w:t>305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554" w:type="dxa"/>
            </w:tcMar>
          </w:tcPr>
          <w:p w14:paraId="388C8D1E" w14:textId="77777777" w:rsidR="001800D8" w:rsidRPr="000D6B2C" w:rsidRDefault="001800D8" w:rsidP="001800D8">
            <w:pPr>
              <w:jc w:val="center"/>
              <w:rPr>
                <w:rFonts w:ascii="Arial" w:hAnsi="Arial"/>
              </w:rPr>
            </w:pPr>
            <w:r w:rsidRPr="000D6B2C">
              <w:rPr>
                <w:rFonts w:ascii="Arial" w:hAnsi="Arial"/>
              </w:rPr>
              <w:t>8 por mil</w:t>
            </w:r>
          </w:p>
        </w:tc>
      </w:tr>
    </w:tbl>
    <w:p w14:paraId="5DEBF482" w14:textId="77777777" w:rsidR="001800D8" w:rsidRDefault="001800D8" w:rsidP="001800D8">
      <w:pPr>
        <w:jc w:val="center"/>
        <w:rPr>
          <w:rFonts w:ascii="Arial" w:hAnsi="Arial" w:cs="Arial"/>
          <w:bCs/>
          <w:sz w:val="16"/>
          <w:szCs w:val="16"/>
          <w:lang w:val="es-ES"/>
        </w:rPr>
      </w:pPr>
      <w:r>
        <w:rPr>
          <w:rFonts w:ascii="Arial" w:hAnsi="Arial" w:cs="Arial"/>
          <w:bCs/>
          <w:sz w:val="16"/>
          <w:szCs w:val="16"/>
          <w:lang w:val="es-ES"/>
        </w:rPr>
        <w:t>Fuente: Soportes Tributarios ICA 2018. Cifras en millones de pesos a precios corrientes.</w:t>
      </w:r>
    </w:p>
    <w:p w14:paraId="40100103" w14:textId="77777777" w:rsidR="001800D8" w:rsidRPr="00A32612" w:rsidRDefault="001800D8" w:rsidP="001800D8">
      <w:pPr>
        <w:jc w:val="center"/>
        <w:rPr>
          <w:rFonts w:ascii="Arial" w:hAnsi="Arial" w:cs="Arial"/>
          <w:bCs/>
          <w:sz w:val="16"/>
          <w:szCs w:val="16"/>
          <w:lang w:val="es-ES"/>
        </w:rPr>
      </w:pPr>
      <w:r>
        <w:rPr>
          <w:rFonts w:ascii="Arial" w:hAnsi="Arial" w:cs="Arial"/>
          <w:bCs/>
          <w:sz w:val="16"/>
          <w:szCs w:val="16"/>
          <w:lang w:val="es-ES"/>
        </w:rPr>
        <w:t>Cálculos y elaboración: Dirección Distrital de Impuestos de Bogotá.</w:t>
      </w:r>
    </w:p>
    <w:p w14:paraId="4289F8EE" w14:textId="77777777" w:rsidR="001800D8" w:rsidRPr="001800D8" w:rsidRDefault="001800D8" w:rsidP="001800D8">
      <w:pPr>
        <w:jc w:val="both"/>
        <w:rPr>
          <w:rFonts w:ascii="Arial" w:hAnsi="Arial"/>
          <w:color w:val="000000"/>
          <w:sz w:val="24"/>
          <w:szCs w:val="24"/>
          <w:lang w:val="es-CO"/>
        </w:rPr>
      </w:pPr>
      <w:r w:rsidRPr="001800D8">
        <w:rPr>
          <w:rFonts w:ascii="Arial" w:hAnsi="Arial"/>
          <w:color w:val="000000"/>
          <w:sz w:val="24"/>
          <w:szCs w:val="24"/>
          <w:lang w:val="es-CO"/>
        </w:rPr>
        <w:lastRenderedPageBreak/>
        <w:t xml:space="preserve">Es preciso señalar que la ley faculta a las personas naturales y jurídicas con ingresos brutos anuales inferiores a 80 mil UVT ($2.742.800.000 millones) para ingresar a este régimen. Se estima que en Bogotá alrededor de 168 mil contribuyentes cumplirían la condición antes mencionada; estos representan el 80% del número total de contribuyentes y en 2018 habrían aportado 12% del recaudo total. </w:t>
      </w:r>
    </w:p>
    <w:p w14:paraId="421F92DC" w14:textId="77777777" w:rsidR="001800D8" w:rsidRPr="008C69B2" w:rsidRDefault="001800D8" w:rsidP="001800D8">
      <w:pPr>
        <w:rPr>
          <w:rFonts w:ascii="Arial" w:hAnsi="Arial"/>
          <w:b/>
          <w:lang w:val="es-ES"/>
        </w:rPr>
      </w:pPr>
    </w:p>
    <w:p w14:paraId="6ED6001B" w14:textId="0E5CF0A4" w:rsidR="001800D8" w:rsidRDefault="001800D8" w:rsidP="001800D8">
      <w:pPr>
        <w:jc w:val="center"/>
        <w:rPr>
          <w:rFonts w:ascii="Arial" w:hAnsi="Arial"/>
          <w:sz w:val="24"/>
          <w:szCs w:val="24"/>
          <w:lang w:val="es-ES"/>
        </w:rPr>
      </w:pPr>
      <w:r w:rsidRPr="001800D8">
        <w:rPr>
          <w:rFonts w:ascii="Arial" w:hAnsi="Arial"/>
          <w:b/>
          <w:sz w:val="24"/>
          <w:szCs w:val="24"/>
          <w:lang w:val="es-ES"/>
        </w:rPr>
        <w:t xml:space="preserve">Cuadro </w:t>
      </w:r>
      <w:r w:rsidR="000D6B2C">
        <w:rPr>
          <w:rFonts w:ascii="Arial" w:hAnsi="Arial"/>
          <w:b/>
          <w:sz w:val="24"/>
          <w:szCs w:val="24"/>
          <w:lang w:val="es-ES"/>
        </w:rPr>
        <w:t>5</w:t>
      </w:r>
      <w:r w:rsidRPr="001800D8">
        <w:rPr>
          <w:rFonts w:ascii="Arial" w:hAnsi="Arial"/>
          <w:b/>
          <w:sz w:val="24"/>
          <w:szCs w:val="24"/>
          <w:lang w:val="es-ES"/>
        </w:rPr>
        <w:t>.</w:t>
      </w:r>
      <w:r w:rsidRPr="001800D8">
        <w:rPr>
          <w:rFonts w:ascii="Arial" w:hAnsi="Arial"/>
          <w:sz w:val="24"/>
          <w:szCs w:val="24"/>
          <w:lang w:val="es-ES"/>
        </w:rPr>
        <w:t xml:space="preserve"> Proyección de contribuyentes que podrían migrar al SIMPLE</w:t>
      </w:r>
      <w:r w:rsidR="00324AD9">
        <w:rPr>
          <w:rFonts w:ascii="Arial" w:hAnsi="Arial"/>
          <w:sz w:val="24"/>
          <w:szCs w:val="24"/>
          <w:lang w:val="es-ES"/>
        </w:rPr>
        <w:t>.</w:t>
      </w:r>
    </w:p>
    <w:p w14:paraId="53DADCFE" w14:textId="77777777" w:rsidR="00324AD9" w:rsidRPr="001800D8" w:rsidRDefault="00324AD9" w:rsidP="001800D8">
      <w:pPr>
        <w:jc w:val="center"/>
        <w:rPr>
          <w:rFonts w:ascii="Arial" w:hAnsi="Arial"/>
          <w:sz w:val="24"/>
          <w:szCs w:val="24"/>
          <w:lang w:val="es-ES"/>
        </w:rPr>
      </w:pPr>
    </w:p>
    <w:tbl>
      <w:tblPr>
        <w:tblStyle w:val="Tabladecuadrcula6concolores-nfasis1"/>
        <w:tblW w:w="0" w:type="auto"/>
        <w:jc w:val="center"/>
        <w:tblLook w:val="04A0" w:firstRow="1" w:lastRow="0" w:firstColumn="1" w:lastColumn="0" w:noHBand="0" w:noVBand="1"/>
      </w:tblPr>
      <w:tblGrid>
        <w:gridCol w:w="2084"/>
        <w:gridCol w:w="1683"/>
        <w:gridCol w:w="1962"/>
      </w:tblGrid>
      <w:tr w:rsidR="001800D8" w:rsidRPr="005A0CBC" w14:paraId="283F1C3D" w14:textId="77777777" w:rsidTr="001800D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2CEF78F" w14:textId="77777777" w:rsidR="001800D8" w:rsidRPr="00B15AEE" w:rsidRDefault="001800D8" w:rsidP="001800D8">
            <w:pPr>
              <w:jc w:val="center"/>
              <w:rPr>
                <w:rFonts w:ascii="Arial" w:hAnsi="Arial"/>
                <w:color w:val="000000"/>
                <w:lang w:val="es-ES"/>
              </w:rPr>
            </w:pPr>
            <w:r w:rsidRPr="00B15AEE">
              <w:rPr>
                <w:rFonts w:ascii="Arial" w:hAnsi="Arial"/>
                <w:color w:val="000000"/>
              </w:rPr>
              <w:t>Descripción</w:t>
            </w:r>
          </w:p>
        </w:tc>
        <w:tc>
          <w:tcPr>
            <w:tcW w:w="0" w:type="auto"/>
            <w:noWrap/>
            <w:hideMark/>
          </w:tcPr>
          <w:p w14:paraId="78FBE437" w14:textId="77777777" w:rsidR="001800D8" w:rsidRPr="00B15AEE"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lang w:val="es-ES"/>
              </w:rPr>
            </w:pPr>
            <w:r w:rsidRPr="00B15AEE">
              <w:rPr>
                <w:rFonts w:ascii="Arial" w:hAnsi="Arial"/>
                <w:color w:val="000000"/>
              </w:rPr>
              <w:t>Contribuyentes</w:t>
            </w:r>
          </w:p>
        </w:tc>
        <w:tc>
          <w:tcPr>
            <w:tcW w:w="0" w:type="auto"/>
            <w:noWrap/>
            <w:hideMark/>
          </w:tcPr>
          <w:p w14:paraId="726F05D1" w14:textId="77777777" w:rsidR="001800D8" w:rsidRPr="00B15AEE" w:rsidRDefault="001800D8" w:rsidP="001800D8">
            <w:pPr>
              <w:jc w:val="center"/>
              <w:cnfStyle w:val="100000000000" w:firstRow="1" w:lastRow="0" w:firstColumn="0" w:lastColumn="0" w:oddVBand="0" w:evenVBand="0" w:oddHBand="0" w:evenHBand="0" w:firstRowFirstColumn="0" w:firstRowLastColumn="0" w:lastRowFirstColumn="0" w:lastRowLastColumn="0"/>
              <w:rPr>
                <w:rFonts w:ascii="Arial" w:hAnsi="Arial"/>
                <w:color w:val="000000"/>
                <w:lang w:val="es-ES"/>
              </w:rPr>
            </w:pPr>
            <w:r w:rsidRPr="00B15AEE">
              <w:rPr>
                <w:rFonts w:ascii="Arial" w:hAnsi="Arial"/>
                <w:color w:val="000000"/>
              </w:rPr>
              <w:t>Recaudo ICA 2018</w:t>
            </w:r>
          </w:p>
        </w:tc>
      </w:tr>
      <w:tr w:rsidR="001800D8" w:rsidRPr="005A0CBC" w14:paraId="11212DE6" w14:textId="77777777" w:rsidTr="001800D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2B06A3" w14:textId="77777777" w:rsidR="001800D8" w:rsidRPr="008C69B2" w:rsidRDefault="001800D8" w:rsidP="001800D8">
            <w:pPr>
              <w:jc w:val="center"/>
              <w:rPr>
                <w:rFonts w:ascii="Arial" w:hAnsi="Arial"/>
                <w:color w:val="000000"/>
                <w:lang w:val="es-ES"/>
              </w:rPr>
            </w:pPr>
            <w:r w:rsidRPr="008C69B2">
              <w:rPr>
                <w:rFonts w:ascii="Arial" w:hAnsi="Arial"/>
                <w:color w:val="000000"/>
              </w:rPr>
              <w:t>A. Total ICA</w:t>
            </w:r>
          </w:p>
        </w:tc>
        <w:tc>
          <w:tcPr>
            <w:tcW w:w="0" w:type="auto"/>
            <w:noWrap/>
            <w:hideMark/>
          </w:tcPr>
          <w:p w14:paraId="45AA50B7" w14:textId="77777777" w:rsidR="001800D8" w:rsidRPr="00C342F8"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lang w:val="es-ES"/>
              </w:rPr>
            </w:pPr>
            <w:r w:rsidRPr="00C342F8">
              <w:rPr>
                <w:rFonts w:ascii="Arial" w:hAnsi="Arial"/>
                <w:color w:val="000000"/>
              </w:rPr>
              <w:t>210.228</w:t>
            </w:r>
          </w:p>
        </w:tc>
        <w:tc>
          <w:tcPr>
            <w:tcW w:w="0" w:type="auto"/>
            <w:noWrap/>
            <w:hideMark/>
          </w:tcPr>
          <w:p w14:paraId="31E74A7B" w14:textId="77777777" w:rsidR="001800D8" w:rsidRPr="00C342F8"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lang w:val="es-ES"/>
              </w:rPr>
            </w:pPr>
            <w:r w:rsidRPr="00C342F8">
              <w:rPr>
                <w:rFonts w:ascii="Arial" w:hAnsi="Arial"/>
                <w:color w:val="000000"/>
              </w:rPr>
              <w:t>$3.750.247</w:t>
            </w:r>
          </w:p>
        </w:tc>
      </w:tr>
      <w:tr w:rsidR="001800D8" w:rsidRPr="005A0CBC" w14:paraId="4289CBC7" w14:textId="77777777" w:rsidTr="001800D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0EA8288" w14:textId="77777777" w:rsidR="001800D8" w:rsidRPr="008C69B2" w:rsidRDefault="001800D8" w:rsidP="001800D8">
            <w:pPr>
              <w:jc w:val="center"/>
              <w:rPr>
                <w:rFonts w:ascii="Arial" w:hAnsi="Arial"/>
                <w:color w:val="000000"/>
                <w:lang w:val="es-ES"/>
              </w:rPr>
            </w:pPr>
            <w:r w:rsidRPr="008C69B2">
              <w:rPr>
                <w:rFonts w:ascii="Arial" w:hAnsi="Arial"/>
                <w:color w:val="000000"/>
              </w:rPr>
              <w:t>B. Estimado Simple</w:t>
            </w:r>
          </w:p>
        </w:tc>
        <w:tc>
          <w:tcPr>
            <w:tcW w:w="0" w:type="auto"/>
            <w:noWrap/>
            <w:hideMark/>
          </w:tcPr>
          <w:p w14:paraId="7F9E7B29" w14:textId="77777777" w:rsidR="001800D8" w:rsidRPr="00C342F8"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lang w:val="es-ES"/>
              </w:rPr>
            </w:pPr>
            <w:r w:rsidRPr="00C342F8">
              <w:rPr>
                <w:rFonts w:ascii="Arial" w:hAnsi="Arial"/>
                <w:color w:val="000000"/>
              </w:rPr>
              <w:t>168.327</w:t>
            </w:r>
          </w:p>
        </w:tc>
        <w:tc>
          <w:tcPr>
            <w:tcW w:w="0" w:type="auto"/>
            <w:noWrap/>
            <w:hideMark/>
          </w:tcPr>
          <w:p w14:paraId="7DE7D957" w14:textId="77777777" w:rsidR="001800D8" w:rsidRPr="00C342F8" w:rsidRDefault="001800D8" w:rsidP="001800D8">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lang w:val="es-ES"/>
              </w:rPr>
            </w:pPr>
            <w:r w:rsidRPr="00C342F8">
              <w:rPr>
                <w:rFonts w:ascii="Arial" w:hAnsi="Arial"/>
                <w:color w:val="000000"/>
              </w:rPr>
              <w:t>$455.868</w:t>
            </w:r>
          </w:p>
        </w:tc>
      </w:tr>
      <w:tr w:rsidR="001800D8" w:rsidRPr="005A0CBC" w14:paraId="049F1F2D" w14:textId="77777777" w:rsidTr="001800D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B5B5DCC" w14:textId="77777777" w:rsidR="001800D8" w:rsidRPr="008C69B2" w:rsidRDefault="001800D8" w:rsidP="001800D8">
            <w:pPr>
              <w:jc w:val="center"/>
              <w:rPr>
                <w:rFonts w:ascii="Arial" w:hAnsi="Arial"/>
                <w:color w:val="000000"/>
                <w:lang w:val="es-ES"/>
              </w:rPr>
            </w:pPr>
            <w:r w:rsidRPr="008C69B2">
              <w:rPr>
                <w:rFonts w:ascii="Arial" w:hAnsi="Arial"/>
                <w:color w:val="000000"/>
              </w:rPr>
              <w:t>% Total (B/A)</w:t>
            </w:r>
          </w:p>
        </w:tc>
        <w:tc>
          <w:tcPr>
            <w:tcW w:w="0" w:type="auto"/>
            <w:noWrap/>
            <w:hideMark/>
          </w:tcPr>
          <w:p w14:paraId="3B2A200B" w14:textId="77777777" w:rsidR="001800D8" w:rsidRPr="00C342F8"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lang w:val="es-ES"/>
              </w:rPr>
            </w:pPr>
            <w:r w:rsidRPr="00C342F8">
              <w:rPr>
                <w:rFonts w:ascii="Arial" w:hAnsi="Arial"/>
                <w:color w:val="000000"/>
              </w:rPr>
              <w:t>80%</w:t>
            </w:r>
          </w:p>
        </w:tc>
        <w:tc>
          <w:tcPr>
            <w:tcW w:w="0" w:type="auto"/>
            <w:noWrap/>
            <w:hideMark/>
          </w:tcPr>
          <w:p w14:paraId="5A1C2408" w14:textId="77777777" w:rsidR="001800D8" w:rsidRPr="00C342F8" w:rsidRDefault="001800D8" w:rsidP="001800D8">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lang w:val="es-ES"/>
              </w:rPr>
            </w:pPr>
            <w:r w:rsidRPr="00C342F8">
              <w:rPr>
                <w:rFonts w:ascii="Arial" w:hAnsi="Arial"/>
                <w:color w:val="000000"/>
              </w:rPr>
              <w:t>12%</w:t>
            </w:r>
          </w:p>
        </w:tc>
      </w:tr>
    </w:tbl>
    <w:p w14:paraId="677BB3C6" w14:textId="77777777" w:rsidR="001800D8" w:rsidRDefault="001800D8" w:rsidP="001800D8">
      <w:pPr>
        <w:jc w:val="center"/>
        <w:rPr>
          <w:rFonts w:ascii="Arial" w:hAnsi="Arial" w:cs="Arial"/>
          <w:sz w:val="16"/>
          <w:szCs w:val="16"/>
          <w:lang w:val="es-ES"/>
        </w:rPr>
      </w:pPr>
      <w:r>
        <w:rPr>
          <w:rFonts w:ascii="Arial" w:hAnsi="Arial" w:cs="Arial"/>
          <w:sz w:val="16"/>
          <w:szCs w:val="16"/>
          <w:lang w:val="es-ES"/>
        </w:rPr>
        <w:t>Fuente: Soportes Tributarios ICA 2018. Cifras en millones de pesos a precios corrientes.</w:t>
      </w:r>
    </w:p>
    <w:p w14:paraId="0FAC9623" w14:textId="77777777" w:rsidR="001800D8" w:rsidRPr="000E1255" w:rsidRDefault="001800D8" w:rsidP="001800D8">
      <w:pPr>
        <w:jc w:val="center"/>
        <w:rPr>
          <w:rFonts w:ascii="Arial" w:hAnsi="Arial" w:cs="Arial"/>
          <w:sz w:val="16"/>
          <w:szCs w:val="16"/>
          <w:lang w:val="es-ES"/>
        </w:rPr>
      </w:pPr>
      <w:r>
        <w:rPr>
          <w:rFonts w:ascii="Arial" w:hAnsi="Arial" w:cs="Arial"/>
          <w:sz w:val="16"/>
          <w:szCs w:val="16"/>
          <w:lang w:val="es-ES"/>
        </w:rPr>
        <w:t>Cálculos: DIB – DEEF.</w:t>
      </w:r>
    </w:p>
    <w:p w14:paraId="6B088312" w14:textId="77777777" w:rsidR="001800D8" w:rsidRPr="008C69B2" w:rsidRDefault="001800D8" w:rsidP="001800D8">
      <w:pPr>
        <w:jc w:val="both"/>
        <w:rPr>
          <w:rFonts w:ascii="Arial" w:hAnsi="Arial"/>
          <w:lang w:val="es-ES"/>
        </w:rPr>
      </w:pPr>
    </w:p>
    <w:p w14:paraId="409938E2" w14:textId="77777777" w:rsidR="001800D8" w:rsidRPr="001800D8" w:rsidRDefault="001800D8" w:rsidP="001800D8">
      <w:pPr>
        <w:jc w:val="both"/>
        <w:rPr>
          <w:rFonts w:ascii="Arial" w:hAnsi="Arial"/>
          <w:sz w:val="24"/>
          <w:szCs w:val="24"/>
          <w:lang w:val="es-ES"/>
        </w:rPr>
      </w:pPr>
      <w:r w:rsidRPr="001800D8">
        <w:rPr>
          <w:rFonts w:ascii="Arial" w:hAnsi="Arial"/>
          <w:sz w:val="24"/>
          <w:szCs w:val="24"/>
          <w:lang w:val="es-ES"/>
        </w:rPr>
        <w:t xml:space="preserve">No obstante, está cifra podría variar a la baja, teniendo en cuenta que el monto de ingresos no es el único requisito legal para formar parte de este régimen; toda vez que la norma también señala criterios como el tipo de actividad económica, y la forma de constitución legal de las unidades empresariales. </w:t>
      </w:r>
    </w:p>
    <w:p w14:paraId="51280CF1" w14:textId="77777777" w:rsidR="001800D8" w:rsidRPr="001800D8" w:rsidRDefault="001800D8" w:rsidP="001800D8">
      <w:pPr>
        <w:jc w:val="both"/>
        <w:rPr>
          <w:rFonts w:ascii="Arial" w:hAnsi="Arial"/>
          <w:sz w:val="24"/>
          <w:szCs w:val="24"/>
          <w:lang w:val="es-ES"/>
        </w:rPr>
      </w:pPr>
    </w:p>
    <w:p w14:paraId="08856766" w14:textId="77777777" w:rsidR="001800D8" w:rsidRPr="001800D8" w:rsidRDefault="001800D8" w:rsidP="001800D8">
      <w:pPr>
        <w:jc w:val="both"/>
        <w:rPr>
          <w:rFonts w:ascii="Arial" w:hAnsi="Arial"/>
          <w:sz w:val="24"/>
          <w:szCs w:val="24"/>
          <w:lang w:val="es-ES"/>
        </w:rPr>
      </w:pPr>
      <w:r w:rsidRPr="001800D8">
        <w:rPr>
          <w:rFonts w:ascii="Arial" w:hAnsi="Arial"/>
          <w:sz w:val="24"/>
          <w:szCs w:val="24"/>
          <w:lang w:val="es-ES"/>
        </w:rPr>
        <w:t>El cálculo de las tarifas ICA consolidado se realizó buscando que el efecto fiscal de la creación del régimen simple sea neutral para Bogotá independientemente del número de contribuyentes que migren al SIMPLE.</w:t>
      </w:r>
    </w:p>
    <w:p w14:paraId="00DC7279" w14:textId="77777777" w:rsidR="001800D8" w:rsidRPr="001800D8" w:rsidRDefault="001800D8" w:rsidP="001800D8">
      <w:pPr>
        <w:jc w:val="both"/>
        <w:rPr>
          <w:rFonts w:ascii="Arial" w:hAnsi="Arial"/>
          <w:sz w:val="24"/>
          <w:szCs w:val="24"/>
          <w:lang w:val="es-ES"/>
        </w:rPr>
      </w:pPr>
      <w:r w:rsidRPr="001800D8">
        <w:rPr>
          <w:rFonts w:ascii="Arial" w:hAnsi="Arial"/>
          <w:sz w:val="24"/>
          <w:szCs w:val="24"/>
          <w:lang w:val="es-ES"/>
        </w:rPr>
        <w:t xml:space="preserve"> </w:t>
      </w:r>
    </w:p>
    <w:p w14:paraId="24204B33" w14:textId="77777777" w:rsidR="001800D8" w:rsidRPr="001800D8" w:rsidRDefault="001800D8" w:rsidP="001800D8">
      <w:pPr>
        <w:jc w:val="both"/>
        <w:rPr>
          <w:rFonts w:ascii="Arial" w:hAnsi="Arial"/>
          <w:sz w:val="24"/>
          <w:szCs w:val="24"/>
          <w:lang w:val="es-ES"/>
        </w:rPr>
      </w:pPr>
      <w:r w:rsidRPr="001800D8">
        <w:rPr>
          <w:rFonts w:ascii="Arial" w:hAnsi="Arial"/>
          <w:sz w:val="24"/>
          <w:szCs w:val="24"/>
          <w:lang w:val="es-ES"/>
        </w:rPr>
        <w:t>Aunque es baja la probabilidad, se espera aumentar el recaudo por ICA en Bogotá a partir de 2020 resultante de una formalización empresarial atribuible a la entrada en vigor del SIMPLE.</w:t>
      </w:r>
    </w:p>
    <w:p w14:paraId="05F1A2B2" w14:textId="77777777" w:rsidR="001800D8" w:rsidRPr="001800D8" w:rsidRDefault="001800D8" w:rsidP="001800D8">
      <w:pPr>
        <w:jc w:val="both"/>
        <w:rPr>
          <w:rFonts w:ascii="Arial" w:hAnsi="Arial"/>
          <w:sz w:val="24"/>
          <w:szCs w:val="24"/>
        </w:rPr>
      </w:pPr>
    </w:p>
    <w:p w14:paraId="21FB4A5D" w14:textId="56BA15DA" w:rsidR="001800D8" w:rsidRDefault="001800D8" w:rsidP="001800D8">
      <w:pPr>
        <w:jc w:val="both"/>
        <w:rPr>
          <w:rFonts w:ascii="Arial" w:hAnsi="Arial"/>
          <w:color w:val="000000"/>
          <w:sz w:val="24"/>
          <w:szCs w:val="24"/>
          <w:lang w:val="es-CO"/>
        </w:rPr>
      </w:pPr>
      <w:r w:rsidRPr="001800D8">
        <w:rPr>
          <w:rFonts w:ascii="Arial" w:hAnsi="Arial"/>
          <w:color w:val="000000"/>
          <w:sz w:val="24"/>
          <w:szCs w:val="24"/>
          <w:lang w:val="es-CO"/>
        </w:rPr>
        <w:t xml:space="preserve">De manera que con este proyecto de acuerdo se está cumpliendo la Ley 1943 de 2018, en los plazos y condiciones por ella señalados, y se </w:t>
      </w:r>
      <w:r w:rsidRPr="001800D8">
        <w:rPr>
          <w:rFonts w:ascii="Arial" w:hAnsi="Arial" w:cs="Arial"/>
          <w:color w:val="000000"/>
          <w:sz w:val="24"/>
          <w:szCs w:val="24"/>
          <w:lang w:val="es-CO" w:eastAsia="es-CO"/>
        </w:rPr>
        <w:t>están</w:t>
      </w:r>
      <w:r w:rsidRPr="001800D8">
        <w:rPr>
          <w:rFonts w:ascii="Arial" w:hAnsi="Arial"/>
          <w:color w:val="000000"/>
          <w:sz w:val="24"/>
          <w:szCs w:val="24"/>
          <w:lang w:val="es-CO"/>
        </w:rPr>
        <w:t xml:space="preserve"> adoptando las tarifas dentro de los limites autorizados por el Decreto Ley 1421 de 1993.</w:t>
      </w:r>
    </w:p>
    <w:p w14:paraId="3BE539D1" w14:textId="63E7D6CC" w:rsidR="001800D8" w:rsidRDefault="001800D8" w:rsidP="001800D8">
      <w:pPr>
        <w:jc w:val="both"/>
        <w:rPr>
          <w:rFonts w:ascii="Arial" w:hAnsi="Arial"/>
          <w:color w:val="000000"/>
          <w:sz w:val="24"/>
          <w:szCs w:val="24"/>
          <w:lang w:val="es-CO"/>
        </w:rPr>
      </w:pPr>
    </w:p>
    <w:p w14:paraId="42D7BB15" w14:textId="72DBF3F9" w:rsidR="00B53E5E" w:rsidRPr="007257F7" w:rsidRDefault="001800D8" w:rsidP="005C1E9F">
      <w:pPr>
        <w:pStyle w:val="Prrafodelista"/>
        <w:numPr>
          <w:ilvl w:val="0"/>
          <w:numId w:val="18"/>
        </w:numPr>
        <w:jc w:val="both"/>
        <w:rPr>
          <w:rFonts w:ascii="Arial" w:hAnsi="Arial" w:cs="Arial"/>
          <w:b/>
          <w:sz w:val="24"/>
          <w:szCs w:val="24"/>
        </w:rPr>
      </w:pPr>
      <w:r w:rsidRPr="007257F7">
        <w:rPr>
          <w:rFonts w:ascii="Arial" w:hAnsi="Arial"/>
          <w:b/>
          <w:bCs/>
          <w:color w:val="000000"/>
          <w:sz w:val="24"/>
          <w:szCs w:val="24"/>
          <w:lang w:val="es-CO"/>
        </w:rPr>
        <w:t>Beneficios tributarios</w:t>
      </w:r>
    </w:p>
    <w:p w14:paraId="64229400" w14:textId="1D94BCF0" w:rsidR="008F7530" w:rsidRDefault="008F7530" w:rsidP="00C2462F">
      <w:pPr>
        <w:jc w:val="both"/>
        <w:rPr>
          <w:rFonts w:ascii="Arial" w:hAnsi="Arial" w:cs="Arial"/>
          <w:b/>
          <w:sz w:val="24"/>
          <w:szCs w:val="24"/>
        </w:rPr>
      </w:pPr>
    </w:p>
    <w:p w14:paraId="52C7BBBE" w14:textId="6639EEEA" w:rsidR="007257F7" w:rsidRPr="007257F7" w:rsidRDefault="007257F7" w:rsidP="00C2462F">
      <w:pPr>
        <w:jc w:val="both"/>
        <w:rPr>
          <w:rFonts w:ascii="Arial" w:hAnsi="Arial" w:cs="Arial"/>
          <w:bCs/>
          <w:sz w:val="32"/>
          <w:szCs w:val="32"/>
        </w:rPr>
      </w:pPr>
      <w:r w:rsidRPr="007257F7">
        <w:rPr>
          <w:rFonts w:ascii="Arial" w:hAnsi="Arial" w:cs="Arial"/>
          <w:sz w:val="24"/>
          <w:szCs w:val="24"/>
        </w:rPr>
        <w:t xml:space="preserve">Los incentivos tributarios han sido tradicionalmente empleados como herramienta de la política pública para corregir reducir las imperfecciones del mercado. De acuerdo con la teoría tributaria, cualquier exención de una tarifa general debe justificarse bien sea porque hace más equitativa la estructura impositiva, bien porque promueve la producción de bienes con externalidades positivas. En este sentido, </w:t>
      </w:r>
      <w:r w:rsidR="008704E4">
        <w:rPr>
          <w:rFonts w:ascii="Arial" w:hAnsi="Arial" w:cs="Arial"/>
          <w:sz w:val="24"/>
          <w:szCs w:val="24"/>
        </w:rPr>
        <w:t xml:space="preserve">y con el fin de: promover inversiones en vivienda de interés social, promover medidas que garanticen la preservación del patrimonio arquitectónico de la ciudad, </w:t>
      </w:r>
      <w:r w:rsidR="008704E4">
        <w:rPr>
          <w:rFonts w:ascii="Arial" w:hAnsi="Arial" w:cs="Arial"/>
          <w:sz w:val="24"/>
          <w:szCs w:val="24"/>
        </w:rPr>
        <w:lastRenderedPageBreak/>
        <w:t>y aliviar la carga tributaria de un conjunto de bienes de interés cultural, entre otros, el presente proyecto de acuerdo propone la extensión y ampliación de los siguientes beneficios tributarios.</w:t>
      </w:r>
    </w:p>
    <w:p w14:paraId="173A2A8F" w14:textId="77777777" w:rsidR="007257F7" w:rsidRDefault="007257F7" w:rsidP="00C2462F">
      <w:pPr>
        <w:jc w:val="both"/>
        <w:rPr>
          <w:rFonts w:ascii="Arial" w:hAnsi="Arial" w:cs="Arial"/>
          <w:bCs/>
          <w:sz w:val="24"/>
          <w:szCs w:val="24"/>
        </w:rPr>
      </w:pPr>
    </w:p>
    <w:p w14:paraId="444AE88D" w14:textId="77777777" w:rsidR="008704E4" w:rsidRPr="00CC1549" w:rsidRDefault="008704E4" w:rsidP="008704E4">
      <w:pPr>
        <w:jc w:val="both"/>
        <w:rPr>
          <w:rFonts w:ascii="Arial" w:hAnsi="Arial"/>
          <w:sz w:val="24"/>
          <w:szCs w:val="24"/>
        </w:rPr>
      </w:pPr>
      <w:r w:rsidRPr="00CC1549">
        <w:rPr>
          <w:rFonts w:ascii="Arial" w:hAnsi="Arial"/>
          <w:sz w:val="24"/>
          <w:szCs w:val="24"/>
        </w:rPr>
        <w:t>Las exenciones vigentes al impuesto de delineación urbana se constituyen en un conjunto de herramientas que fomentan la construcción de unidades habitacionales para los habitantes con menor capacidad de pago en la ciudad. Lo anterior, en línea con las políticas públicas de vivienda y hábitat incluidas en el más reciente Plan de Desarrollo Distrital.</w:t>
      </w:r>
    </w:p>
    <w:p w14:paraId="08C8484F" w14:textId="77777777" w:rsidR="008704E4" w:rsidRPr="00CC1549" w:rsidRDefault="008704E4" w:rsidP="008704E4">
      <w:pPr>
        <w:jc w:val="both"/>
        <w:rPr>
          <w:rFonts w:ascii="Arial" w:hAnsi="Arial"/>
          <w:sz w:val="24"/>
          <w:szCs w:val="24"/>
        </w:rPr>
      </w:pPr>
    </w:p>
    <w:p w14:paraId="068AC56F" w14:textId="77777777" w:rsidR="008704E4" w:rsidRPr="00CC1549" w:rsidRDefault="008704E4" w:rsidP="008704E4">
      <w:pPr>
        <w:jc w:val="both"/>
        <w:rPr>
          <w:rFonts w:ascii="Arial" w:hAnsi="Arial"/>
          <w:sz w:val="24"/>
          <w:szCs w:val="24"/>
        </w:rPr>
      </w:pPr>
      <w:r w:rsidRPr="00CC1549">
        <w:rPr>
          <w:rFonts w:ascii="Arial" w:hAnsi="Arial"/>
          <w:sz w:val="24"/>
          <w:szCs w:val="24"/>
        </w:rPr>
        <w:t>Una de las problemáticas que aqueja a la ciudad de Bogotá tiene que ver con el déficit habitacional -cualitativo y cuantitativo- que padecen cientos de miles de hogares como consecuencia de la limitada capacidad de pago que tienen en función de sus ingresos, y también de la insuficiente oferta de viviendas de interés social a las que acceder.</w:t>
      </w:r>
    </w:p>
    <w:p w14:paraId="14C4F8C9" w14:textId="77777777" w:rsidR="008704E4" w:rsidRPr="00CC1549" w:rsidRDefault="008704E4" w:rsidP="008704E4">
      <w:pPr>
        <w:jc w:val="both"/>
        <w:rPr>
          <w:rFonts w:ascii="Arial" w:hAnsi="Arial"/>
          <w:sz w:val="24"/>
          <w:szCs w:val="24"/>
        </w:rPr>
      </w:pPr>
    </w:p>
    <w:p w14:paraId="6388F91B" w14:textId="77777777" w:rsidR="008704E4" w:rsidRPr="00CC1549" w:rsidRDefault="008704E4" w:rsidP="008704E4">
      <w:pPr>
        <w:jc w:val="both"/>
        <w:rPr>
          <w:rFonts w:ascii="Arial" w:hAnsi="Arial"/>
          <w:sz w:val="24"/>
          <w:szCs w:val="24"/>
        </w:rPr>
      </w:pPr>
      <w:r w:rsidRPr="00CC1549">
        <w:rPr>
          <w:rFonts w:ascii="Arial" w:hAnsi="Arial"/>
          <w:sz w:val="24"/>
          <w:szCs w:val="24"/>
        </w:rPr>
        <w:t>Con el fin de mitigar la problemática habitacional de la ciudad mediante la implementación de incentivos a la construcción de unidades habitacionales para la población de menor ingreso, se propone extender las exenciones al impuesto de delineación urbana por el término de los próximos diez años a partir del 01 de enero de 2020.</w:t>
      </w:r>
    </w:p>
    <w:p w14:paraId="18C96298" w14:textId="77777777" w:rsidR="008704E4" w:rsidRPr="00CC1549" w:rsidRDefault="008704E4" w:rsidP="008704E4">
      <w:pPr>
        <w:jc w:val="both"/>
        <w:rPr>
          <w:rFonts w:ascii="Arial" w:hAnsi="Arial"/>
          <w:sz w:val="24"/>
          <w:szCs w:val="24"/>
        </w:rPr>
      </w:pPr>
    </w:p>
    <w:p w14:paraId="00D81646" w14:textId="77777777" w:rsidR="008704E4" w:rsidRPr="00CC1549" w:rsidRDefault="008704E4" w:rsidP="008704E4">
      <w:pPr>
        <w:jc w:val="both"/>
        <w:rPr>
          <w:rFonts w:ascii="Arial" w:hAnsi="Arial"/>
          <w:sz w:val="24"/>
          <w:szCs w:val="24"/>
        </w:rPr>
      </w:pPr>
      <w:r w:rsidRPr="00CC1549">
        <w:rPr>
          <w:rFonts w:ascii="Arial" w:hAnsi="Arial"/>
          <w:sz w:val="24"/>
          <w:szCs w:val="24"/>
        </w:rPr>
        <w:t xml:space="preserve">Según cifras de la Cámara Colombiana de la Construcción – Camacol, actualmente en Bogotá se encuentran disponibles para la venta 19.257 unidades de vivienda, de las cuales un 27% (5.200) corresponde al segmento social, esto es, viviendas con un avalúo comercial desde 0 hasta 135 SMMLV. El estudio de oferta y demanda de destinos habitacionales y no </w:t>
      </w:r>
      <w:r w:rsidRPr="00CC1549">
        <w:rPr>
          <w:rFonts w:ascii="Arial" w:hAnsi="Arial" w:cs="Arial"/>
          <w:bCs/>
          <w:sz w:val="24"/>
          <w:szCs w:val="24"/>
        </w:rPr>
        <w:t>habitacionales</w:t>
      </w:r>
      <w:r w:rsidRPr="00CC1549">
        <w:rPr>
          <w:rFonts w:ascii="Arial" w:hAnsi="Arial"/>
          <w:sz w:val="24"/>
          <w:szCs w:val="24"/>
        </w:rPr>
        <w:t xml:space="preserve"> realizado igualmente por Camacol en 2018, estima que cerca de 86 mil hogares demandan una solución habitacional, y que, de estos, el 63% podría acceder únicamente a una vivienda social.</w:t>
      </w:r>
    </w:p>
    <w:p w14:paraId="7CDB1F9E" w14:textId="77777777" w:rsidR="008704E4" w:rsidRPr="00CC1549" w:rsidRDefault="008704E4" w:rsidP="008704E4">
      <w:pPr>
        <w:jc w:val="both"/>
        <w:rPr>
          <w:rFonts w:ascii="Arial" w:hAnsi="Arial"/>
          <w:sz w:val="24"/>
          <w:szCs w:val="24"/>
        </w:rPr>
      </w:pPr>
    </w:p>
    <w:p w14:paraId="7D58E655" w14:textId="77777777" w:rsidR="008704E4" w:rsidRPr="00CC1549" w:rsidRDefault="008704E4" w:rsidP="008704E4">
      <w:pPr>
        <w:jc w:val="both"/>
        <w:rPr>
          <w:rFonts w:ascii="Arial" w:hAnsi="Arial"/>
          <w:sz w:val="24"/>
          <w:szCs w:val="24"/>
        </w:rPr>
      </w:pPr>
      <w:r w:rsidRPr="00CC1549">
        <w:rPr>
          <w:rFonts w:ascii="Arial" w:hAnsi="Arial"/>
          <w:sz w:val="24"/>
          <w:szCs w:val="24"/>
        </w:rPr>
        <w:t>En el siguiente gráfico se observa la disparidad existente entre la oferta y la demanda de VIS como consecuencia de la escasa oferta de vivienda social en la ciudad. Esto plantea entonces la necesidad de establecer esquemas de incentivos que favorezcan la construcción de viviendas en este segmento, permitiendo así, reducir el déficit habitacional de la ciudad.</w:t>
      </w:r>
    </w:p>
    <w:p w14:paraId="568952DF" w14:textId="77777777" w:rsidR="008704E4" w:rsidRPr="00CC1549" w:rsidRDefault="008704E4" w:rsidP="008704E4">
      <w:pPr>
        <w:jc w:val="both"/>
        <w:rPr>
          <w:rFonts w:ascii="Arial" w:hAnsi="Arial"/>
          <w:sz w:val="24"/>
          <w:szCs w:val="24"/>
        </w:rPr>
      </w:pPr>
    </w:p>
    <w:p w14:paraId="5A2004E0" w14:textId="77777777" w:rsidR="000D6B2C" w:rsidRDefault="000D6B2C">
      <w:pPr>
        <w:rPr>
          <w:rFonts w:ascii="Arial" w:hAnsi="Arial"/>
          <w:b/>
          <w:sz w:val="24"/>
          <w:szCs w:val="24"/>
        </w:rPr>
      </w:pPr>
      <w:r>
        <w:rPr>
          <w:rFonts w:ascii="Arial" w:hAnsi="Arial"/>
          <w:b/>
          <w:sz w:val="24"/>
          <w:szCs w:val="24"/>
        </w:rPr>
        <w:br w:type="page"/>
      </w:r>
    </w:p>
    <w:p w14:paraId="5E57E5DC" w14:textId="0EFEA581" w:rsidR="008704E4" w:rsidRPr="00B15AEE" w:rsidRDefault="008704E4" w:rsidP="00CC1549">
      <w:pPr>
        <w:jc w:val="center"/>
        <w:rPr>
          <w:rFonts w:ascii="Arial" w:hAnsi="Arial"/>
        </w:rPr>
      </w:pPr>
      <w:r w:rsidRPr="00CC1549">
        <w:rPr>
          <w:rFonts w:ascii="Arial" w:hAnsi="Arial"/>
          <w:b/>
          <w:sz w:val="24"/>
          <w:szCs w:val="24"/>
        </w:rPr>
        <w:lastRenderedPageBreak/>
        <w:t>Gráfico 3.</w:t>
      </w:r>
      <w:r w:rsidRPr="00CC1549">
        <w:rPr>
          <w:rFonts w:ascii="Arial" w:hAnsi="Arial"/>
          <w:sz w:val="24"/>
          <w:szCs w:val="24"/>
        </w:rPr>
        <w:t xml:space="preserve"> Demanda y oferta de vivienda 2018</w:t>
      </w:r>
    </w:p>
    <w:p w14:paraId="6D1A1A23" w14:textId="77777777" w:rsidR="008704E4" w:rsidRPr="008C69B2" w:rsidRDefault="008704E4" w:rsidP="008704E4">
      <w:pPr>
        <w:jc w:val="center"/>
        <w:rPr>
          <w:rFonts w:ascii="Arial" w:hAnsi="Arial"/>
        </w:rPr>
      </w:pPr>
      <w:r w:rsidRPr="00FF4086">
        <w:rPr>
          <w:noProof/>
          <w:lang w:val="es-CO" w:eastAsia="es-CO"/>
        </w:rPr>
        <w:drawing>
          <wp:inline distT="0" distB="0" distL="0" distR="0" wp14:anchorId="0D1A5587" wp14:editId="464FC627">
            <wp:extent cx="4562475" cy="27432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2743200"/>
                    </a:xfrm>
                    <a:prstGeom prst="rect">
                      <a:avLst/>
                    </a:prstGeom>
                    <a:noFill/>
                    <a:ln>
                      <a:noFill/>
                    </a:ln>
                  </pic:spPr>
                </pic:pic>
              </a:graphicData>
            </a:graphic>
          </wp:inline>
        </w:drawing>
      </w:r>
    </w:p>
    <w:p w14:paraId="1D699C2A" w14:textId="77777777" w:rsidR="008704E4" w:rsidRPr="00B7051F" w:rsidRDefault="008704E4" w:rsidP="008704E4">
      <w:pPr>
        <w:jc w:val="center"/>
        <w:rPr>
          <w:rFonts w:ascii="Arial" w:hAnsi="Arial" w:cs="Arial"/>
          <w:sz w:val="16"/>
          <w:szCs w:val="16"/>
          <w:lang w:val="es-ES"/>
        </w:rPr>
      </w:pPr>
      <w:bookmarkStart w:id="1" w:name="_Hlk13847185"/>
      <w:r w:rsidRPr="00B7051F">
        <w:rPr>
          <w:rFonts w:ascii="Arial" w:hAnsi="Arial" w:cs="Arial"/>
          <w:sz w:val="16"/>
          <w:szCs w:val="16"/>
          <w:lang w:val="es-ES"/>
        </w:rPr>
        <w:t>Fuente: Estudio de Oferta y Demanda Camacol</w:t>
      </w:r>
    </w:p>
    <w:bookmarkEnd w:id="1"/>
    <w:p w14:paraId="7798BD03" w14:textId="77777777" w:rsidR="008704E4" w:rsidRPr="008C69B2" w:rsidRDefault="008704E4" w:rsidP="008704E4">
      <w:pPr>
        <w:jc w:val="both"/>
        <w:rPr>
          <w:rFonts w:ascii="Arial" w:hAnsi="Arial"/>
          <w:color w:val="000000"/>
          <w:lang w:val="es-CO"/>
        </w:rPr>
      </w:pPr>
    </w:p>
    <w:p w14:paraId="3998206A" w14:textId="77777777" w:rsidR="008704E4" w:rsidRPr="00CC1549" w:rsidRDefault="008704E4" w:rsidP="008704E4">
      <w:pPr>
        <w:jc w:val="both"/>
        <w:rPr>
          <w:rFonts w:ascii="Arial" w:hAnsi="Arial"/>
          <w:color w:val="000000"/>
          <w:sz w:val="24"/>
          <w:szCs w:val="24"/>
          <w:lang w:val="es-CO"/>
        </w:rPr>
      </w:pPr>
      <w:r w:rsidRPr="00CC1549">
        <w:rPr>
          <w:rFonts w:ascii="Arial" w:hAnsi="Arial"/>
          <w:color w:val="000000"/>
          <w:sz w:val="24"/>
          <w:szCs w:val="24"/>
          <w:lang w:val="es-CO"/>
        </w:rPr>
        <w:t>El mercado VIS por su parte ha mantenido un comportamiento destacable en la medida en que ha ganado participación dentro del stock de nuevas viviendas ofertadas para compra. Según cifras del DANE entre enero de 2008 y marzo de 2019 se han aprobado licencias de construcción equivalentes a 56,7 millones de metros cuadrados para destinos residenciales y no residenciales, de los cuales la vivienda social participó en promedio con un 23,3% del total de metros licenciados, es decir, 13,2 millones de metros cuadrados. En el primer trimestre de 2019 la VIS participa con un 33,4% del total de metros licenciados, lo cual refleja un destacable mejoramiento frente al promedio de participación de los últimos diez años.</w:t>
      </w:r>
    </w:p>
    <w:p w14:paraId="1C2053F5" w14:textId="77777777" w:rsidR="008704E4" w:rsidRPr="00CC1549" w:rsidRDefault="008704E4" w:rsidP="008704E4">
      <w:pPr>
        <w:jc w:val="both"/>
        <w:rPr>
          <w:rFonts w:ascii="Arial" w:hAnsi="Arial"/>
          <w:color w:val="000000"/>
          <w:sz w:val="24"/>
          <w:szCs w:val="24"/>
          <w:lang w:val="es-CO"/>
        </w:rPr>
      </w:pPr>
    </w:p>
    <w:p w14:paraId="1F41A27E" w14:textId="77777777" w:rsidR="008704E4" w:rsidRPr="00CC1549" w:rsidRDefault="008704E4" w:rsidP="008704E4">
      <w:pPr>
        <w:jc w:val="both"/>
        <w:rPr>
          <w:rFonts w:ascii="Arial" w:hAnsi="Arial"/>
          <w:color w:val="000000"/>
          <w:sz w:val="24"/>
          <w:szCs w:val="24"/>
          <w:lang w:val="es-CO"/>
        </w:rPr>
      </w:pPr>
      <w:r w:rsidRPr="00CC1549">
        <w:rPr>
          <w:rFonts w:ascii="Arial" w:hAnsi="Arial"/>
          <w:color w:val="000000"/>
          <w:sz w:val="24"/>
          <w:szCs w:val="24"/>
          <w:lang w:val="es-CO"/>
        </w:rPr>
        <w:t>Es preciso destacar que estimaciones de Camacol sugieren que en los próximos diez años el licenciamiento de vivienda podría llegar a los 46,7 millones de metros cuadrados, considerando un efecto combinado de la inercia del mercado, el potencial de construcción que tienen los treinta planes parciales que se encuentran adoptados actualmente y que representan alrededor de 100 mil nuevas unidades de vivienda, y el megaproyecto Lagos de Torca. Los destinos no residenciales, por su parte, se estima que tendrán un licenciamiento cercano a los 12,8 millones de metros cuadrados en el mismo periodo.</w:t>
      </w:r>
    </w:p>
    <w:p w14:paraId="34037000" w14:textId="77777777" w:rsidR="008704E4" w:rsidRPr="00CC1549" w:rsidRDefault="008704E4" w:rsidP="008704E4">
      <w:pPr>
        <w:jc w:val="both"/>
        <w:rPr>
          <w:rFonts w:ascii="Arial" w:hAnsi="Arial"/>
          <w:color w:val="000000"/>
          <w:sz w:val="24"/>
          <w:szCs w:val="24"/>
          <w:lang w:val="es-CO"/>
        </w:rPr>
      </w:pPr>
    </w:p>
    <w:p w14:paraId="45494058" w14:textId="77777777" w:rsidR="000D6B2C" w:rsidRDefault="000D6B2C">
      <w:pPr>
        <w:rPr>
          <w:rFonts w:ascii="Arial" w:hAnsi="Arial"/>
          <w:b/>
          <w:color w:val="000000"/>
          <w:sz w:val="24"/>
          <w:szCs w:val="24"/>
          <w:lang w:val="es-CO"/>
        </w:rPr>
      </w:pPr>
      <w:r>
        <w:rPr>
          <w:rFonts w:ascii="Arial" w:hAnsi="Arial"/>
          <w:b/>
          <w:color w:val="000000"/>
          <w:sz w:val="24"/>
          <w:szCs w:val="24"/>
          <w:lang w:val="es-CO"/>
        </w:rPr>
        <w:br w:type="page"/>
      </w:r>
    </w:p>
    <w:p w14:paraId="02EC7AA2" w14:textId="1967FC5D" w:rsidR="008704E4" w:rsidRPr="00CC1549" w:rsidRDefault="008704E4" w:rsidP="008704E4">
      <w:pPr>
        <w:jc w:val="center"/>
        <w:rPr>
          <w:rFonts w:ascii="Arial" w:hAnsi="Arial"/>
          <w:color w:val="000000"/>
          <w:sz w:val="24"/>
          <w:szCs w:val="24"/>
          <w:lang w:val="es-CO"/>
        </w:rPr>
      </w:pPr>
      <w:r w:rsidRPr="00CC1549">
        <w:rPr>
          <w:rFonts w:ascii="Arial" w:hAnsi="Arial"/>
          <w:b/>
          <w:color w:val="000000"/>
          <w:sz w:val="24"/>
          <w:szCs w:val="24"/>
          <w:lang w:val="es-CO"/>
        </w:rPr>
        <w:lastRenderedPageBreak/>
        <w:t xml:space="preserve">Gráfico 4. </w:t>
      </w:r>
      <w:r w:rsidRPr="00CC1549">
        <w:rPr>
          <w:rFonts w:ascii="Arial" w:hAnsi="Arial"/>
          <w:color w:val="000000"/>
          <w:sz w:val="24"/>
          <w:szCs w:val="24"/>
          <w:lang w:val="es-CO"/>
        </w:rPr>
        <w:t>Metros cuadrados licenciados, proyección 2020-2029</w:t>
      </w:r>
    </w:p>
    <w:p w14:paraId="45294908" w14:textId="77777777" w:rsidR="008704E4" w:rsidRPr="008C69B2" w:rsidRDefault="008704E4" w:rsidP="008704E4">
      <w:pPr>
        <w:jc w:val="center"/>
        <w:rPr>
          <w:rFonts w:ascii="Arial" w:hAnsi="Arial"/>
          <w:color w:val="000000"/>
          <w:lang w:val="es-CO"/>
        </w:rPr>
      </w:pPr>
      <w:r>
        <w:rPr>
          <w:noProof/>
          <w:lang w:val="es-CO" w:eastAsia="es-CO"/>
        </w:rPr>
        <w:drawing>
          <wp:inline distT="0" distB="0" distL="0" distR="0" wp14:anchorId="7D71A327" wp14:editId="0B8CF8F8">
            <wp:extent cx="4572000" cy="2743200"/>
            <wp:effectExtent l="0" t="0" r="0" b="0"/>
            <wp:docPr id="6" name="Gráfico 6">
              <a:extLst xmlns:a="http://schemas.openxmlformats.org/drawingml/2006/main">
                <a:ext uri="{FF2B5EF4-FFF2-40B4-BE49-F238E27FC236}">
                  <a16:creationId xmlns:a16="http://schemas.microsoft.com/office/drawing/2014/main" id="{DC7C7006-B599-4E01-BCE1-1960CBECA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E389E1" w14:textId="77777777" w:rsidR="008704E4" w:rsidRPr="002A6954" w:rsidRDefault="008704E4" w:rsidP="008704E4">
      <w:pPr>
        <w:jc w:val="center"/>
        <w:rPr>
          <w:rFonts w:ascii="Arial" w:hAnsi="Arial" w:cs="Arial"/>
          <w:color w:val="000000"/>
          <w:sz w:val="16"/>
          <w:szCs w:val="16"/>
          <w:lang w:val="es-CO" w:eastAsia="es-CO"/>
        </w:rPr>
      </w:pPr>
      <w:r>
        <w:rPr>
          <w:rFonts w:ascii="Arial" w:hAnsi="Arial" w:cs="Arial"/>
          <w:color w:val="000000"/>
          <w:sz w:val="16"/>
          <w:szCs w:val="16"/>
          <w:lang w:val="es-CO" w:eastAsia="es-CO"/>
        </w:rPr>
        <w:t>Fuente: Cámara Colombiana de la Construcción – Camacol. Departamento de Estudios Económicos e Información.</w:t>
      </w:r>
    </w:p>
    <w:p w14:paraId="432D62A4" w14:textId="77777777" w:rsidR="008704E4" w:rsidRPr="008C69B2" w:rsidRDefault="008704E4" w:rsidP="008704E4">
      <w:pPr>
        <w:jc w:val="both"/>
        <w:rPr>
          <w:rFonts w:ascii="Arial" w:hAnsi="Arial"/>
          <w:color w:val="000000"/>
          <w:lang w:val="es-CO"/>
        </w:rPr>
      </w:pPr>
    </w:p>
    <w:p w14:paraId="3F2E089E" w14:textId="77777777" w:rsidR="008704E4" w:rsidRPr="00CC1549" w:rsidRDefault="008704E4" w:rsidP="008704E4">
      <w:pPr>
        <w:jc w:val="both"/>
        <w:rPr>
          <w:rFonts w:ascii="Arial" w:hAnsi="Arial"/>
          <w:color w:val="000000"/>
          <w:sz w:val="24"/>
          <w:szCs w:val="24"/>
          <w:lang w:val="es-CO"/>
        </w:rPr>
      </w:pPr>
      <w:r w:rsidRPr="00CC1549">
        <w:rPr>
          <w:rFonts w:ascii="Arial" w:hAnsi="Arial"/>
          <w:color w:val="000000"/>
          <w:sz w:val="24"/>
          <w:szCs w:val="24"/>
          <w:lang w:val="es-CO"/>
        </w:rPr>
        <w:t>El mercado VIS tiene la particularidad de tener una respuesta rápida a impulsos específicos como choques de demanda y oferta, por lo que no continuar con la exención de delineación urbana a la vivienda social, se puede traducir en una reacción negativa del mercado y afectar a los hogares que desean adquirir una vivienda por contracciones en la oferta, y al sector edificador por un aumento en el costo de los proyectos.</w:t>
      </w:r>
    </w:p>
    <w:p w14:paraId="640D6379" w14:textId="77777777" w:rsidR="008704E4" w:rsidRPr="00CC1549" w:rsidRDefault="008704E4" w:rsidP="008704E4">
      <w:pPr>
        <w:jc w:val="both"/>
        <w:rPr>
          <w:rFonts w:ascii="Arial" w:hAnsi="Arial"/>
          <w:color w:val="000000"/>
          <w:sz w:val="24"/>
          <w:szCs w:val="24"/>
          <w:lang w:val="es-CO"/>
        </w:rPr>
      </w:pPr>
    </w:p>
    <w:p w14:paraId="70ADFD22" w14:textId="77777777" w:rsidR="008704E4" w:rsidRPr="00CC1549" w:rsidRDefault="008704E4" w:rsidP="008704E4">
      <w:pPr>
        <w:jc w:val="both"/>
        <w:rPr>
          <w:rFonts w:ascii="Arial" w:hAnsi="Arial"/>
          <w:color w:val="000000"/>
          <w:sz w:val="24"/>
          <w:szCs w:val="24"/>
          <w:lang w:val="es-CO"/>
        </w:rPr>
      </w:pPr>
      <w:r w:rsidRPr="00CC1549">
        <w:rPr>
          <w:rFonts w:ascii="Arial" w:hAnsi="Arial"/>
          <w:color w:val="000000"/>
          <w:sz w:val="24"/>
          <w:szCs w:val="24"/>
          <w:lang w:val="es-CO"/>
        </w:rPr>
        <w:t>El impacto fiscal de esta exención asciende, según cálculos de la Secretaria Distrital de Hacienda para el año 2018 a $3.362 millones de pesos lo cual no afecta el Marco Fiscal de Mediano Plazo.</w:t>
      </w:r>
    </w:p>
    <w:p w14:paraId="5DD4FBEF" w14:textId="77777777" w:rsidR="008704E4" w:rsidRPr="00CC1549" w:rsidRDefault="008704E4" w:rsidP="008704E4">
      <w:pPr>
        <w:jc w:val="both"/>
        <w:rPr>
          <w:rFonts w:ascii="Arial" w:hAnsi="Arial"/>
          <w:color w:val="000000"/>
          <w:sz w:val="24"/>
          <w:szCs w:val="24"/>
          <w:lang w:val="es-CO"/>
        </w:rPr>
      </w:pPr>
    </w:p>
    <w:p w14:paraId="3D4CBC6B" w14:textId="5E606D88" w:rsidR="00CC1549" w:rsidRPr="000D6B2C" w:rsidRDefault="008704E4" w:rsidP="00CC1549">
      <w:pPr>
        <w:jc w:val="both"/>
        <w:rPr>
          <w:rFonts w:ascii="Arial" w:hAnsi="Arial" w:cs="Arial"/>
          <w:sz w:val="24"/>
          <w:szCs w:val="24"/>
        </w:rPr>
      </w:pPr>
      <w:r w:rsidRPr="00CC1549">
        <w:rPr>
          <w:rFonts w:ascii="Arial" w:hAnsi="Arial"/>
          <w:sz w:val="24"/>
          <w:szCs w:val="24"/>
        </w:rPr>
        <w:t xml:space="preserve">El impuesto de delineación urbana tiene como hecho generador la ejecución de obras o construcciones a las cuales se les haya expedido y notificado licencia de construcción y sus modificaciones, en sus modalidades de obra nueva, ampliación, adecuación, modificación, restauración, reforzamiento estructural, demolición y cerramiento de nuevos edificios, </w:t>
      </w:r>
      <w:r w:rsidR="00CC1549" w:rsidRPr="000D6B2C">
        <w:rPr>
          <w:rFonts w:ascii="Arial" w:hAnsi="Arial" w:cs="Arial"/>
          <w:sz w:val="24"/>
          <w:szCs w:val="24"/>
        </w:rPr>
        <w:t>en el Distrito Capital de Bogotá, previstas en el Decreto Nacional 1469 de 2010, compilado por el</w:t>
      </w:r>
      <w:hyperlink r:id="rId16" w:anchor="1077" w:history="1">
        <w:r w:rsidR="00CC1549" w:rsidRPr="000D6B2C">
          <w:rPr>
            <w:rFonts w:ascii="Arial" w:hAnsi="Arial" w:cs="Arial"/>
            <w:sz w:val="24"/>
            <w:szCs w:val="24"/>
          </w:rPr>
          <w:t xml:space="preserve"> Decreto 1077 de 2015</w:t>
        </w:r>
      </w:hyperlink>
      <w:r w:rsidR="00CC1549" w:rsidRPr="000D6B2C">
        <w:rPr>
          <w:rFonts w:ascii="Arial" w:hAnsi="Arial" w:cs="Arial"/>
          <w:sz w:val="24"/>
          <w:szCs w:val="24"/>
        </w:rPr>
        <w:t>.</w:t>
      </w:r>
    </w:p>
    <w:p w14:paraId="43E53AD9" w14:textId="0CE26E8E" w:rsidR="00CC1549" w:rsidRPr="00285BA5" w:rsidRDefault="00CC1549" w:rsidP="00CC1549">
      <w:pPr>
        <w:pStyle w:val="unico"/>
        <w:spacing w:before="180" w:beforeAutospacing="0" w:after="0" w:afterAutospacing="0"/>
        <w:jc w:val="both"/>
        <w:rPr>
          <w:rFonts w:ascii="Arial" w:hAnsi="Arial" w:cs="Arial"/>
          <w:lang w:val="es-ES_tradnl" w:eastAsia="es-ES"/>
        </w:rPr>
      </w:pPr>
      <w:r w:rsidRPr="000D6B2C">
        <w:rPr>
          <w:rFonts w:ascii="Arial" w:hAnsi="Arial" w:cs="Arial"/>
          <w:lang w:val="es-ES_tradnl" w:eastAsia="es-ES"/>
        </w:rPr>
        <w:t xml:space="preserve">Así mismo, constituye hecho generador el acto de reconocimiento de la existencia de edificaciones en el Distrito Capital de Bogotá, de que trata el artículo 64 del Decreto </w:t>
      </w:r>
      <w:r w:rsidR="000D6B2C" w:rsidRPr="000D6B2C">
        <w:rPr>
          <w:rFonts w:ascii="Arial" w:hAnsi="Arial" w:cs="Arial"/>
          <w:lang w:val="es-ES_tradnl" w:eastAsia="es-ES"/>
        </w:rPr>
        <w:t>Nacional 1469</w:t>
      </w:r>
      <w:r w:rsidRPr="000D6B2C">
        <w:rPr>
          <w:rFonts w:ascii="Arial" w:hAnsi="Arial" w:cs="Arial"/>
          <w:lang w:val="es-ES_tradnl" w:eastAsia="es-ES"/>
        </w:rPr>
        <w:t xml:space="preserve"> de 2010, compilado por el Decreto 1077 de 2015.</w:t>
      </w:r>
    </w:p>
    <w:p w14:paraId="6643F5A5" w14:textId="77777777" w:rsidR="008704E4" w:rsidRPr="00CC1549" w:rsidRDefault="008704E4" w:rsidP="008704E4">
      <w:pPr>
        <w:jc w:val="both"/>
        <w:rPr>
          <w:rFonts w:ascii="Arial" w:hAnsi="Arial"/>
          <w:color w:val="333333"/>
          <w:sz w:val="24"/>
          <w:szCs w:val="24"/>
          <w:lang w:val="es-CO"/>
        </w:rPr>
      </w:pPr>
    </w:p>
    <w:p w14:paraId="5E6F80B3" w14:textId="77777777" w:rsidR="000D6B2C" w:rsidRDefault="008704E4" w:rsidP="008704E4">
      <w:pPr>
        <w:jc w:val="both"/>
        <w:rPr>
          <w:rFonts w:ascii="Arial" w:hAnsi="Arial"/>
          <w:sz w:val="24"/>
          <w:szCs w:val="24"/>
        </w:rPr>
      </w:pPr>
      <w:r w:rsidRPr="00CC1549">
        <w:rPr>
          <w:rFonts w:ascii="Arial" w:hAnsi="Arial"/>
          <w:sz w:val="24"/>
          <w:szCs w:val="24"/>
        </w:rPr>
        <w:t>A su turno el artículo 9 del Acuerdo 352 de 2008, señala:</w:t>
      </w:r>
    </w:p>
    <w:p w14:paraId="54FCBD5E" w14:textId="77777777" w:rsidR="000D6B2C" w:rsidRDefault="000D6B2C" w:rsidP="008704E4">
      <w:pPr>
        <w:jc w:val="both"/>
        <w:rPr>
          <w:rFonts w:ascii="Arial" w:hAnsi="Arial"/>
          <w:sz w:val="24"/>
          <w:szCs w:val="24"/>
        </w:rPr>
      </w:pPr>
    </w:p>
    <w:p w14:paraId="5833A7BD" w14:textId="76A93900" w:rsidR="008704E4" w:rsidRPr="008105E2" w:rsidRDefault="008704E4" w:rsidP="008105E2">
      <w:pPr>
        <w:ind w:left="708"/>
        <w:jc w:val="both"/>
        <w:rPr>
          <w:rFonts w:ascii="Arial" w:hAnsi="Arial"/>
          <w:i/>
          <w:sz w:val="22"/>
          <w:szCs w:val="22"/>
        </w:rPr>
      </w:pPr>
      <w:r w:rsidRPr="008105E2">
        <w:rPr>
          <w:rFonts w:ascii="Arial" w:hAnsi="Arial"/>
          <w:i/>
          <w:sz w:val="22"/>
          <w:szCs w:val="22"/>
        </w:rPr>
        <w:lastRenderedPageBreak/>
        <w:t>“Exenciones. Estarán exentas del pago del impuesto de delineación urbana hasta el año 2019, las siguientes obras:</w:t>
      </w:r>
    </w:p>
    <w:p w14:paraId="50B6E49C" w14:textId="77777777" w:rsidR="008704E4" w:rsidRPr="008105E2" w:rsidRDefault="008704E4" w:rsidP="008105E2">
      <w:pPr>
        <w:pStyle w:val="unico"/>
        <w:spacing w:before="180" w:beforeAutospacing="0" w:after="0" w:afterAutospacing="0"/>
        <w:ind w:left="708"/>
        <w:jc w:val="both"/>
        <w:rPr>
          <w:rFonts w:ascii="Arial" w:hAnsi="Arial" w:cs="Arial"/>
          <w:i/>
          <w:sz w:val="22"/>
          <w:szCs w:val="22"/>
          <w:lang w:val="es-ES_tradnl" w:eastAsia="es-ES"/>
        </w:rPr>
      </w:pPr>
      <w:r w:rsidRPr="008105E2">
        <w:rPr>
          <w:rFonts w:ascii="Arial" w:hAnsi="Arial" w:cs="Arial"/>
          <w:i/>
          <w:sz w:val="22"/>
          <w:szCs w:val="22"/>
          <w:lang w:val="es-ES_tradnl" w:eastAsia="es-ES"/>
        </w:rPr>
        <w:t>a) En la modalidad de obra nueva, las obras correspondientes a los programas y soluciones de vivienda de interés social con sus correspondientes áreas comunes construidas en los estratos 1, 2 y 3.</w:t>
      </w:r>
    </w:p>
    <w:p w14:paraId="136D248B" w14:textId="77777777" w:rsidR="008704E4" w:rsidRPr="008105E2" w:rsidRDefault="008704E4" w:rsidP="008105E2">
      <w:pPr>
        <w:pStyle w:val="unico"/>
        <w:spacing w:before="180" w:beforeAutospacing="0" w:after="0" w:afterAutospacing="0"/>
        <w:ind w:left="708"/>
        <w:jc w:val="both"/>
        <w:rPr>
          <w:rFonts w:ascii="Arial" w:hAnsi="Arial" w:cs="Arial"/>
          <w:i/>
          <w:sz w:val="22"/>
          <w:szCs w:val="22"/>
          <w:lang w:val="es-ES_tradnl" w:eastAsia="es-ES"/>
        </w:rPr>
      </w:pPr>
      <w:r w:rsidRPr="008105E2">
        <w:rPr>
          <w:rFonts w:ascii="Arial" w:hAnsi="Arial" w:cs="Arial"/>
          <w:i/>
          <w:sz w:val="22"/>
          <w:szCs w:val="22"/>
          <w:lang w:val="es-ES_tradnl" w:eastAsia="es-ES"/>
        </w:rPr>
        <w:t>b) Las obras de autoconstrucción de vivienda, de estratos 1 y 2, que no excedan los topes definidos por la ley para el valor de la vivienda de interés social.</w:t>
      </w:r>
    </w:p>
    <w:p w14:paraId="5D1FA33D" w14:textId="77777777" w:rsidR="008704E4" w:rsidRPr="008105E2" w:rsidRDefault="008704E4" w:rsidP="008105E2">
      <w:pPr>
        <w:pStyle w:val="unico"/>
        <w:spacing w:before="180" w:beforeAutospacing="0" w:after="0" w:afterAutospacing="0"/>
        <w:ind w:left="708"/>
        <w:jc w:val="both"/>
        <w:rPr>
          <w:rFonts w:ascii="Arial" w:hAnsi="Arial" w:cs="Arial"/>
          <w:i/>
          <w:sz w:val="22"/>
          <w:szCs w:val="22"/>
          <w:lang w:val="es-ES_tradnl" w:eastAsia="es-ES"/>
        </w:rPr>
      </w:pPr>
      <w:r w:rsidRPr="008105E2">
        <w:rPr>
          <w:rFonts w:ascii="Arial" w:hAnsi="Arial" w:cs="Arial"/>
          <w:i/>
          <w:sz w:val="22"/>
          <w:szCs w:val="22"/>
          <w:lang w:val="es-ES_tradnl" w:eastAsia="es-ES"/>
        </w:rPr>
        <w:t>c) Las ampliaciones, modificaciones, adecuaciones o reparación de los inmuebles de los estratos 1, 2 y 3 de uso residencial, con avalúo catastral vigente inferior a 135 SMLMV.</w:t>
      </w:r>
    </w:p>
    <w:p w14:paraId="21C64496" w14:textId="77777777" w:rsidR="008704E4" w:rsidRPr="008105E2" w:rsidRDefault="008704E4" w:rsidP="008105E2">
      <w:pPr>
        <w:pStyle w:val="unico"/>
        <w:spacing w:before="0" w:beforeAutospacing="0" w:after="0" w:afterAutospacing="0"/>
        <w:ind w:left="708"/>
        <w:jc w:val="both"/>
        <w:rPr>
          <w:rFonts w:ascii="Arial" w:hAnsi="Arial" w:cs="Arial"/>
          <w:i/>
          <w:sz w:val="22"/>
          <w:szCs w:val="22"/>
          <w:lang w:val="es-ES_tradnl" w:eastAsia="es-ES"/>
        </w:rPr>
      </w:pPr>
    </w:p>
    <w:p w14:paraId="4E41F7C6" w14:textId="77777777" w:rsidR="008704E4" w:rsidRPr="008105E2" w:rsidRDefault="008704E4" w:rsidP="008105E2">
      <w:pPr>
        <w:pStyle w:val="unico"/>
        <w:spacing w:before="0" w:beforeAutospacing="0" w:after="0" w:afterAutospacing="0"/>
        <w:ind w:left="708"/>
        <w:jc w:val="both"/>
        <w:rPr>
          <w:rFonts w:ascii="Arial" w:hAnsi="Arial" w:cs="Arial"/>
          <w:i/>
          <w:sz w:val="22"/>
          <w:szCs w:val="22"/>
          <w:lang w:val="es-ES_tradnl" w:eastAsia="es-ES"/>
        </w:rPr>
      </w:pPr>
      <w:r w:rsidRPr="008105E2">
        <w:rPr>
          <w:rFonts w:ascii="Arial" w:hAnsi="Arial" w:cs="Arial"/>
          <w:i/>
          <w:sz w:val="22"/>
          <w:szCs w:val="22"/>
          <w:lang w:val="es-ES_tradnl" w:eastAsia="es-ES"/>
        </w:rPr>
        <w:t>d) Las obras que se realicen para reparar o reconstruir los inmuebles afectados por actos terroristas o catástrofes naturales ocurridos en el Distrito Capital, en las condiciones que para el efecto se establezcan en el decreto reglamentario.</w:t>
      </w:r>
    </w:p>
    <w:p w14:paraId="53CB3322" w14:textId="77777777" w:rsidR="008704E4" w:rsidRPr="008105E2" w:rsidRDefault="008704E4" w:rsidP="008105E2">
      <w:pPr>
        <w:pStyle w:val="unico"/>
        <w:spacing w:before="180" w:beforeAutospacing="0" w:after="0" w:afterAutospacing="0"/>
        <w:ind w:left="708"/>
        <w:jc w:val="both"/>
        <w:rPr>
          <w:rFonts w:ascii="Arial" w:hAnsi="Arial" w:cs="Arial"/>
          <w:i/>
          <w:sz w:val="22"/>
          <w:szCs w:val="22"/>
          <w:lang w:val="es-ES_tradnl" w:eastAsia="es-ES"/>
        </w:rPr>
      </w:pPr>
      <w:r w:rsidRPr="008105E2">
        <w:rPr>
          <w:rFonts w:ascii="Arial" w:hAnsi="Arial" w:cs="Arial"/>
          <w:i/>
          <w:sz w:val="22"/>
          <w:szCs w:val="22"/>
          <w:lang w:val="es-ES_tradnl" w:eastAsia="es-ES"/>
        </w:rPr>
        <w:t>e) Las obras de restauración y conservación en los bienes inmuebles de interés cultural.”</w:t>
      </w:r>
    </w:p>
    <w:p w14:paraId="35756EC7" w14:textId="77777777" w:rsidR="008704E4" w:rsidRPr="00CC1549" w:rsidRDefault="008704E4" w:rsidP="008704E4">
      <w:pPr>
        <w:jc w:val="both"/>
        <w:rPr>
          <w:rFonts w:ascii="Arial" w:hAnsi="Arial"/>
          <w:sz w:val="24"/>
          <w:szCs w:val="24"/>
        </w:rPr>
      </w:pPr>
    </w:p>
    <w:p w14:paraId="75279072" w14:textId="1928BA82" w:rsidR="008704E4" w:rsidRPr="00CC1549" w:rsidRDefault="008704E4" w:rsidP="008704E4">
      <w:pPr>
        <w:jc w:val="both"/>
        <w:rPr>
          <w:rFonts w:ascii="Arial" w:hAnsi="Arial"/>
          <w:sz w:val="24"/>
          <w:szCs w:val="24"/>
        </w:rPr>
      </w:pPr>
      <w:r w:rsidRPr="00CC1549">
        <w:rPr>
          <w:rFonts w:ascii="Arial" w:hAnsi="Arial"/>
          <w:sz w:val="24"/>
          <w:szCs w:val="24"/>
        </w:rPr>
        <w:t>Dichas exenciones tributarias son razonables y consecuentes con los principios de equidad vertical y progresividad del tributo, a la vez que honran el principio de la vivienda digna de los ciudadanos, por lo que se tiene a bien mantener la vigencia de la exención por otros 10 años más</w:t>
      </w:r>
      <w:r w:rsidR="00E54A2C">
        <w:rPr>
          <w:rFonts w:ascii="Arial" w:hAnsi="Arial"/>
          <w:sz w:val="24"/>
          <w:szCs w:val="24"/>
        </w:rPr>
        <w:t xml:space="preserve"> conforme al articulo 38 de la Ley 14 de 1983-</w:t>
      </w:r>
    </w:p>
    <w:p w14:paraId="09DD628C" w14:textId="77777777" w:rsidR="008704E4" w:rsidRPr="00CC1549" w:rsidRDefault="008704E4" w:rsidP="008704E4">
      <w:pPr>
        <w:jc w:val="both"/>
        <w:rPr>
          <w:rFonts w:ascii="Arial" w:hAnsi="Arial"/>
          <w:sz w:val="24"/>
          <w:szCs w:val="24"/>
        </w:rPr>
      </w:pPr>
    </w:p>
    <w:p w14:paraId="03624B53" w14:textId="0BAFFD0F" w:rsidR="008704E4" w:rsidRPr="00CC1549" w:rsidRDefault="008704E4" w:rsidP="008704E4">
      <w:pPr>
        <w:jc w:val="both"/>
        <w:rPr>
          <w:rFonts w:ascii="Arial" w:hAnsi="Arial"/>
          <w:sz w:val="24"/>
          <w:szCs w:val="24"/>
          <w:shd w:val="clear" w:color="auto" w:fill="FFFFFF"/>
        </w:rPr>
      </w:pPr>
      <w:r w:rsidRPr="00CC1549">
        <w:rPr>
          <w:rFonts w:ascii="Arial" w:hAnsi="Arial" w:cs="Arial"/>
          <w:sz w:val="24"/>
          <w:szCs w:val="24"/>
          <w:shd w:val="clear" w:color="auto" w:fill="FFFFFF"/>
        </w:rPr>
        <w:t xml:space="preserve">Ahora bien, </w:t>
      </w:r>
      <w:r w:rsidR="008105E2">
        <w:rPr>
          <w:rFonts w:ascii="Arial" w:hAnsi="Arial"/>
          <w:sz w:val="24"/>
          <w:szCs w:val="24"/>
          <w:shd w:val="clear" w:color="auto" w:fill="FFFFFF"/>
        </w:rPr>
        <w:t>e</w:t>
      </w:r>
      <w:r w:rsidRPr="00CC1549">
        <w:rPr>
          <w:rFonts w:ascii="Arial" w:hAnsi="Arial"/>
          <w:sz w:val="24"/>
          <w:szCs w:val="24"/>
          <w:shd w:val="clear" w:color="auto" w:fill="FFFFFF"/>
        </w:rPr>
        <w:t xml:space="preserve">l proyecto de acuerdo que nos ocupa, propone prorrogar por </w:t>
      </w:r>
      <w:r w:rsidR="00E54A2C">
        <w:rPr>
          <w:rFonts w:ascii="Arial" w:hAnsi="Arial"/>
          <w:sz w:val="24"/>
          <w:szCs w:val="24"/>
          <w:shd w:val="clear" w:color="auto" w:fill="FFFFFF"/>
        </w:rPr>
        <w:t>10</w:t>
      </w:r>
      <w:r w:rsidRPr="00CC1549">
        <w:rPr>
          <w:rFonts w:ascii="Arial" w:hAnsi="Arial"/>
          <w:sz w:val="24"/>
          <w:szCs w:val="24"/>
          <w:shd w:val="clear" w:color="auto" w:fill="FFFFFF"/>
        </w:rPr>
        <w:t xml:space="preserve"> años la exención en el impuesto predial unificado de la que gozan los bienes de interés cultural. Esta medida promueve y gestiona la preservación y sostenibilidad del patrimonio cultural de Bogotá, con el fin de garantizar el ejercicio efectivo de los derechos patrimoniales y culturales de la ciudadanía y afianzar el sentido de apropiación social del patrimonio cultural.</w:t>
      </w:r>
    </w:p>
    <w:p w14:paraId="6CF06CAB" w14:textId="77777777" w:rsidR="008704E4" w:rsidRPr="00CC1549" w:rsidRDefault="008704E4" w:rsidP="008704E4">
      <w:pPr>
        <w:jc w:val="both"/>
        <w:rPr>
          <w:rFonts w:ascii="Arial" w:hAnsi="Arial"/>
          <w:sz w:val="24"/>
          <w:szCs w:val="24"/>
          <w:shd w:val="clear" w:color="auto" w:fill="FFFFFF"/>
        </w:rPr>
      </w:pPr>
    </w:p>
    <w:p w14:paraId="5E85BAD4" w14:textId="77777777" w:rsidR="008704E4" w:rsidRPr="00CC1549" w:rsidRDefault="008704E4" w:rsidP="008704E4">
      <w:pPr>
        <w:jc w:val="both"/>
        <w:rPr>
          <w:rFonts w:ascii="Arial" w:hAnsi="Arial"/>
          <w:sz w:val="24"/>
          <w:szCs w:val="24"/>
          <w:shd w:val="clear" w:color="auto" w:fill="FFFFFF"/>
        </w:rPr>
      </w:pPr>
      <w:r w:rsidRPr="00CC1549">
        <w:rPr>
          <w:rFonts w:ascii="Arial" w:hAnsi="Arial"/>
          <w:sz w:val="24"/>
          <w:szCs w:val="24"/>
          <w:shd w:val="clear" w:color="auto" w:fill="FFFFFF"/>
        </w:rPr>
        <w:t>Según lo establece la UNESCO en sus múltiples documentos sobre preservación cultural, la cultura tiene el poder de transformar las sociedades. El patrimonio constituye una seña de identidad y favorece la cohesión de las comunidades. Esto contribuye a la edificación de sociedades abiertas, inclusivas y pluralistas. El patrimonio y la creatividad contribuyen a la construcción de sociedades del conocimiento dinámicas, innovadoras y prósperas. En tal sentido, tiene especial preponderancia para las políticas públicas culturales del Distrito Capital mantener la vigencia de la señalada exención por los motivos anteriormente descritos.</w:t>
      </w:r>
    </w:p>
    <w:p w14:paraId="4B5D47A2" w14:textId="77777777" w:rsidR="008704E4" w:rsidRPr="00CC1549" w:rsidRDefault="008704E4" w:rsidP="008704E4">
      <w:pPr>
        <w:jc w:val="both"/>
        <w:rPr>
          <w:rFonts w:ascii="Arial" w:hAnsi="Arial"/>
          <w:sz w:val="24"/>
          <w:szCs w:val="24"/>
          <w:shd w:val="clear" w:color="auto" w:fill="FFFFFF"/>
        </w:rPr>
      </w:pPr>
    </w:p>
    <w:p w14:paraId="5491EBEA" w14:textId="77777777" w:rsidR="008704E4" w:rsidRPr="00CC1549" w:rsidRDefault="008704E4" w:rsidP="008704E4">
      <w:pPr>
        <w:jc w:val="both"/>
        <w:rPr>
          <w:rFonts w:ascii="Arial" w:hAnsi="Arial"/>
          <w:color w:val="000000"/>
          <w:sz w:val="24"/>
          <w:szCs w:val="24"/>
          <w:lang w:val="es-CO"/>
        </w:rPr>
      </w:pPr>
      <w:r w:rsidRPr="00CC1549">
        <w:rPr>
          <w:rFonts w:ascii="Arial" w:hAnsi="Arial"/>
          <w:sz w:val="24"/>
          <w:szCs w:val="24"/>
          <w:shd w:val="clear" w:color="auto" w:fill="FFFFFF"/>
        </w:rPr>
        <w:t>La</w:t>
      </w:r>
      <w:r w:rsidRPr="00CC1549">
        <w:rPr>
          <w:rFonts w:ascii="Arial" w:hAnsi="Arial"/>
          <w:color w:val="000000"/>
          <w:sz w:val="24"/>
          <w:szCs w:val="24"/>
          <w:lang w:val="es-CO"/>
        </w:rPr>
        <w:t xml:space="preserve"> exención en el impuesto predial unificado que gozan los predios catalogados como bienes de interés cultural fue acogida por el Acuerdo 426 de 2009, y cuya </w:t>
      </w:r>
      <w:r w:rsidRPr="00CC1549">
        <w:rPr>
          <w:rFonts w:ascii="Arial" w:hAnsi="Arial"/>
          <w:color w:val="000000"/>
          <w:sz w:val="24"/>
          <w:szCs w:val="24"/>
          <w:lang w:val="es-CO"/>
        </w:rPr>
        <w:lastRenderedPageBreak/>
        <w:t>vigencia fue prorrogada hasta el 31 de diciembre de 2019 por el Acuerdo 543 de 2013.</w:t>
      </w:r>
    </w:p>
    <w:p w14:paraId="7D145695" w14:textId="77777777" w:rsidR="008704E4" w:rsidRPr="00CC1549" w:rsidRDefault="008704E4" w:rsidP="008704E4">
      <w:pPr>
        <w:jc w:val="both"/>
        <w:rPr>
          <w:rFonts w:ascii="Arial" w:hAnsi="Arial"/>
          <w:color w:val="000000"/>
          <w:sz w:val="24"/>
          <w:szCs w:val="24"/>
          <w:lang w:val="es-CO"/>
        </w:rPr>
      </w:pPr>
    </w:p>
    <w:p w14:paraId="104A8586" w14:textId="1CCDD91B" w:rsidR="008704E4" w:rsidRPr="00CC1549" w:rsidRDefault="008704E4" w:rsidP="008704E4">
      <w:pPr>
        <w:jc w:val="both"/>
        <w:rPr>
          <w:rFonts w:ascii="Arial" w:hAnsi="Arial"/>
          <w:color w:val="000000"/>
          <w:sz w:val="24"/>
          <w:szCs w:val="24"/>
          <w:lang w:val="es-CO"/>
        </w:rPr>
      </w:pPr>
      <w:r w:rsidRPr="00CC1549">
        <w:rPr>
          <w:rFonts w:ascii="Arial" w:hAnsi="Arial"/>
          <w:color w:val="000000"/>
          <w:sz w:val="24"/>
          <w:szCs w:val="24"/>
          <w:lang w:val="es-CO"/>
        </w:rPr>
        <w:t xml:space="preserve">Sobre el particular vale la pena señalar que el artículo 38 de la Ley 14 de 1983, los municipios sólo podrán otorgar exenciones de impuestos municipales por un plazo limitado, que en ningún caso excederá de diez años, todo de conformidad con los planes de desarrollo municipal.  </w:t>
      </w:r>
    </w:p>
    <w:p w14:paraId="15F10EAB" w14:textId="77777777" w:rsidR="008704E4" w:rsidRPr="008105E2" w:rsidRDefault="008704E4" w:rsidP="008704E4">
      <w:pPr>
        <w:jc w:val="both"/>
        <w:rPr>
          <w:rFonts w:ascii="Arial" w:hAnsi="Arial"/>
          <w:sz w:val="24"/>
          <w:szCs w:val="24"/>
          <w:lang w:val="es-CO"/>
        </w:rPr>
      </w:pPr>
    </w:p>
    <w:p w14:paraId="5BCC774F" w14:textId="74CD7FEF" w:rsidR="008704E4" w:rsidRPr="008105E2" w:rsidRDefault="008704E4" w:rsidP="008704E4">
      <w:pPr>
        <w:jc w:val="both"/>
        <w:rPr>
          <w:rFonts w:ascii="Arial" w:hAnsi="Arial"/>
          <w:sz w:val="24"/>
          <w:szCs w:val="24"/>
          <w:lang w:val="es-CO"/>
        </w:rPr>
      </w:pPr>
      <w:r w:rsidRPr="008105E2">
        <w:rPr>
          <w:rFonts w:ascii="Arial" w:hAnsi="Arial"/>
          <w:sz w:val="24"/>
          <w:szCs w:val="24"/>
          <w:lang w:val="es-CO"/>
        </w:rPr>
        <w:t xml:space="preserve">En el </w:t>
      </w:r>
      <w:r w:rsidR="00324AD9" w:rsidRPr="008105E2">
        <w:rPr>
          <w:rFonts w:ascii="Arial" w:hAnsi="Arial"/>
          <w:sz w:val="24"/>
          <w:szCs w:val="24"/>
          <w:lang w:val="es-CO"/>
        </w:rPr>
        <w:t>Capítulo</w:t>
      </w:r>
      <w:r w:rsidRPr="008105E2">
        <w:rPr>
          <w:rFonts w:ascii="Arial" w:hAnsi="Arial"/>
          <w:sz w:val="24"/>
          <w:szCs w:val="24"/>
          <w:lang w:val="es-CO"/>
        </w:rPr>
        <w:t xml:space="preserve"> II del Acuerdo 645 de 2016 “</w:t>
      </w:r>
      <w:r w:rsidRPr="008105E2">
        <w:rPr>
          <w:rFonts w:ascii="Arial" w:hAnsi="Arial" w:cs="Arial"/>
          <w:i/>
          <w:iCs/>
          <w:sz w:val="24"/>
          <w:szCs w:val="24"/>
          <w:shd w:val="clear" w:color="auto" w:fill="FFFFFF"/>
        </w:rPr>
        <w:t>Por el cual se adopta El Plan de Desarrollo Económico, Social, Ambiental y de Obras Públicas para Bogotá D.C. 2016 - 2020 "Bogotá Mejor Para Todos</w:t>
      </w:r>
      <w:r w:rsidR="008105E2" w:rsidRPr="008105E2">
        <w:rPr>
          <w:rFonts w:ascii="Arial" w:hAnsi="Arial" w:cs="Arial"/>
          <w:i/>
          <w:iCs/>
          <w:sz w:val="24"/>
          <w:szCs w:val="24"/>
          <w:shd w:val="clear" w:color="auto" w:fill="FFFFFF"/>
        </w:rPr>
        <w:t>”</w:t>
      </w:r>
      <w:r w:rsidR="008105E2" w:rsidRPr="008105E2">
        <w:rPr>
          <w:rFonts w:ascii="Arial" w:hAnsi="Arial" w:cs="Arial"/>
          <w:bCs/>
          <w:i/>
          <w:iCs/>
          <w:sz w:val="24"/>
          <w:szCs w:val="24"/>
          <w:shd w:val="clear" w:color="auto" w:fill="FFFFFF"/>
        </w:rPr>
        <w:t xml:space="preserve"> </w:t>
      </w:r>
      <w:r w:rsidR="008105E2" w:rsidRPr="008105E2">
        <w:rPr>
          <w:rFonts w:ascii="Arial" w:hAnsi="Arial" w:cs="Arial"/>
          <w:bCs/>
          <w:sz w:val="24"/>
          <w:szCs w:val="24"/>
          <w:shd w:val="clear" w:color="auto" w:fill="FFFFFF"/>
        </w:rPr>
        <w:t>se</w:t>
      </w:r>
      <w:r w:rsidRPr="008105E2">
        <w:rPr>
          <w:rFonts w:ascii="Arial" w:hAnsi="Arial" w:cs="Arial"/>
          <w:bCs/>
          <w:sz w:val="24"/>
          <w:szCs w:val="24"/>
          <w:shd w:val="clear" w:color="auto" w:fill="FFFFFF"/>
        </w:rPr>
        <w:t xml:space="preserve"> </w:t>
      </w:r>
      <w:r w:rsidRPr="008105E2">
        <w:rPr>
          <w:rFonts w:ascii="Arial" w:hAnsi="Arial" w:cs="Arial"/>
          <w:bCs/>
          <w:iCs/>
          <w:sz w:val="24"/>
          <w:szCs w:val="24"/>
          <w:shd w:val="clear" w:color="auto" w:fill="FFFFFF"/>
        </w:rPr>
        <w:t>incluye el pilar de democracia urbana el cual se relaciona al mantenimiento de los espacios públicos, sobre el cual reviste especial importancia la prórroga de la exención de los bienes de interés cultural.</w:t>
      </w:r>
    </w:p>
    <w:p w14:paraId="4E09EC96" w14:textId="77777777" w:rsidR="008704E4" w:rsidRPr="00CC1549" w:rsidRDefault="008704E4" w:rsidP="008704E4">
      <w:pPr>
        <w:jc w:val="both"/>
        <w:rPr>
          <w:rFonts w:ascii="Arial" w:hAnsi="Arial"/>
          <w:color w:val="000000"/>
          <w:sz w:val="24"/>
          <w:szCs w:val="24"/>
          <w:lang w:val="es-CO"/>
        </w:rPr>
      </w:pPr>
    </w:p>
    <w:p w14:paraId="6DC61CFE" w14:textId="77777777" w:rsidR="008704E4" w:rsidRPr="00CC1549" w:rsidRDefault="008704E4" w:rsidP="008704E4">
      <w:pPr>
        <w:jc w:val="both"/>
        <w:rPr>
          <w:rFonts w:ascii="Arial" w:hAnsi="Arial"/>
          <w:color w:val="000000"/>
          <w:sz w:val="24"/>
          <w:szCs w:val="24"/>
          <w:lang w:val="es-CO"/>
        </w:rPr>
      </w:pPr>
      <w:r w:rsidRPr="00CC1549">
        <w:rPr>
          <w:rFonts w:ascii="Arial" w:hAnsi="Arial"/>
          <w:color w:val="000000"/>
          <w:sz w:val="24"/>
          <w:szCs w:val="24"/>
          <w:lang w:val="es-CO"/>
        </w:rPr>
        <w:t xml:space="preserve">De conformidad con lo anterior, y en razón a que la exención vigente expira el 31 de diciembre de 2019, se hace necesario adoptarla nuevamente conforme con las condiciones existentes y con algunos matices que se explicarán a continuación.  </w:t>
      </w:r>
    </w:p>
    <w:p w14:paraId="645328B1" w14:textId="77777777" w:rsidR="008704E4" w:rsidRPr="00CC1549" w:rsidRDefault="008704E4" w:rsidP="008704E4">
      <w:pPr>
        <w:jc w:val="both"/>
        <w:rPr>
          <w:rFonts w:ascii="Arial" w:hAnsi="Arial"/>
          <w:sz w:val="24"/>
          <w:szCs w:val="24"/>
        </w:rPr>
      </w:pPr>
    </w:p>
    <w:p w14:paraId="654D0835" w14:textId="32D8110B" w:rsidR="008704E4" w:rsidRPr="00CC1549" w:rsidRDefault="008704E4" w:rsidP="008704E4">
      <w:pPr>
        <w:jc w:val="both"/>
        <w:rPr>
          <w:rFonts w:ascii="Arial" w:hAnsi="Arial"/>
          <w:sz w:val="24"/>
          <w:szCs w:val="24"/>
        </w:rPr>
      </w:pPr>
      <w:r w:rsidRPr="00CC1549">
        <w:rPr>
          <w:rFonts w:ascii="Arial" w:hAnsi="Arial"/>
          <w:sz w:val="24"/>
          <w:szCs w:val="24"/>
        </w:rPr>
        <w:t>Para abordar los antecedentes históricos de la exención aquí planteada, debemos iniciar desde</w:t>
      </w:r>
      <w:r w:rsidRPr="00CC1549">
        <w:rPr>
          <w:rFonts w:ascii="Arial" w:hAnsi="Arial"/>
          <w:color w:val="000000"/>
          <w:sz w:val="24"/>
          <w:szCs w:val="24"/>
        </w:rPr>
        <w:t xml:space="preserve"> el año de 1994, en el cual el Distrito reconoció la carga que para el particular </w:t>
      </w:r>
      <w:r w:rsidRPr="008105E2">
        <w:rPr>
          <w:rFonts w:ascii="Arial" w:hAnsi="Arial"/>
          <w:color w:val="000000"/>
          <w:sz w:val="24"/>
          <w:szCs w:val="24"/>
        </w:rPr>
        <w:t xml:space="preserve">implica la titularidad de un bien de interés cultural, expidiendo el Decreto Distrital 678 de </w:t>
      </w:r>
      <w:r w:rsidRPr="008105E2">
        <w:rPr>
          <w:rFonts w:ascii="Arial" w:hAnsi="Arial" w:cs="Arial"/>
          <w:color w:val="000000"/>
          <w:sz w:val="24"/>
          <w:szCs w:val="24"/>
        </w:rPr>
        <w:t xml:space="preserve">1994 </w:t>
      </w:r>
      <w:r w:rsidR="00CC1549" w:rsidRPr="00DB75C9">
        <w:rPr>
          <w:rFonts w:ascii="Arial" w:hAnsi="Arial" w:cs="Arial"/>
          <w:i/>
          <w:iCs/>
          <w:sz w:val="24"/>
          <w:szCs w:val="24"/>
        </w:rPr>
        <w:t>“</w:t>
      </w:r>
      <w:r w:rsidR="00CC1549" w:rsidRPr="00DB75C9">
        <w:rPr>
          <w:rFonts w:ascii="Arial" w:hAnsi="Arial" w:cs="Arial"/>
          <w:i/>
          <w:iCs/>
          <w:sz w:val="24"/>
          <w:szCs w:val="24"/>
          <w:shd w:val="clear" w:color="auto" w:fill="FFFFFF"/>
        </w:rPr>
        <w:t>Por el medio del cual se reglamenta el Acuerdo 6 de 1990 y se asigna el Tratamiento Especial de Conservación Histórica al Centro Histórico y a su sector sur del Distrito Capital y se dictan otras disposiciones</w:t>
      </w:r>
      <w:r w:rsidR="00CC1549" w:rsidRPr="00DB75C9">
        <w:rPr>
          <w:rStyle w:val="Textoennegrita"/>
          <w:rFonts w:ascii="Arial" w:hAnsi="Arial" w:cs="Arial"/>
          <w:i/>
          <w:iCs/>
          <w:sz w:val="24"/>
          <w:szCs w:val="24"/>
        </w:rPr>
        <w:t>”.</w:t>
      </w:r>
    </w:p>
    <w:p w14:paraId="5740C766" w14:textId="77777777" w:rsidR="008704E4" w:rsidRPr="00CC1549" w:rsidRDefault="008704E4" w:rsidP="008704E4">
      <w:pPr>
        <w:jc w:val="both"/>
        <w:rPr>
          <w:rFonts w:ascii="Arial" w:hAnsi="Arial"/>
          <w:sz w:val="24"/>
          <w:szCs w:val="24"/>
        </w:rPr>
      </w:pPr>
    </w:p>
    <w:p w14:paraId="6B2E6E57" w14:textId="77777777" w:rsidR="008704E4" w:rsidRPr="00CC1549" w:rsidRDefault="008704E4" w:rsidP="008704E4">
      <w:pPr>
        <w:jc w:val="both"/>
        <w:rPr>
          <w:rFonts w:ascii="Arial" w:hAnsi="Arial"/>
          <w:color w:val="000000"/>
          <w:sz w:val="24"/>
          <w:szCs w:val="24"/>
        </w:rPr>
      </w:pPr>
      <w:r w:rsidRPr="00CC1549">
        <w:rPr>
          <w:rFonts w:ascii="Arial" w:hAnsi="Arial"/>
          <w:color w:val="000000"/>
          <w:sz w:val="24"/>
          <w:szCs w:val="24"/>
        </w:rPr>
        <w:t xml:space="preserve">En virtud de esta disposición el pago de servicios públicos de los bienes clasificados en la categoría de conservación integral o tipológica se equiparó al estrato uno. </w:t>
      </w:r>
    </w:p>
    <w:p w14:paraId="6F4BFB16" w14:textId="77777777" w:rsidR="008704E4" w:rsidRPr="00CC1549" w:rsidRDefault="008704E4" w:rsidP="008704E4">
      <w:pPr>
        <w:jc w:val="both"/>
        <w:rPr>
          <w:rFonts w:ascii="Arial" w:hAnsi="Arial"/>
          <w:color w:val="000000"/>
          <w:sz w:val="24"/>
          <w:szCs w:val="24"/>
        </w:rPr>
      </w:pPr>
    </w:p>
    <w:p w14:paraId="50EC6205" w14:textId="535DB8E8" w:rsidR="008704E4" w:rsidRPr="00CC1549" w:rsidRDefault="008704E4" w:rsidP="008704E4">
      <w:pPr>
        <w:jc w:val="both"/>
        <w:rPr>
          <w:rFonts w:ascii="Arial" w:hAnsi="Arial"/>
          <w:color w:val="000000"/>
          <w:sz w:val="24"/>
          <w:szCs w:val="24"/>
        </w:rPr>
      </w:pPr>
      <w:r w:rsidRPr="00CC1549">
        <w:rPr>
          <w:rFonts w:ascii="Arial" w:hAnsi="Arial"/>
          <w:color w:val="000000"/>
          <w:sz w:val="24"/>
          <w:szCs w:val="24"/>
        </w:rPr>
        <w:t>Posteriormente, se expidió el Acuerdo 105 de 2003</w:t>
      </w:r>
      <w:r w:rsidR="00E54A2C">
        <w:rPr>
          <w:rFonts w:ascii="Arial" w:hAnsi="Arial"/>
          <w:color w:val="000000"/>
          <w:sz w:val="24"/>
          <w:szCs w:val="24"/>
        </w:rPr>
        <w:t xml:space="preserve">, modificado parcialmente por el Acuerdo 185 de 2005 </w:t>
      </w:r>
      <w:r w:rsidRPr="00CC1549">
        <w:rPr>
          <w:rStyle w:val="Textoennegrita"/>
          <w:rFonts w:ascii="Arial" w:hAnsi="Arial"/>
          <w:b w:val="0"/>
          <w:color w:val="000000"/>
          <w:sz w:val="24"/>
          <w:szCs w:val="24"/>
        </w:rPr>
        <w:t>"</w:t>
      </w:r>
      <w:r w:rsidRPr="00CC1549">
        <w:rPr>
          <w:rStyle w:val="Textoennegrita"/>
          <w:rFonts w:ascii="Arial" w:hAnsi="Arial"/>
          <w:b w:val="0"/>
          <w:i/>
          <w:color w:val="000000"/>
          <w:sz w:val="24"/>
          <w:szCs w:val="24"/>
        </w:rPr>
        <w:t>Por el cual se adecuan las categorías tarifarias del impuesto predial unificado al Plan de Ordenamiento Territorial y se establecen y racionalizan algunos incentivos</w:t>
      </w:r>
      <w:r w:rsidRPr="00CC1549">
        <w:rPr>
          <w:rStyle w:val="Textoennegrita"/>
          <w:rFonts w:ascii="Arial" w:hAnsi="Arial" w:cs="Arial"/>
          <w:b w:val="0"/>
          <w:color w:val="000000"/>
          <w:sz w:val="24"/>
          <w:szCs w:val="24"/>
        </w:rPr>
        <w:t>". E</w:t>
      </w:r>
      <w:r w:rsidRPr="00CC1549">
        <w:rPr>
          <w:rStyle w:val="Textoennegrita"/>
          <w:rFonts w:ascii="Arial" w:hAnsi="Arial"/>
          <w:b w:val="0"/>
          <w:color w:val="000000"/>
          <w:sz w:val="24"/>
          <w:szCs w:val="24"/>
        </w:rPr>
        <w:t xml:space="preserve">n </w:t>
      </w:r>
      <w:r w:rsidR="00E54A2C">
        <w:rPr>
          <w:rStyle w:val="Textoennegrita"/>
          <w:rFonts w:ascii="Arial" w:hAnsi="Arial"/>
          <w:b w:val="0"/>
          <w:color w:val="000000"/>
          <w:sz w:val="24"/>
          <w:szCs w:val="24"/>
        </w:rPr>
        <w:t xml:space="preserve">el artículo 4 derogado por el artículo 7 del Acuerdo 426 de 2009 </w:t>
      </w:r>
      <w:r w:rsidRPr="00CC1549">
        <w:rPr>
          <w:rStyle w:val="Textoennegrita"/>
          <w:rFonts w:ascii="Arial" w:hAnsi="Arial"/>
          <w:b w:val="0"/>
          <w:color w:val="000000"/>
          <w:sz w:val="24"/>
          <w:szCs w:val="24"/>
        </w:rPr>
        <w:t>se otorg</w:t>
      </w:r>
      <w:r w:rsidR="00E54A2C">
        <w:rPr>
          <w:rStyle w:val="Textoennegrita"/>
          <w:rFonts w:ascii="Arial" w:hAnsi="Arial"/>
          <w:b w:val="0"/>
          <w:color w:val="000000"/>
          <w:sz w:val="24"/>
          <w:szCs w:val="24"/>
        </w:rPr>
        <w:t xml:space="preserve">aba </w:t>
      </w:r>
      <w:r w:rsidRPr="00CC1549">
        <w:rPr>
          <w:rStyle w:val="Textoennegrita"/>
          <w:rFonts w:ascii="Arial" w:hAnsi="Arial"/>
          <w:b w:val="0"/>
          <w:color w:val="000000"/>
          <w:sz w:val="24"/>
          <w:szCs w:val="24"/>
        </w:rPr>
        <w:t>la exención del impuesto predial para los bienes de interés cultural que hayan sido declarados como tal, en el Plan de Ordenamiento Territorial en las categorías de conservación monumental, integral o tipológica, al expresar:</w:t>
      </w:r>
    </w:p>
    <w:p w14:paraId="17792A5E" w14:textId="77777777" w:rsidR="008704E4" w:rsidRPr="00CC1549" w:rsidRDefault="008704E4" w:rsidP="008704E4">
      <w:pPr>
        <w:jc w:val="both"/>
        <w:rPr>
          <w:rFonts w:ascii="Arial" w:hAnsi="Arial"/>
          <w:color w:val="000000"/>
          <w:sz w:val="24"/>
          <w:szCs w:val="24"/>
        </w:rPr>
      </w:pPr>
    </w:p>
    <w:p w14:paraId="1E5B15BE" w14:textId="77777777" w:rsidR="008704E4" w:rsidRPr="00DB75C9" w:rsidRDefault="008704E4" w:rsidP="008704E4">
      <w:pPr>
        <w:ind w:left="845" w:right="641"/>
        <w:jc w:val="both"/>
        <w:rPr>
          <w:rFonts w:ascii="Arial" w:hAnsi="Arial"/>
          <w:sz w:val="22"/>
          <w:szCs w:val="22"/>
        </w:rPr>
      </w:pPr>
      <w:r w:rsidRPr="00DB75C9">
        <w:rPr>
          <w:rStyle w:val="Textoennegrita"/>
          <w:rFonts w:ascii="Arial" w:eastAsia="Arial" w:hAnsi="Arial"/>
          <w:b w:val="0"/>
          <w:i/>
          <w:color w:val="000000"/>
          <w:sz w:val="22"/>
          <w:szCs w:val="22"/>
        </w:rPr>
        <w:t>“</w:t>
      </w:r>
      <w:r w:rsidRPr="00DB75C9">
        <w:rPr>
          <w:rStyle w:val="Textoennegrita"/>
          <w:rFonts w:ascii="Arial" w:hAnsi="Arial"/>
          <w:b w:val="0"/>
          <w:i/>
          <w:color w:val="000000"/>
          <w:sz w:val="22"/>
          <w:szCs w:val="22"/>
        </w:rPr>
        <w:t>Como incentivo para su conservación tendrán derecho a exención del impuesto predial unificado, hasta el 31 de diciembre de 2009, los predios que de acuerdo con las definiciones establecidas en el Plan de Ordenamiento Territorial de Bogotá hayan sido declarados Inmuebles de Interés Cultural en las categorías de conservación monumental, integral o tipológica ...”.</w:t>
      </w:r>
    </w:p>
    <w:p w14:paraId="275DD957" w14:textId="77777777" w:rsidR="008704E4" w:rsidRPr="00CC1549" w:rsidRDefault="008704E4" w:rsidP="008704E4">
      <w:pPr>
        <w:ind w:right="641"/>
        <w:jc w:val="both"/>
        <w:rPr>
          <w:rFonts w:ascii="Arial" w:hAnsi="Arial"/>
          <w:sz w:val="24"/>
          <w:szCs w:val="24"/>
        </w:rPr>
      </w:pPr>
    </w:p>
    <w:p w14:paraId="5667A4BD" w14:textId="09FC17F3" w:rsidR="008704E4" w:rsidRPr="00CC1549" w:rsidRDefault="008704E4" w:rsidP="008704E4">
      <w:pPr>
        <w:tabs>
          <w:tab w:val="left" w:pos="720"/>
        </w:tabs>
        <w:jc w:val="both"/>
        <w:rPr>
          <w:rFonts w:ascii="Arial" w:hAnsi="Arial"/>
          <w:color w:val="000000"/>
          <w:sz w:val="24"/>
          <w:szCs w:val="24"/>
        </w:rPr>
      </w:pPr>
      <w:r w:rsidRPr="00CC1549">
        <w:rPr>
          <w:rStyle w:val="Textoennegrita"/>
          <w:rFonts w:ascii="Arial" w:hAnsi="Arial"/>
          <w:b w:val="0"/>
          <w:color w:val="000000"/>
          <w:sz w:val="24"/>
          <w:szCs w:val="24"/>
        </w:rPr>
        <w:t xml:space="preserve">Este </w:t>
      </w:r>
      <w:r w:rsidR="00E54A2C">
        <w:rPr>
          <w:rStyle w:val="Textoennegrita"/>
          <w:rFonts w:ascii="Arial" w:hAnsi="Arial"/>
          <w:b w:val="0"/>
          <w:color w:val="000000"/>
          <w:sz w:val="24"/>
          <w:szCs w:val="24"/>
        </w:rPr>
        <w:t xml:space="preserve">artículo 4 del </w:t>
      </w:r>
      <w:r w:rsidRPr="00CC1549">
        <w:rPr>
          <w:rStyle w:val="Textoennegrita"/>
          <w:rFonts w:ascii="Arial" w:hAnsi="Arial"/>
          <w:b w:val="0"/>
          <w:color w:val="000000"/>
          <w:sz w:val="24"/>
          <w:szCs w:val="24"/>
        </w:rPr>
        <w:t>Acuerdo 105 de 2003</w:t>
      </w:r>
      <w:r w:rsidR="00E54A2C">
        <w:rPr>
          <w:rStyle w:val="Textoennegrita"/>
          <w:rFonts w:ascii="Arial" w:hAnsi="Arial"/>
          <w:b w:val="0"/>
          <w:color w:val="000000"/>
          <w:sz w:val="24"/>
          <w:szCs w:val="24"/>
        </w:rPr>
        <w:t xml:space="preserve">, derogado por el artículo 7 del Acuerdo 426 de 2009, </w:t>
      </w:r>
      <w:r w:rsidRPr="00CC1549">
        <w:rPr>
          <w:rStyle w:val="Textoennegrita"/>
          <w:rFonts w:ascii="Arial" w:hAnsi="Arial"/>
          <w:b w:val="0"/>
          <w:color w:val="000000"/>
          <w:sz w:val="24"/>
          <w:szCs w:val="24"/>
        </w:rPr>
        <w:t>contenía c</w:t>
      </w:r>
      <w:r w:rsidRPr="00CC1549">
        <w:rPr>
          <w:rFonts w:ascii="Arial" w:hAnsi="Arial"/>
          <w:color w:val="000000"/>
          <w:sz w:val="24"/>
          <w:szCs w:val="24"/>
        </w:rPr>
        <w:t xml:space="preserve">omo incentivo para la conservación de los bienes de interés cultural tendrán derecho a exención del impuesto predial unificado, hasta el 31 de diciembre de 2009, los predios que de acuerdo con las definiciones establecidas en el Plan de Ordenamiento Territorial de Bogotá hayan sido declarados Inmuebles de Interés Cultural en las categorías de conservación monumental, integral o tipológica, en los siguientes porcentajes de impuesto a cargo que se establecen de acuerdo con una tabla, que tiene las siguientes especificidades; reconoce inmueble hasta 5 pisos, con porcentajes de exención así:   </w:t>
      </w:r>
    </w:p>
    <w:p w14:paraId="6127C119" w14:textId="77777777" w:rsidR="008704E4" w:rsidRPr="00CC1549" w:rsidRDefault="008704E4" w:rsidP="008704E4">
      <w:pPr>
        <w:tabs>
          <w:tab w:val="left" w:pos="720"/>
        </w:tabs>
        <w:jc w:val="both"/>
        <w:rPr>
          <w:rFonts w:ascii="Arial" w:hAnsi="Arial"/>
          <w:color w:val="000000"/>
          <w:sz w:val="24"/>
          <w:szCs w:val="24"/>
        </w:rPr>
      </w:pPr>
    </w:p>
    <w:p w14:paraId="4D27BF23" w14:textId="77777777" w:rsidR="008704E4" w:rsidRPr="00CC1549" w:rsidRDefault="008704E4" w:rsidP="008704E4">
      <w:pPr>
        <w:tabs>
          <w:tab w:val="left" w:pos="720"/>
        </w:tabs>
        <w:jc w:val="both"/>
        <w:rPr>
          <w:rFonts w:ascii="Arial" w:hAnsi="Arial"/>
          <w:color w:val="000000"/>
          <w:sz w:val="24"/>
          <w:szCs w:val="24"/>
        </w:rPr>
      </w:pPr>
      <w:r w:rsidRPr="00CC1549">
        <w:rPr>
          <w:rFonts w:ascii="Arial" w:hAnsi="Arial"/>
          <w:color w:val="000000"/>
          <w:sz w:val="24"/>
          <w:szCs w:val="24"/>
        </w:rPr>
        <w:t xml:space="preserve">Para la categoría monumental: dotacional   100 %, residencial </w:t>
      </w:r>
      <w:r w:rsidRPr="00CC1549">
        <w:rPr>
          <w:rFonts w:ascii="Arial" w:hAnsi="Arial" w:cs="Arial"/>
          <w:bCs/>
          <w:iCs/>
          <w:color w:val="000000"/>
          <w:sz w:val="24"/>
          <w:szCs w:val="24"/>
        </w:rPr>
        <w:t>e</w:t>
      </w:r>
      <w:r w:rsidRPr="00CC1549">
        <w:rPr>
          <w:rFonts w:ascii="Arial" w:hAnsi="Arial"/>
          <w:color w:val="000000"/>
          <w:sz w:val="24"/>
          <w:szCs w:val="24"/>
        </w:rPr>
        <w:t>stratos 1 y 2: 100%, estratos 3 y 4: 85%. Otros: 70%.</w:t>
      </w:r>
    </w:p>
    <w:p w14:paraId="08DC8081" w14:textId="77777777" w:rsidR="008704E4" w:rsidRPr="00CC1549" w:rsidRDefault="008704E4" w:rsidP="008704E4">
      <w:pPr>
        <w:tabs>
          <w:tab w:val="left" w:pos="720"/>
        </w:tabs>
        <w:jc w:val="both"/>
        <w:rPr>
          <w:rFonts w:ascii="Arial" w:hAnsi="Arial"/>
          <w:color w:val="000000"/>
          <w:sz w:val="24"/>
          <w:szCs w:val="24"/>
        </w:rPr>
      </w:pPr>
    </w:p>
    <w:p w14:paraId="0E3A7FBA" w14:textId="77777777" w:rsidR="008704E4" w:rsidRPr="00CC1549" w:rsidRDefault="008704E4" w:rsidP="008704E4">
      <w:pPr>
        <w:tabs>
          <w:tab w:val="left" w:pos="720"/>
        </w:tabs>
        <w:jc w:val="both"/>
        <w:rPr>
          <w:rFonts w:ascii="Arial" w:hAnsi="Arial"/>
          <w:color w:val="000000"/>
          <w:sz w:val="24"/>
          <w:szCs w:val="24"/>
        </w:rPr>
      </w:pPr>
      <w:r w:rsidRPr="00CC1549">
        <w:rPr>
          <w:rFonts w:ascii="Arial" w:hAnsi="Arial"/>
          <w:color w:val="000000"/>
          <w:sz w:val="24"/>
          <w:szCs w:val="24"/>
        </w:rPr>
        <w:t xml:space="preserve">Para categoría integral; dotacional 80%; residencial, estratos 1 y 2:  80% </w:t>
      </w:r>
      <w:r w:rsidRPr="00CC1549">
        <w:rPr>
          <w:rFonts w:ascii="Arial" w:hAnsi="Arial" w:cs="Arial"/>
          <w:bCs/>
          <w:iCs/>
          <w:color w:val="000000"/>
          <w:sz w:val="24"/>
          <w:szCs w:val="24"/>
        </w:rPr>
        <w:t>estratos</w:t>
      </w:r>
      <w:r w:rsidRPr="00CC1549">
        <w:rPr>
          <w:rFonts w:ascii="Arial" w:hAnsi="Arial"/>
          <w:color w:val="000000"/>
          <w:sz w:val="24"/>
          <w:szCs w:val="24"/>
        </w:rPr>
        <w:t xml:space="preserve"> 3 y 4: 65% Otros: 50%.</w:t>
      </w:r>
    </w:p>
    <w:p w14:paraId="7542B226" w14:textId="77777777" w:rsidR="008704E4" w:rsidRPr="00CC1549" w:rsidRDefault="008704E4" w:rsidP="008704E4">
      <w:pPr>
        <w:tabs>
          <w:tab w:val="left" w:pos="720"/>
        </w:tabs>
        <w:jc w:val="both"/>
        <w:rPr>
          <w:rFonts w:ascii="Arial" w:hAnsi="Arial"/>
          <w:color w:val="000000"/>
          <w:sz w:val="24"/>
          <w:szCs w:val="24"/>
        </w:rPr>
      </w:pPr>
    </w:p>
    <w:p w14:paraId="1AB942C2" w14:textId="272F8C29" w:rsidR="008704E4" w:rsidRPr="00CC1549" w:rsidRDefault="008704E4" w:rsidP="008704E4">
      <w:pPr>
        <w:tabs>
          <w:tab w:val="left" w:pos="720"/>
        </w:tabs>
        <w:jc w:val="both"/>
        <w:rPr>
          <w:rFonts w:ascii="Arial" w:hAnsi="Arial"/>
          <w:color w:val="000000"/>
          <w:sz w:val="24"/>
          <w:szCs w:val="24"/>
        </w:rPr>
      </w:pPr>
      <w:r w:rsidRPr="00CC1549">
        <w:rPr>
          <w:rFonts w:ascii="Arial" w:hAnsi="Arial"/>
          <w:color w:val="000000"/>
          <w:sz w:val="24"/>
          <w:szCs w:val="24"/>
        </w:rPr>
        <w:t xml:space="preserve">Para categoría tipológica: dotacional 60 %, </w:t>
      </w:r>
      <w:r w:rsidRPr="00CC1549">
        <w:rPr>
          <w:rFonts w:ascii="Arial" w:hAnsi="Arial" w:cs="Arial"/>
          <w:bCs/>
          <w:iCs/>
          <w:color w:val="000000"/>
          <w:sz w:val="24"/>
          <w:szCs w:val="24"/>
        </w:rPr>
        <w:t>residencial</w:t>
      </w:r>
      <w:r w:rsidRPr="00CC1549">
        <w:rPr>
          <w:rFonts w:ascii="Arial" w:hAnsi="Arial"/>
          <w:color w:val="000000"/>
          <w:sz w:val="24"/>
          <w:szCs w:val="24"/>
        </w:rPr>
        <w:t xml:space="preserve"> estratos 1 y 2:   60%, estratos 3 y 4</w:t>
      </w:r>
      <w:r w:rsidRPr="00CC1549">
        <w:rPr>
          <w:rFonts w:ascii="Arial" w:hAnsi="Arial" w:cs="Arial"/>
          <w:bCs/>
          <w:iCs/>
          <w:color w:val="000000"/>
          <w:sz w:val="24"/>
          <w:szCs w:val="24"/>
        </w:rPr>
        <w:t>:</w:t>
      </w:r>
      <w:r w:rsidRPr="00CC1549">
        <w:rPr>
          <w:rFonts w:ascii="Arial" w:hAnsi="Arial"/>
          <w:color w:val="000000"/>
          <w:sz w:val="24"/>
          <w:szCs w:val="24"/>
        </w:rPr>
        <w:t xml:space="preserve"> </w:t>
      </w:r>
      <w:r w:rsidR="00E54A2C">
        <w:rPr>
          <w:rFonts w:ascii="Arial" w:hAnsi="Arial"/>
          <w:color w:val="000000"/>
          <w:sz w:val="24"/>
          <w:szCs w:val="24"/>
        </w:rPr>
        <w:t xml:space="preserve"> </w:t>
      </w:r>
      <w:r w:rsidRPr="00CC1549">
        <w:rPr>
          <w:rFonts w:ascii="Arial" w:hAnsi="Arial"/>
          <w:color w:val="000000"/>
          <w:sz w:val="24"/>
          <w:szCs w:val="24"/>
        </w:rPr>
        <w:t>45% y otros: 30%.</w:t>
      </w:r>
    </w:p>
    <w:p w14:paraId="5042D621" w14:textId="77777777" w:rsidR="008704E4" w:rsidRPr="00CC1549" w:rsidRDefault="008704E4" w:rsidP="008704E4">
      <w:pPr>
        <w:tabs>
          <w:tab w:val="left" w:pos="720"/>
        </w:tabs>
        <w:jc w:val="both"/>
        <w:rPr>
          <w:rFonts w:ascii="Arial" w:hAnsi="Arial"/>
          <w:color w:val="000000"/>
          <w:sz w:val="24"/>
          <w:szCs w:val="24"/>
        </w:rPr>
      </w:pPr>
    </w:p>
    <w:p w14:paraId="2F1D9F09" w14:textId="77777777" w:rsidR="008704E4" w:rsidRPr="00CC1549" w:rsidRDefault="008704E4" w:rsidP="008704E4">
      <w:pPr>
        <w:tabs>
          <w:tab w:val="left" w:pos="720"/>
        </w:tabs>
        <w:jc w:val="both"/>
        <w:rPr>
          <w:rFonts w:ascii="Arial" w:hAnsi="Arial"/>
          <w:color w:val="000000"/>
          <w:sz w:val="24"/>
          <w:szCs w:val="24"/>
        </w:rPr>
      </w:pPr>
      <w:r w:rsidRPr="00CC1549">
        <w:rPr>
          <w:rFonts w:ascii="Arial" w:hAnsi="Arial"/>
          <w:color w:val="000000"/>
          <w:sz w:val="24"/>
          <w:szCs w:val="24"/>
        </w:rPr>
        <w:t>Para inmuebles con pisos superiores a cinco: dotacional: 40% residencial, estratos 1 y 2: 40% estratos 3 y 4: 25% y otros: 10%.</w:t>
      </w:r>
    </w:p>
    <w:p w14:paraId="1E6AD717" w14:textId="77777777" w:rsidR="008704E4" w:rsidRPr="00CC1549" w:rsidRDefault="008704E4" w:rsidP="008704E4">
      <w:pPr>
        <w:tabs>
          <w:tab w:val="left" w:pos="720"/>
        </w:tabs>
        <w:jc w:val="both"/>
        <w:rPr>
          <w:rFonts w:ascii="Arial" w:hAnsi="Arial"/>
          <w:color w:val="000000"/>
          <w:sz w:val="24"/>
          <w:szCs w:val="24"/>
        </w:rPr>
      </w:pPr>
    </w:p>
    <w:p w14:paraId="03CA5763" w14:textId="77777777" w:rsidR="008704E4" w:rsidRPr="00CC1549" w:rsidRDefault="008704E4" w:rsidP="008704E4">
      <w:pPr>
        <w:tabs>
          <w:tab w:val="left" w:pos="720"/>
        </w:tabs>
        <w:jc w:val="both"/>
        <w:rPr>
          <w:rFonts w:ascii="Arial" w:hAnsi="Arial"/>
          <w:color w:val="000000"/>
          <w:sz w:val="24"/>
          <w:szCs w:val="24"/>
        </w:rPr>
      </w:pPr>
      <w:r w:rsidRPr="00CC1549">
        <w:rPr>
          <w:rFonts w:ascii="Arial" w:hAnsi="Arial"/>
          <w:color w:val="000000"/>
          <w:sz w:val="24"/>
          <w:szCs w:val="24"/>
        </w:rPr>
        <w:t>Como característica del acuerdo, inicialmente se pensó que no existía ningún reconocimiento para los estratos 5 y 6, pero el Consejo de Estado</w:t>
      </w:r>
      <w:r w:rsidRPr="00CC1549">
        <w:rPr>
          <w:rStyle w:val="Refdenotaalpie"/>
          <w:rFonts w:ascii="Arial" w:hAnsi="Arial"/>
          <w:color w:val="000000"/>
          <w:sz w:val="24"/>
          <w:szCs w:val="24"/>
        </w:rPr>
        <w:footnoteReference w:id="4"/>
      </w:r>
      <w:r w:rsidRPr="00CC1549">
        <w:rPr>
          <w:rFonts w:ascii="Arial" w:hAnsi="Arial"/>
          <w:color w:val="000000"/>
          <w:sz w:val="24"/>
          <w:szCs w:val="24"/>
        </w:rPr>
        <w:t xml:space="preserve"> expresó que:</w:t>
      </w:r>
    </w:p>
    <w:p w14:paraId="04873621" w14:textId="77777777" w:rsidR="008704E4" w:rsidRPr="00DB75C9" w:rsidRDefault="008704E4" w:rsidP="008704E4">
      <w:pPr>
        <w:tabs>
          <w:tab w:val="left" w:pos="720"/>
        </w:tabs>
        <w:ind w:left="832" w:right="600"/>
        <w:jc w:val="both"/>
        <w:rPr>
          <w:rFonts w:ascii="Arial" w:hAnsi="Arial"/>
          <w:i/>
          <w:color w:val="000000"/>
          <w:sz w:val="22"/>
          <w:szCs w:val="22"/>
        </w:rPr>
      </w:pPr>
      <w:r w:rsidRPr="00CC1549">
        <w:rPr>
          <w:rFonts w:ascii="Arial" w:hAnsi="Arial"/>
          <w:color w:val="000000"/>
          <w:sz w:val="24"/>
          <w:szCs w:val="24"/>
        </w:rPr>
        <w:br/>
      </w:r>
      <w:r w:rsidRPr="00DB75C9">
        <w:rPr>
          <w:rStyle w:val="Teletipo"/>
          <w:rFonts w:ascii="Arial" w:hAnsi="Arial"/>
          <w:i/>
          <w:color w:val="000000"/>
          <w:sz w:val="22"/>
          <w:szCs w:val="22"/>
        </w:rPr>
        <w:t>"En consecuencia, la  Sala considera que todos los predios  declarados de interés cultural  en el Distrito Capital  están incluidos dentro de la tabla de exenciones; y que la definición de porcentajes para los estratos 1, 2, 3 y 4 la hizo el Concejo Distrital  teniendo en cuenta la capacidad contributiva de los propietarios;  para los restantes, es decir para los residenciales de estratos 5 y 6, además de los predios comerciales, financieros, industriales, depósitos y parqueaderos y en general todos aquellos no clasificados como  dotacionales o predios residenciales de los estratos 1 al 4, los incluyó en la columna “otros”,  como lo expone el concepto demandado.</w:t>
      </w:r>
    </w:p>
    <w:p w14:paraId="52343633" w14:textId="77777777" w:rsidR="008704E4" w:rsidRPr="00DB75C9" w:rsidRDefault="008704E4" w:rsidP="008704E4">
      <w:pPr>
        <w:tabs>
          <w:tab w:val="left" w:pos="720"/>
        </w:tabs>
        <w:ind w:left="832" w:right="600"/>
        <w:jc w:val="both"/>
        <w:rPr>
          <w:rFonts w:ascii="Arial" w:hAnsi="Arial"/>
          <w:i/>
          <w:color w:val="000000"/>
          <w:sz w:val="22"/>
          <w:szCs w:val="22"/>
        </w:rPr>
      </w:pPr>
      <w:r w:rsidRPr="00DB75C9">
        <w:rPr>
          <w:rFonts w:ascii="Arial" w:hAnsi="Arial"/>
          <w:i/>
          <w:color w:val="000000"/>
          <w:sz w:val="22"/>
          <w:szCs w:val="22"/>
        </w:rPr>
        <w:br/>
        <w:t>“</w:t>
      </w:r>
      <w:r w:rsidRPr="00DB75C9">
        <w:rPr>
          <w:rStyle w:val="Teletipo"/>
          <w:rFonts w:ascii="Arial" w:hAnsi="Arial"/>
          <w:i/>
          <w:color w:val="000000"/>
          <w:sz w:val="22"/>
          <w:szCs w:val="22"/>
        </w:rPr>
        <w:t xml:space="preserve">No es de recibo que si a los predios distintos a los clasificados en la tabla, residenciales estratos 5 y 6, les corresponde el mismo porcentaje de exención, deban repetirse las columnas para cada uno de ellos, cuando lo que se está indicando en la columna “otros” es un mismo porcentaje </w:t>
      </w:r>
      <w:r w:rsidRPr="00DB75C9">
        <w:rPr>
          <w:rStyle w:val="Teletipo"/>
          <w:rFonts w:ascii="Arial" w:hAnsi="Arial"/>
          <w:i/>
          <w:color w:val="000000"/>
          <w:sz w:val="22"/>
          <w:szCs w:val="22"/>
        </w:rPr>
        <w:lastRenderedPageBreak/>
        <w:t>de exención para un grupo de predios, cuyos usos y estratos no están incluidos dentro de los dotacionales o los residenciales estratos 1 a 4.</w:t>
      </w:r>
    </w:p>
    <w:p w14:paraId="381034CB" w14:textId="77777777" w:rsidR="008704E4" w:rsidRPr="00DB75C9" w:rsidRDefault="008704E4" w:rsidP="008704E4">
      <w:pPr>
        <w:tabs>
          <w:tab w:val="left" w:pos="720"/>
        </w:tabs>
        <w:ind w:left="832" w:right="600"/>
        <w:jc w:val="both"/>
        <w:rPr>
          <w:rFonts w:ascii="Arial" w:hAnsi="Arial"/>
          <w:i/>
          <w:color w:val="000000"/>
          <w:sz w:val="22"/>
          <w:szCs w:val="22"/>
        </w:rPr>
      </w:pPr>
      <w:r w:rsidRPr="00DB75C9">
        <w:rPr>
          <w:rFonts w:ascii="Arial" w:hAnsi="Arial"/>
          <w:i/>
          <w:color w:val="000000"/>
          <w:sz w:val="22"/>
          <w:szCs w:val="22"/>
        </w:rPr>
        <w:br/>
        <w:t>“</w:t>
      </w:r>
      <w:r w:rsidRPr="00DB75C9">
        <w:rPr>
          <w:rStyle w:val="Teletipo"/>
          <w:rFonts w:ascii="Arial" w:hAnsi="Arial"/>
          <w:i/>
          <w:color w:val="000000"/>
          <w:sz w:val="22"/>
          <w:szCs w:val="22"/>
        </w:rPr>
        <w:t>Una interpretación contraria llevaría a concluir que, los predios de los estratos 5 y 6  carecen de  exención, inferencia  injusta y equivocada a juicio de  la Sala, según el  tenor literal del artículo 4º, que incluye todos los predios que sean declarados de interés cultural y precisamente es esa la razón por la cual de manera taxativa el Concejo  contempló una casilla y una tarifa especial denominada “otros”, para incluir allí todos los bienes inmuebles  declarados  de interés cultural, distintos de los dotacionales y residenciales estratos 1 a 4. </w:t>
      </w:r>
    </w:p>
    <w:p w14:paraId="60C629A9" w14:textId="77777777" w:rsidR="008704E4" w:rsidRPr="00DB75C9" w:rsidRDefault="008704E4" w:rsidP="008704E4">
      <w:pPr>
        <w:tabs>
          <w:tab w:val="left" w:pos="720"/>
        </w:tabs>
        <w:ind w:left="832" w:right="600"/>
        <w:jc w:val="both"/>
        <w:rPr>
          <w:rFonts w:ascii="Arial" w:hAnsi="Arial"/>
          <w:color w:val="000000"/>
          <w:sz w:val="22"/>
          <w:szCs w:val="22"/>
        </w:rPr>
      </w:pPr>
      <w:r w:rsidRPr="00DB75C9">
        <w:rPr>
          <w:rFonts w:ascii="Arial" w:hAnsi="Arial"/>
          <w:i/>
          <w:color w:val="000000"/>
          <w:sz w:val="22"/>
          <w:szCs w:val="22"/>
        </w:rPr>
        <w:br/>
        <w:t>“</w:t>
      </w:r>
      <w:r w:rsidRPr="00DB75C9">
        <w:rPr>
          <w:rStyle w:val="Teletipo"/>
          <w:rFonts w:ascii="Arial" w:hAnsi="Arial"/>
          <w:i/>
          <w:color w:val="000000"/>
          <w:sz w:val="22"/>
          <w:szCs w:val="22"/>
        </w:rPr>
        <w:t>La anterior posición de la Sala se edifica sobre los principios  de equidad y progresividad propios del régimen fiscal colombiano, que precisamente  sirvieron al  Concejo de Bogotá para  asignar  los porcentajes según la capacidad contributiva de los administrados, de tal manera que quienes tengan mayor capacidad económica,  deben contribuir en mayor grado a las cargas del sostenimiento del Estado, prueba de ello es que los predios con mayor aprovechamiento (industriales, comerciales, financieros, parqueaderos) o mayor capacidad de pago (estratos 5 y 6) gozan de un menor porcentaje  de exención."</w:t>
      </w:r>
    </w:p>
    <w:p w14:paraId="2D391109" w14:textId="77777777" w:rsidR="008704E4" w:rsidRPr="00CC1549" w:rsidRDefault="008704E4" w:rsidP="008704E4">
      <w:pPr>
        <w:tabs>
          <w:tab w:val="left" w:pos="720"/>
        </w:tabs>
        <w:jc w:val="both"/>
        <w:rPr>
          <w:rFonts w:ascii="Arial" w:hAnsi="Arial"/>
          <w:color w:val="000000"/>
          <w:sz w:val="24"/>
          <w:szCs w:val="24"/>
        </w:rPr>
      </w:pPr>
    </w:p>
    <w:p w14:paraId="014F5B8B" w14:textId="476D8FA2" w:rsidR="008704E4" w:rsidRPr="00CC1549" w:rsidRDefault="008704E4" w:rsidP="008704E4">
      <w:pPr>
        <w:tabs>
          <w:tab w:val="left" w:pos="720"/>
        </w:tabs>
        <w:ind w:right="-14"/>
        <w:jc w:val="both"/>
        <w:rPr>
          <w:rStyle w:val="Textoennegrita"/>
          <w:rFonts w:ascii="Arial" w:hAnsi="Arial"/>
          <w:b w:val="0"/>
          <w:color w:val="000000"/>
          <w:sz w:val="24"/>
          <w:szCs w:val="24"/>
        </w:rPr>
      </w:pPr>
      <w:r w:rsidRPr="00CC1549">
        <w:rPr>
          <w:rStyle w:val="Textoennegrita"/>
          <w:rFonts w:ascii="Arial" w:hAnsi="Arial"/>
          <w:b w:val="0"/>
          <w:color w:val="000000"/>
          <w:sz w:val="24"/>
          <w:szCs w:val="24"/>
        </w:rPr>
        <w:t xml:space="preserve">Finalmente, </w:t>
      </w:r>
      <w:r w:rsidR="00E54A2C">
        <w:rPr>
          <w:rStyle w:val="Textoennegrita"/>
          <w:rFonts w:ascii="Arial" w:hAnsi="Arial"/>
          <w:b w:val="0"/>
          <w:color w:val="000000"/>
          <w:sz w:val="24"/>
          <w:szCs w:val="24"/>
        </w:rPr>
        <w:t xml:space="preserve">el articulo </w:t>
      </w:r>
      <w:r w:rsidR="0008374D">
        <w:rPr>
          <w:rStyle w:val="Textoennegrita"/>
          <w:rFonts w:ascii="Arial" w:hAnsi="Arial"/>
          <w:b w:val="0"/>
          <w:color w:val="000000"/>
          <w:sz w:val="24"/>
          <w:szCs w:val="24"/>
        </w:rPr>
        <w:t xml:space="preserve">4 derogado </w:t>
      </w:r>
      <w:r w:rsidRPr="00CC1549">
        <w:rPr>
          <w:rStyle w:val="Textoennegrita"/>
          <w:rFonts w:ascii="Arial" w:hAnsi="Arial"/>
          <w:b w:val="0"/>
          <w:color w:val="000000"/>
          <w:sz w:val="24"/>
          <w:szCs w:val="24"/>
        </w:rPr>
        <w:t>contempl</w:t>
      </w:r>
      <w:r w:rsidR="0008374D">
        <w:rPr>
          <w:rStyle w:val="Textoennegrita"/>
          <w:rFonts w:ascii="Arial" w:hAnsi="Arial"/>
          <w:b w:val="0"/>
          <w:color w:val="000000"/>
          <w:sz w:val="24"/>
          <w:szCs w:val="24"/>
        </w:rPr>
        <w:t xml:space="preserve">aba </w:t>
      </w:r>
      <w:r w:rsidRPr="00CC1549">
        <w:rPr>
          <w:rStyle w:val="Textoennegrita"/>
          <w:rFonts w:ascii="Arial" w:hAnsi="Arial"/>
          <w:b w:val="0"/>
          <w:color w:val="000000"/>
          <w:sz w:val="24"/>
          <w:szCs w:val="24"/>
        </w:rPr>
        <w:t>un Parágrafo Primero que exp</w:t>
      </w:r>
      <w:r w:rsidR="0008374D">
        <w:rPr>
          <w:rStyle w:val="Textoennegrita"/>
          <w:rFonts w:ascii="Arial" w:hAnsi="Arial"/>
          <w:b w:val="0"/>
          <w:color w:val="000000"/>
          <w:sz w:val="24"/>
          <w:szCs w:val="24"/>
        </w:rPr>
        <w:t>onía</w:t>
      </w:r>
      <w:r w:rsidRPr="00CC1549">
        <w:rPr>
          <w:rStyle w:val="Textoennegrita"/>
          <w:rFonts w:ascii="Arial" w:hAnsi="Arial"/>
          <w:b w:val="0"/>
          <w:color w:val="000000"/>
          <w:sz w:val="24"/>
          <w:szCs w:val="24"/>
        </w:rPr>
        <w:t>: </w:t>
      </w:r>
      <w:r w:rsidR="0008374D" w:rsidRPr="0008374D">
        <w:rPr>
          <w:rStyle w:val="Textoennegrita"/>
          <w:rFonts w:ascii="Arial" w:hAnsi="Arial"/>
          <w:b w:val="0"/>
          <w:i/>
          <w:color w:val="000000"/>
          <w:sz w:val="24"/>
          <w:szCs w:val="24"/>
        </w:rPr>
        <w:t>“</w:t>
      </w:r>
      <w:r w:rsidRPr="0008374D">
        <w:rPr>
          <w:rStyle w:val="Textoennegrita"/>
          <w:rFonts w:ascii="Arial" w:hAnsi="Arial"/>
          <w:b w:val="0"/>
          <w:i/>
          <w:color w:val="000000"/>
          <w:sz w:val="24"/>
          <w:szCs w:val="24"/>
        </w:rPr>
        <w:t>Los predios que de acuerdo con las definiciones establecidas en el Plan de Ordenamiento Territorial de Bogotá hayan sido declarados Inmuebles de Interés Cultural en las categorías de conservación monumental, integral o tipológica en los cuales se desarrollen usos mixtos y dentro de ellos se encuentren los usos relacionados a continuación, aplicarán como porcentaje de exención del impuesto a cargo el que corresponda según la categoría de inmueble y tipo de conservación en el siguiente orden de uso: dotacional con cualquier otro uso aplica porcentaje de exención que corresponda al uso dotacional de su categoría; industrial y/o comercial con cualquier otro uso excepto dotacional, aplica porcentaje de exención que corresponda al uso otros de su categoría</w:t>
      </w:r>
      <w:r w:rsidR="0008374D">
        <w:rPr>
          <w:rStyle w:val="Textoennegrita"/>
          <w:rFonts w:ascii="Arial" w:hAnsi="Arial"/>
          <w:b w:val="0"/>
          <w:i/>
          <w:color w:val="000000"/>
          <w:sz w:val="24"/>
          <w:szCs w:val="24"/>
        </w:rPr>
        <w:t>”</w:t>
      </w:r>
      <w:r w:rsidRPr="00CC1549">
        <w:rPr>
          <w:rStyle w:val="Textoennegrita"/>
          <w:rFonts w:ascii="Arial" w:hAnsi="Arial"/>
          <w:b w:val="0"/>
          <w:color w:val="000000"/>
          <w:sz w:val="24"/>
          <w:szCs w:val="24"/>
        </w:rPr>
        <w:t>.</w:t>
      </w:r>
    </w:p>
    <w:p w14:paraId="5C778BBB" w14:textId="77777777" w:rsidR="008704E4" w:rsidRPr="00CC1549" w:rsidRDefault="008704E4" w:rsidP="008704E4">
      <w:pPr>
        <w:tabs>
          <w:tab w:val="left" w:pos="720"/>
        </w:tabs>
        <w:ind w:right="-14"/>
        <w:jc w:val="both"/>
        <w:rPr>
          <w:rFonts w:ascii="Arial" w:hAnsi="Arial"/>
          <w:color w:val="000000"/>
          <w:sz w:val="24"/>
          <w:szCs w:val="24"/>
        </w:rPr>
      </w:pPr>
    </w:p>
    <w:p w14:paraId="71387387" w14:textId="77777777" w:rsidR="008704E4" w:rsidRPr="00CC1549" w:rsidRDefault="008704E4" w:rsidP="008704E4">
      <w:pPr>
        <w:tabs>
          <w:tab w:val="left" w:pos="720"/>
        </w:tabs>
        <w:ind w:right="-14"/>
        <w:jc w:val="both"/>
        <w:rPr>
          <w:rFonts w:ascii="Arial" w:hAnsi="Arial"/>
          <w:b/>
          <w:sz w:val="24"/>
          <w:szCs w:val="24"/>
        </w:rPr>
      </w:pPr>
      <w:r w:rsidRPr="00CC1549">
        <w:rPr>
          <w:rStyle w:val="Textoennegrita"/>
          <w:rFonts w:ascii="Arial" w:hAnsi="Arial"/>
          <w:b w:val="0"/>
          <w:sz w:val="24"/>
          <w:szCs w:val="24"/>
        </w:rPr>
        <w:t xml:space="preserve">Posteriormente, el </w:t>
      </w:r>
      <w:r w:rsidRPr="00CC1549">
        <w:rPr>
          <w:rFonts w:ascii="Arial" w:hAnsi="Arial"/>
          <w:color w:val="000000"/>
          <w:sz w:val="24"/>
          <w:szCs w:val="24"/>
        </w:rPr>
        <w:t xml:space="preserve">Acuerdo 426 de 2009 </w:t>
      </w:r>
      <w:r w:rsidRPr="00CC1549">
        <w:rPr>
          <w:rStyle w:val="Textoennegrita"/>
          <w:rFonts w:ascii="Arial" w:hAnsi="Arial"/>
          <w:b w:val="0"/>
          <w:i/>
          <w:color w:val="000000"/>
          <w:sz w:val="24"/>
          <w:szCs w:val="24"/>
        </w:rPr>
        <w:t>"Por medio del cual se modifica parcialmente el Acuerdo 201 de 2005 y se adoptan medidas en materia de Impuesto Predial Unificado"</w:t>
      </w:r>
      <w:r w:rsidRPr="00CC1549">
        <w:rPr>
          <w:rStyle w:val="Textoennegrita"/>
          <w:rFonts w:ascii="Arial" w:hAnsi="Arial"/>
          <w:b w:val="0"/>
          <w:color w:val="000000"/>
          <w:sz w:val="24"/>
          <w:szCs w:val="24"/>
        </w:rPr>
        <w:t>, derogó el artículo 4 del Acuerdo 105 de 2003 consagrando una exención del impuesto predial para aquellos bienes declarados como monumentos nacionales o inmuebles de interés cultural del ámbito nacional o distrital.</w:t>
      </w:r>
    </w:p>
    <w:p w14:paraId="1DB4EB3F" w14:textId="77777777" w:rsidR="008704E4" w:rsidRPr="00CC1549" w:rsidRDefault="008704E4" w:rsidP="008704E4">
      <w:pPr>
        <w:jc w:val="both"/>
        <w:rPr>
          <w:rFonts w:ascii="Arial" w:hAnsi="Arial"/>
          <w:sz w:val="24"/>
          <w:szCs w:val="24"/>
        </w:rPr>
      </w:pPr>
    </w:p>
    <w:p w14:paraId="40B18443" w14:textId="77777777" w:rsidR="008704E4" w:rsidRPr="00CC1549" w:rsidRDefault="008704E4" w:rsidP="008704E4">
      <w:pPr>
        <w:jc w:val="both"/>
        <w:rPr>
          <w:rFonts w:ascii="Arial" w:hAnsi="Arial"/>
          <w:sz w:val="24"/>
          <w:szCs w:val="24"/>
        </w:rPr>
      </w:pPr>
      <w:r w:rsidRPr="00CC1549">
        <w:rPr>
          <w:rStyle w:val="Textoennegrita"/>
          <w:rFonts w:ascii="Arial" w:hAnsi="Arial"/>
          <w:b w:val="0"/>
          <w:color w:val="000000"/>
          <w:sz w:val="24"/>
          <w:szCs w:val="24"/>
        </w:rPr>
        <w:t>Este Acuerdo incluyó los siguientes criterios:</w:t>
      </w:r>
    </w:p>
    <w:p w14:paraId="752BD6E7" w14:textId="77777777" w:rsidR="008704E4" w:rsidRPr="00CC1549" w:rsidRDefault="008704E4" w:rsidP="008704E4">
      <w:pPr>
        <w:jc w:val="both"/>
        <w:rPr>
          <w:rFonts w:ascii="Arial" w:hAnsi="Arial"/>
          <w:sz w:val="24"/>
          <w:szCs w:val="24"/>
        </w:rPr>
      </w:pPr>
    </w:p>
    <w:p w14:paraId="2DE05095" w14:textId="77777777" w:rsidR="008704E4" w:rsidRPr="00CC1549" w:rsidRDefault="008704E4" w:rsidP="008704E4">
      <w:pPr>
        <w:rPr>
          <w:rFonts w:ascii="Arial" w:hAnsi="Arial"/>
          <w:color w:val="000000"/>
          <w:sz w:val="24"/>
          <w:szCs w:val="24"/>
        </w:rPr>
      </w:pPr>
      <w:r w:rsidRPr="00CC1549">
        <w:rPr>
          <w:rFonts w:ascii="Arial" w:hAnsi="Arial"/>
          <w:color w:val="000000"/>
          <w:sz w:val="24"/>
          <w:szCs w:val="24"/>
        </w:rPr>
        <w:t>1. Disminución del monto de la exención.</w:t>
      </w:r>
    </w:p>
    <w:p w14:paraId="118036EE" w14:textId="77777777" w:rsidR="008704E4" w:rsidRPr="00CC1549" w:rsidRDefault="008704E4" w:rsidP="008704E4">
      <w:pPr>
        <w:rPr>
          <w:rFonts w:ascii="Arial" w:hAnsi="Arial"/>
          <w:color w:val="000000"/>
          <w:sz w:val="24"/>
          <w:szCs w:val="24"/>
        </w:rPr>
      </w:pPr>
    </w:p>
    <w:p w14:paraId="7EC7F0EB" w14:textId="77777777" w:rsidR="008704E4" w:rsidRPr="00CC1549" w:rsidRDefault="008704E4" w:rsidP="008704E4">
      <w:pPr>
        <w:jc w:val="both"/>
        <w:rPr>
          <w:rFonts w:ascii="Arial" w:hAnsi="Arial"/>
          <w:color w:val="000000"/>
          <w:sz w:val="24"/>
          <w:szCs w:val="24"/>
        </w:rPr>
      </w:pPr>
      <w:r w:rsidRPr="00CC1549">
        <w:rPr>
          <w:rFonts w:ascii="Arial" w:hAnsi="Arial"/>
          <w:color w:val="000000"/>
          <w:sz w:val="24"/>
          <w:szCs w:val="24"/>
        </w:rPr>
        <w:t xml:space="preserve">2. Nuevos criterios de acceso y permanencia a la exención para garantizar la conservación del inmueble: Pago oportuno, -Uso residencial, comercial, dotacional, industrial o financiero, -Máximo 5 pisos construidos, -Equiparación al estrato 1 para pago de servicios. </w:t>
      </w:r>
    </w:p>
    <w:p w14:paraId="57726ADF" w14:textId="77777777" w:rsidR="008704E4" w:rsidRPr="00CC1549" w:rsidRDefault="008704E4" w:rsidP="008704E4">
      <w:pPr>
        <w:rPr>
          <w:rFonts w:ascii="Arial" w:hAnsi="Arial"/>
          <w:color w:val="000000"/>
          <w:sz w:val="24"/>
          <w:szCs w:val="24"/>
        </w:rPr>
      </w:pPr>
    </w:p>
    <w:p w14:paraId="5B7ABE75" w14:textId="77777777" w:rsidR="008704E4" w:rsidRPr="00CC1549" w:rsidRDefault="008704E4" w:rsidP="008704E4">
      <w:pPr>
        <w:jc w:val="both"/>
        <w:rPr>
          <w:rFonts w:ascii="Arial" w:hAnsi="Arial"/>
          <w:color w:val="000000"/>
          <w:sz w:val="24"/>
          <w:szCs w:val="24"/>
        </w:rPr>
      </w:pPr>
      <w:r w:rsidRPr="00CC1549">
        <w:rPr>
          <w:rFonts w:ascii="Arial" w:hAnsi="Arial"/>
          <w:color w:val="000000"/>
          <w:sz w:val="24"/>
          <w:szCs w:val="24"/>
        </w:rPr>
        <w:t>3. Establecimiento de un sistema coordinado y eficiente de competencias entre las autoridades, con asignación de recursos previstos en el presupuesto anual y girados por la Secretaría de Hacienda de Bogotá, directamente al Instituto Distrital de Patrimonio Cultural o quien haga sus veces.</w:t>
      </w:r>
    </w:p>
    <w:p w14:paraId="0EE9795B" w14:textId="77777777" w:rsidR="008704E4" w:rsidRPr="00CC1549" w:rsidRDefault="008704E4" w:rsidP="008704E4">
      <w:pPr>
        <w:rPr>
          <w:rFonts w:ascii="Arial" w:hAnsi="Arial"/>
          <w:color w:val="000000"/>
          <w:sz w:val="24"/>
          <w:szCs w:val="24"/>
        </w:rPr>
      </w:pPr>
    </w:p>
    <w:p w14:paraId="2DE14C49" w14:textId="77777777" w:rsidR="008704E4" w:rsidRPr="00CC1549" w:rsidRDefault="008704E4" w:rsidP="008704E4">
      <w:pPr>
        <w:jc w:val="both"/>
        <w:rPr>
          <w:rFonts w:ascii="Arial" w:hAnsi="Arial"/>
          <w:color w:val="000000"/>
          <w:sz w:val="24"/>
          <w:szCs w:val="24"/>
        </w:rPr>
      </w:pPr>
      <w:r w:rsidRPr="00CC1549">
        <w:rPr>
          <w:rFonts w:ascii="Arial" w:hAnsi="Arial"/>
          <w:color w:val="000000"/>
          <w:sz w:val="24"/>
          <w:szCs w:val="24"/>
        </w:rPr>
        <w:t>4. Exención para los estratos 5 y 6 en edificaciones de hasta 3 pisos, exención para los estratos 5 y 6 en edificaciones de 4 y 5 pisos.</w:t>
      </w:r>
    </w:p>
    <w:p w14:paraId="37385726" w14:textId="77777777" w:rsidR="008704E4" w:rsidRPr="00CC1549" w:rsidRDefault="008704E4" w:rsidP="008704E4">
      <w:pPr>
        <w:rPr>
          <w:rFonts w:ascii="Arial" w:hAnsi="Arial"/>
          <w:color w:val="000000"/>
          <w:sz w:val="24"/>
          <w:szCs w:val="24"/>
        </w:rPr>
      </w:pPr>
    </w:p>
    <w:p w14:paraId="0774235A" w14:textId="77777777" w:rsidR="008704E4" w:rsidRPr="00CC1549" w:rsidRDefault="008704E4" w:rsidP="008704E4">
      <w:pPr>
        <w:jc w:val="both"/>
        <w:rPr>
          <w:rFonts w:ascii="Arial" w:hAnsi="Arial"/>
          <w:sz w:val="24"/>
          <w:szCs w:val="24"/>
        </w:rPr>
      </w:pPr>
      <w:r w:rsidRPr="00CC1549">
        <w:rPr>
          <w:rStyle w:val="Textoennegrita"/>
          <w:rFonts w:ascii="Arial" w:hAnsi="Arial"/>
          <w:b w:val="0"/>
          <w:color w:val="000000"/>
          <w:sz w:val="24"/>
          <w:szCs w:val="24"/>
        </w:rPr>
        <w:t>5. Reconocimiento de la exención para dotacionales privados, comercio y servicios industriales y financieros del 10%.</w:t>
      </w:r>
    </w:p>
    <w:p w14:paraId="0D7CDF4F" w14:textId="77777777" w:rsidR="008704E4" w:rsidRPr="00CC1549" w:rsidRDefault="008704E4" w:rsidP="008704E4">
      <w:pPr>
        <w:jc w:val="both"/>
        <w:rPr>
          <w:rFonts w:ascii="Arial" w:hAnsi="Arial"/>
          <w:sz w:val="24"/>
          <w:szCs w:val="24"/>
        </w:rPr>
      </w:pPr>
    </w:p>
    <w:p w14:paraId="0A8F823D" w14:textId="77777777" w:rsidR="008704E4" w:rsidRPr="00CC1549" w:rsidRDefault="008704E4" w:rsidP="008704E4">
      <w:pPr>
        <w:jc w:val="both"/>
        <w:rPr>
          <w:rFonts w:ascii="Arial" w:hAnsi="Arial"/>
          <w:b/>
          <w:color w:val="000000"/>
          <w:sz w:val="24"/>
          <w:szCs w:val="24"/>
        </w:rPr>
      </w:pPr>
      <w:r w:rsidRPr="00CC1549">
        <w:rPr>
          <w:rStyle w:val="Textoennegrita"/>
          <w:rFonts w:ascii="Arial" w:hAnsi="Arial"/>
          <w:b w:val="0"/>
          <w:color w:val="000000"/>
          <w:sz w:val="24"/>
          <w:szCs w:val="24"/>
        </w:rPr>
        <w:t>Finalmente, en el artículo 6 del Acuerdo 426 de 2009 se dispuso la vigencia de dicha exención, la cual aplicaría desde el 1 de enero de 2010 hasta el 31 de diciembre de 2013.</w:t>
      </w:r>
    </w:p>
    <w:p w14:paraId="3E841BE7" w14:textId="77777777" w:rsidR="008704E4" w:rsidRPr="00CC1549" w:rsidRDefault="008704E4" w:rsidP="008704E4">
      <w:pPr>
        <w:jc w:val="both"/>
        <w:rPr>
          <w:rFonts w:ascii="Arial" w:hAnsi="Arial"/>
          <w:color w:val="000000"/>
          <w:sz w:val="24"/>
          <w:szCs w:val="24"/>
        </w:rPr>
      </w:pPr>
    </w:p>
    <w:p w14:paraId="6D2F3A2B" w14:textId="512C1F3B" w:rsidR="008704E4" w:rsidRPr="00CC1549" w:rsidRDefault="008704E4" w:rsidP="008704E4">
      <w:pPr>
        <w:jc w:val="both"/>
        <w:rPr>
          <w:rStyle w:val="Teletipo"/>
          <w:rFonts w:ascii="Arial" w:hAnsi="Arial"/>
          <w:sz w:val="24"/>
          <w:szCs w:val="24"/>
        </w:rPr>
      </w:pPr>
      <w:r w:rsidRPr="00CC1549">
        <w:rPr>
          <w:rStyle w:val="Teletipo"/>
          <w:rFonts w:ascii="Arial" w:hAnsi="Arial"/>
          <w:color w:val="000000"/>
          <w:sz w:val="24"/>
          <w:szCs w:val="24"/>
        </w:rPr>
        <w:t xml:space="preserve">El Acuerdo </w:t>
      </w:r>
      <w:r w:rsidRPr="00CC1549">
        <w:rPr>
          <w:rStyle w:val="Teletipo"/>
          <w:rFonts w:ascii="Arial" w:hAnsi="Arial"/>
          <w:sz w:val="24"/>
          <w:szCs w:val="24"/>
        </w:rPr>
        <w:t>543 de 2013, señaló que la exención prevista en el presente Acuerdo para los bienes de interés cultural estará vigente a partir del 1° de enero de 2010 y hasta el 31 de diciembre de 2019.</w:t>
      </w:r>
    </w:p>
    <w:p w14:paraId="47D767E0" w14:textId="77777777" w:rsidR="008704E4" w:rsidRPr="00CC1549" w:rsidRDefault="008704E4" w:rsidP="008704E4">
      <w:pPr>
        <w:jc w:val="both"/>
        <w:rPr>
          <w:rStyle w:val="Textoennegrita"/>
          <w:color w:val="000000"/>
          <w:sz w:val="24"/>
          <w:szCs w:val="24"/>
        </w:rPr>
      </w:pPr>
    </w:p>
    <w:p w14:paraId="2DB8D7B7" w14:textId="77777777" w:rsidR="008704E4" w:rsidRPr="00CC1549" w:rsidRDefault="008704E4" w:rsidP="008704E4">
      <w:pPr>
        <w:jc w:val="both"/>
        <w:rPr>
          <w:rStyle w:val="Textoennegrita"/>
          <w:rFonts w:ascii="Arial" w:hAnsi="Arial"/>
          <w:b w:val="0"/>
          <w:color w:val="000000"/>
          <w:sz w:val="24"/>
          <w:szCs w:val="24"/>
        </w:rPr>
      </w:pPr>
      <w:r w:rsidRPr="00CC1549">
        <w:rPr>
          <w:rStyle w:val="Textoennegrita"/>
          <w:rFonts w:ascii="Arial" w:hAnsi="Arial"/>
          <w:b w:val="0"/>
          <w:color w:val="000000"/>
          <w:sz w:val="24"/>
          <w:szCs w:val="24"/>
        </w:rPr>
        <w:t>Considerando entonces que tal exención tributaria está prevista para la preservación de los bienes de interés cultural que guardan la memoria histórica de la ciudad se hace necesario mantener la misma y prorrogarla por otros 10 años más, según lo dispuesto en la Ley 14 de 1983.</w:t>
      </w:r>
    </w:p>
    <w:p w14:paraId="27384B11" w14:textId="77777777" w:rsidR="008704E4" w:rsidRPr="00CC1549" w:rsidRDefault="008704E4" w:rsidP="008704E4">
      <w:pPr>
        <w:jc w:val="both"/>
        <w:rPr>
          <w:rFonts w:ascii="Arial" w:hAnsi="Arial"/>
          <w:color w:val="333333"/>
          <w:sz w:val="24"/>
          <w:szCs w:val="24"/>
        </w:rPr>
      </w:pPr>
    </w:p>
    <w:p w14:paraId="35A49EDF" w14:textId="77777777" w:rsidR="008704E4" w:rsidRPr="00CC1549" w:rsidRDefault="008704E4" w:rsidP="008704E4">
      <w:pPr>
        <w:jc w:val="both"/>
        <w:rPr>
          <w:rFonts w:ascii="Arial" w:hAnsi="Arial"/>
          <w:sz w:val="24"/>
          <w:szCs w:val="24"/>
        </w:rPr>
      </w:pPr>
      <w:r w:rsidRPr="00CC1549">
        <w:rPr>
          <w:rFonts w:ascii="Arial" w:hAnsi="Arial"/>
          <w:sz w:val="24"/>
          <w:szCs w:val="24"/>
        </w:rPr>
        <w:t>Ahora de presente la necesidad de prorrogar las mencionadas exenciones tributarias, vale mencionar lo contenido al particular en el Marco Fiscal de Mediano Plazo 2019 -2029, en el cual se incluyen en el costo fiscal las exenciones que se prorrogan.</w:t>
      </w:r>
    </w:p>
    <w:p w14:paraId="076FA6BC" w14:textId="77777777" w:rsidR="008704E4" w:rsidRPr="00CC1549" w:rsidRDefault="008704E4" w:rsidP="008704E4">
      <w:pPr>
        <w:jc w:val="both"/>
        <w:rPr>
          <w:rFonts w:ascii="Arial" w:hAnsi="Arial"/>
          <w:i/>
          <w:sz w:val="24"/>
          <w:szCs w:val="24"/>
        </w:rPr>
      </w:pPr>
    </w:p>
    <w:p w14:paraId="387D4606" w14:textId="77777777" w:rsidR="00DB75C9" w:rsidRDefault="00DB75C9">
      <w:pPr>
        <w:rPr>
          <w:rFonts w:ascii="Arial" w:hAnsi="Arial"/>
          <w:b/>
          <w:sz w:val="24"/>
          <w:szCs w:val="24"/>
        </w:rPr>
      </w:pPr>
      <w:bookmarkStart w:id="2" w:name="_Hlk13847883"/>
      <w:r>
        <w:rPr>
          <w:rFonts w:ascii="Arial" w:hAnsi="Arial"/>
          <w:b/>
          <w:sz w:val="24"/>
          <w:szCs w:val="24"/>
        </w:rPr>
        <w:br w:type="page"/>
      </w:r>
    </w:p>
    <w:p w14:paraId="2729E40E" w14:textId="6FE82917" w:rsidR="008704E4" w:rsidRPr="00B15AEE" w:rsidRDefault="008704E4" w:rsidP="00CC1549">
      <w:pPr>
        <w:jc w:val="center"/>
        <w:rPr>
          <w:rFonts w:ascii="Arial" w:hAnsi="Arial"/>
          <w:i/>
        </w:rPr>
      </w:pPr>
      <w:r w:rsidRPr="00CC1549">
        <w:rPr>
          <w:rFonts w:ascii="Arial" w:hAnsi="Arial"/>
          <w:b/>
          <w:sz w:val="24"/>
          <w:szCs w:val="24"/>
        </w:rPr>
        <w:lastRenderedPageBreak/>
        <w:t>Cuadro 4.</w:t>
      </w:r>
      <w:r w:rsidRPr="00CC1549">
        <w:rPr>
          <w:rFonts w:ascii="Arial" w:hAnsi="Arial"/>
          <w:sz w:val="24"/>
          <w:szCs w:val="24"/>
        </w:rPr>
        <w:t xml:space="preserve"> Costo Fiscal de las Exenciones 2017-2018. Millones de pesos</w:t>
      </w:r>
      <w:bookmarkEnd w:id="2"/>
    </w:p>
    <w:p w14:paraId="0D1EA6B6" w14:textId="77777777" w:rsidR="008704E4" w:rsidRDefault="008704E4" w:rsidP="008704E4">
      <w:pPr>
        <w:jc w:val="both"/>
      </w:pPr>
      <w:r w:rsidRPr="00330E6E">
        <w:rPr>
          <w:noProof/>
          <w:lang w:val="es-CO" w:eastAsia="es-CO"/>
        </w:rPr>
        <w:drawing>
          <wp:inline distT="0" distB="0" distL="0" distR="0" wp14:anchorId="40A8BE74" wp14:editId="249F2D74">
            <wp:extent cx="5613400" cy="2705155"/>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3400" cy="2705155"/>
                    </a:xfrm>
                    <a:prstGeom prst="rect">
                      <a:avLst/>
                    </a:prstGeom>
                    <a:noFill/>
                    <a:ln>
                      <a:noFill/>
                    </a:ln>
                  </pic:spPr>
                </pic:pic>
              </a:graphicData>
            </a:graphic>
          </wp:inline>
        </w:drawing>
      </w:r>
    </w:p>
    <w:p w14:paraId="6BEE3B61" w14:textId="77777777" w:rsidR="008704E4" w:rsidRPr="00B7051F" w:rsidRDefault="008704E4" w:rsidP="008704E4">
      <w:pPr>
        <w:rPr>
          <w:rFonts w:ascii="Arial" w:hAnsi="Arial" w:cs="Arial"/>
          <w:sz w:val="16"/>
          <w:szCs w:val="16"/>
          <w:lang w:val="es-ES"/>
        </w:rPr>
      </w:pPr>
      <w:r w:rsidRPr="008C69B2">
        <w:rPr>
          <w:rFonts w:ascii="Arial" w:hAnsi="Arial"/>
          <w:i/>
        </w:rPr>
        <w:t xml:space="preserve">                            </w:t>
      </w:r>
      <w:r w:rsidRPr="00B7051F">
        <w:rPr>
          <w:rFonts w:ascii="Arial" w:hAnsi="Arial" w:cs="Arial"/>
          <w:sz w:val="16"/>
          <w:szCs w:val="16"/>
          <w:lang w:val="es-ES"/>
        </w:rPr>
        <w:t xml:space="preserve">Fuente: </w:t>
      </w:r>
      <w:r>
        <w:rPr>
          <w:rFonts w:ascii="Arial" w:hAnsi="Arial" w:cs="Arial"/>
          <w:sz w:val="16"/>
          <w:szCs w:val="16"/>
          <w:lang w:val="es-ES"/>
        </w:rPr>
        <w:t>Secretaria Distrital de Hacienda – Marco Fiscal de Mediano Plazo</w:t>
      </w:r>
    </w:p>
    <w:p w14:paraId="2D68D8F9" w14:textId="77777777" w:rsidR="008704E4" w:rsidRPr="008C69B2" w:rsidRDefault="008704E4" w:rsidP="008704E4">
      <w:pPr>
        <w:jc w:val="both"/>
        <w:rPr>
          <w:rFonts w:ascii="Arial" w:hAnsi="Arial"/>
          <w:i/>
          <w:lang w:val="es-ES"/>
        </w:rPr>
      </w:pPr>
    </w:p>
    <w:p w14:paraId="2A588F1E" w14:textId="77777777" w:rsidR="008704E4" w:rsidRPr="00C342F8" w:rsidRDefault="008704E4" w:rsidP="008704E4">
      <w:pPr>
        <w:jc w:val="both"/>
        <w:rPr>
          <w:rFonts w:ascii="Arial" w:hAnsi="Arial"/>
          <w:i/>
        </w:rPr>
      </w:pPr>
    </w:p>
    <w:p w14:paraId="22773064" w14:textId="77777777" w:rsidR="008704E4" w:rsidRPr="00CC1549" w:rsidRDefault="008704E4" w:rsidP="008704E4">
      <w:pPr>
        <w:jc w:val="both"/>
        <w:rPr>
          <w:rFonts w:ascii="Arial" w:hAnsi="Arial"/>
          <w:color w:val="000000"/>
          <w:sz w:val="24"/>
          <w:szCs w:val="24"/>
        </w:rPr>
      </w:pPr>
      <w:r w:rsidRPr="00CC1549">
        <w:rPr>
          <w:rStyle w:val="Textoennegrita"/>
          <w:rFonts w:ascii="Arial" w:hAnsi="Arial"/>
          <w:b w:val="0"/>
          <w:color w:val="000000"/>
          <w:sz w:val="24"/>
          <w:szCs w:val="24"/>
        </w:rPr>
        <w:t>De presente lo anterior, vale señalar el marco jurídico de la exención en impuesto predial para los Bienes de Interés Cultural, para ello l</w:t>
      </w:r>
      <w:r w:rsidRPr="00CC1549">
        <w:rPr>
          <w:rFonts w:ascii="Arial" w:hAnsi="Arial"/>
          <w:color w:val="000000"/>
          <w:sz w:val="24"/>
          <w:szCs w:val="24"/>
        </w:rPr>
        <w:t xml:space="preserve">a Constitución Política, sobre el Patrimonio Cultural establece: </w:t>
      </w:r>
    </w:p>
    <w:p w14:paraId="51883289" w14:textId="77777777" w:rsidR="008704E4" w:rsidRPr="00CC1549" w:rsidRDefault="008704E4" w:rsidP="008704E4">
      <w:pPr>
        <w:jc w:val="both"/>
        <w:rPr>
          <w:rFonts w:ascii="Arial" w:hAnsi="Arial"/>
          <w:color w:val="000000"/>
          <w:sz w:val="24"/>
          <w:szCs w:val="24"/>
        </w:rPr>
      </w:pPr>
    </w:p>
    <w:p w14:paraId="7107932C" w14:textId="77777777" w:rsidR="008704E4" w:rsidRPr="00DB75C9" w:rsidRDefault="008704E4" w:rsidP="008704E4">
      <w:pPr>
        <w:pStyle w:val="cuerpotexto"/>
        <w:spacing w:before="0" w:after="0" w:line="200" w:lineRule="atLeast"/>
        <w:ind w:left="818" w:right="900" w:firstLine="0"/>
        <w:rPr>
          <w:rFonts w:ascii="Arial" w:hAnsi="Arial" w:cs="Arial"/>
          <w:i/>
          <w:sz w:val="22"/>
          <w:szCs w:val="22"/>
        </w:rPr>
      </w:pPr>
      <w:r w:rsidRPr="00DB75C9">
        <w:rPr>
          <w:rFonts w:ascii="Arial" w:eastAsia="Arial" w:hAnsi="Arial" w:cs="Arial"/>
          <w:i/>
          <w:sz w:val="22"/>
          <w:szCs w:val="22"/>
        </w:rPr>
        <w:t>“</w:t>
      </w:r>
      <w:r w:rsidRPr="00DB75C9">
        <w:rPr>
          <w:rFonts w:ascii="Arial" w:hAnsi="Arial" w:cs="Arial"/>
          <w:i/>
          <w:sz w:val="22"/>
          <w:szCs w:val="22"/>
        </w:rPr>
        <w:t>ARTICULO 8. Es obligación del Estado y de las personas proteger las riquezas culturales y naturales de la Nación”.</w:t>
      </w:r>
    </w:p>
    <w:p w14:paraId="4AA60448" w14:textId="77777777" w:rsidR="008704E4" w:rsidRPr="00DB75C9" w:rsidRDefault="008704E4" w:rsidP="008704E4">
      <w:pPr>
        <w:pStyle w:val="cuerpotexto"/>
        <w:spacing w:before="0" w:after="0" w:line="200" w:lineRule="atLeast"/>
        <w:ind w:left="818" w:right="900" w:firstLine="0"/>
        <w:rPr>
          <w:rFonts w:ascii="Arial" w:hAnsi="Arial" w:cs="Arial"/>
          <w:i/>
          <w:sz w:val="22"/>
          <w:szCs w:val="22"/>
        </w:rPr>
      </w:pPr>
    </w:p>
    <w:p w14:paraId="5DFF1D63" w14:textId="77777777" w:rsidR="008704E4" w:rsidRPr="00DB75C9" w:rsidRDefault="008704E4" w:rsidP="008704E4">
      <w:pPr>
        <w:pStyle w:val="cuerpotexto"/>
        <w:spacing w:before="0" w:after="0" w:line="200" w:lineRule="atLeast"/>
        <w:ind w:left="818" w:right="900" w:firstLine="0"/>
        <w:rPr>
          <w:rFonts w:ascii="Arial" w:hAnsi="Arial" w:cs="Arial"/>
          <w:sz w:val="22"/>
          <w:szCs w:val="22"/>
        </w:rPr>
      </w:pPr>
      <w:r w:rsidRPr="00DB75C9">
        <w:rPr>
          <w:rFonts w:ascii="Arial" w:hAnsi="Arial" w:cs="Arial"/>
          <w:i/>
          <w:sz w:val="22"/>
          <w:szCs w:val="22"/>
        </w:rPr>
        <w:t>(...)</w:t>
      </w:r>
    </w:p>
    <w:p w14:paraId="1F175A00" w14:textId="77777777" w:rsidR="008704E4" w:rsidRPr="00DB75C9" w:rsidRDefault="008704E4" w:rsidP="008704E4">
      <w:pPr>
        <w:spacing w:line="200" w:lineRule="atLeast"/>
        <w:ind w:left="818" w:right="900"/>
        <w:jc w:val="both"/>
        <w:rPr>
          <w:rStyle w:val="Textoennegrita"/>
          <w:rFonts w:ascii="Arial" w:eastAsia="Arial" w:hAnsi="Arial"/>
          <w:i/>
          <w:color w:val="000000"/>
          <w:sz w:val="22"/>
          <w:szCs w:val="22"/>
        </w:rPr>
      </w:pPr>
      <w:r w:rsidRPr="00DB75C9">
        <w:rPr>
          <w:rFonts w:ascii="Arial" w:hAnsi="Arial"/>
          <w:color w:val="000000"/>
          <w:sz w:val="22"/>
          <w:szCs w:val="22"/>
        </w:rPr>
        <w:tab/>
      </w:r>
      <w:r w:rsidRPr="00DB75C9">
        <w:rPr>
          <w:rFonts w:ascii="Arial" w:hAnsi="Arial"/>
          <w:color w:val="000000"/>
          <w:sz w:val="22"/>
          <w:szCs w:val="22"/>
        </w:rPr>
        <w:tab/>
      </w:r>
    </w:p>
    <w:p w14:paraId="5DE46F37" w14:textId="77777777" w:rsidR="008704E4" w:rsidRPr="00DB75C9" w:rsidRDefault="008704E4" w:rsidP="008704E4">
      <w:pPr>
        <w:spacing w:line="200" w:lineRule="atLeast"/>
        <w:ind w:left="818" w:right="900"/>
        <w:jc w:val="both"/>
        <w:rPr>
          <w:rFonts w:ascii="Arial" w:hAnsi="Arial"/>
          <w:b/>
          <w:color w:val="000000"/>
          <w:sz w:val="22"/>
          <w:szCs w:val="22"/>
        </w:rPr>
      </w:pPr>
      <w:r w:rsidRPr="00DB75C9">
        <w:rPr>
          <w:rStyle w:val="Textoennegrita"/>
          <w:rFonts w:ascii="Arial" w:eastAsia="Arial" w:hAnsi="Arial"/>
          <w:b w:val="0"/>
          <w:i/>
          <w:color w:val="000000"/>
          <w:sz w:val="22"/>
          <w:szCs w:val="22"/>
        </w:rPr>
        <w:t>“</w:t>
      </w:r>
      <w:r w:rsidRPr="00DB75C9">
        <w:rPr>
          <w:rStyle w:val="Textoennegrita"/>
          <w:rFonts w:ascii="Arial" w:hAnsi="Arial"/>
          <w:b w:val="0"/>
          <w:i/>
          <w:color w:val="000000"/>
          <w:sz w:val="22"/>
          <w:szCs w:val="22"/>
        </w:rPr>
        <w:t xml:space="preserve">ARTICULO 70.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w:t>
      </w:r>
    </w:p>
    <w:p w14:paraId="1F8B7A2F" w14:textId="77777777" w:rsidR="008704E4" w:rsidRPr="00DB75C9" w:rsidRDefault="008704E4" w:rsidP="008704E4">
      <w:pPr>
        <w:ind w:left="818" w:right="900"/>
        <w:jc w:val="both"/>
        <w:rPr>
          <w:rFonts w:ascii="Arial" w:hAnsi="Arial"/>
          <w:color w:val="000000"/>
          <w:sz w:val="22"/>
          <w:szCs w:val="22"/>
        </w:rPr>
      </w:pPr>
    </w:p>
    <w:p w14:paraId="44DB1173" w14:textId="77777777" w:rsidR="008704E4" w:rsidRPr="00DB75C9" w:rsidRDefault="008704E4" w:rsidP="008704E4">
      <w:pPr>
        <w:pStyle w:val="Textoindependiente"/>
        <w:spacing w:after="0"/>
        <w:ind w:left="818" w:right="900"/>
        <w:jc w:val="both"/>
        <w:rPr>
          <w:rFonts w:ascii="Arial" w:hAnsi="Arial" w:cs="Arial"/>
          <w:i/>
          <w:iCs/>
          <w:color w:val="000000"/>
          <w:sz w:val="22"/>
          <w:szCs w:val="22"/>
        </w:rPr>
      </w:pPr>
      <w:r w:rsidRPr="00DB75C9">
        <w:rPr>
          <w:rFonts w:ascii="Arial" w:hAnsi="Arial" w:cs="Arial"/>
          <w:i/>
          <w:iCs/>
          <w:color w:val="000000"/>
          <w:sz w:val="22"/>
          <w:szCs w:val="22"/>
        </w:rPr>
        <w:t xml:space="preserve">La cultura en sus diversas manifestaciones es fundamento de la nacionalidad. El Estado reconoce la igualdad y dignidad de todas las que conviven en el país. El Estado promoverá la investigación, la ciencia, el desarrollo y la difusión de los valores culturales de la Nación. </w:t>
      </w:r>
    </w:p>
    <w:p w14:paraId="23394158" w14:textId="77777777" w:rsidR="008704E4" w:rsidRPr="00DB75C9" w:rsidRDefault="008704E4" w:rsidP="008704E4">
      <w:pPr>
        <w:pStyle w:val="Textoindependiente"/>
        <w:ind w:left="818" w:right="900"/>
        <w:jc w:val="both"/>
        <w:rPr>
          <w:rFonts w:ascii="Arial" w:hAnsi="Arial" w:cs="Arial"/>
          <w:i/>
          <w:iCs/>
          <w:color w:val="000000"/>
          <w:sz w:val="22"/>
          <w:szCs w:val="22"/>
        </w:rPr>
      </w:pPr>
    </w:p>
    <w:p w14:paraId="668C9B44" w14:textId="77777777" w:rsidR="008704E4" w:rsidRPr="00DB75C9" w:rsidRDefault="008704E4" w:rsidP="008704E4">
      <w:pPr>
        <w:pStyle w:val="Textoindependiente"/>
        <w:spacing w:after="0"/>
        <w:ind w:left="818" w:right="900"/>
        <w:jc w:val="both"/>
        <w:rPr>
          <w:rFonts w:ascii="Arial" w:hAnsi="Arial" w:cs="Arial"/>
          <w:i/>
          <w:iCs/>
          <w:color w:val="000000"/>
          <w:sz w:val="22"/>
          <w:szCs w:val="22"/>
        </w:rPr>
      </w:pPr>
      <w:r w:rsidRPr="00DB75C9">
        <w:rPr>
          <w:rFonts w:ascii="Arial" w:hAnsi="Arial" w:cs="Arial"/>
          <w:i/>
          <w:iCs/>
          <w:color w:val="000000"/>
          <w:sz w:val="22"/>
          <w:szCs w:val="22"/>
        </w:rPr>
        <w:t xml:space="preserve">ARTICULO 71. La búsqueda del conocimiento y la expresión artística son libres. Los planes de desarrollo económico y social incluirán el fomento a las ciencias y, en general, a la cultura. El Estado creará incentivos para personas e instituciones que desarrollen y fomenten la ciencia y la </w:t>
      </w:r>
      <w:r w:rsidRPr="00DB75C9">
        <w:rPr>
          <w:rFonts w:ascii="Arial" w:hAnsi="Arial" w:cs="Arial"/>
          <w:i/>
          <w:iCs/>
          <w:color w:val="000000"/>
          <w:sz w:val="22"/>
          <w:szCs w:val="22"/>
        </w:rPr>
        <w:lastRenderedPageBreak/>
        <w:t xml:space="preserve">tecnología y las demás manifestaciones culturales y ofrecerá estímulos especiales a personas e instituciones que ejerzan estas actividades. </w:t>
      </w:r>
    </w:p>
    <w:p w14:paraId="3B2D78CA" w14:textId="77777777" w:rsidR="008704E4" w:rsidRPr="00DB75C9" w:rsidRDefault="008704E4" w:rsidP="008704E4">
      <w:pPr>
        <w:pStyle w:val="Textoindependiente"/>
        <w:ind w:left="818" w:right="900"/>
        <w:jc w:val="both"/>
        <w:rPr>
          <w:rFonts w:ascii="Arial" w:hAnsi="Arial" w:cs="Arial"/>
          <w:i/>
          <w:iCs/>
          <w:color w:val="000000"/>
          <w:sz w:val="22"/>
          <w:szCs w:val="22"/>
        </w:rPr>
      </w:pPr>
    </w:p>
    <w:p w14:paraId="5A7FA53D" w14:textId="77777777" w:rsidR="008704E4" w:rsidRPr="00DB75C9" w:rsidRDefault="008704E4" w:rsidP="008704E4">
      <w:pPr>
        <w:pStyle w:val="Textoindependiente"/>
        <w:spacing w:after="0"/>
        <w:ind w:left="818" w:right="900"/>
        <w:jc w:val="both"/>
        <w:rPr>
          <w:rFonts w:ascii="Arial" w:hAnsi="Arial" w:cs="Arial"/>
          <w:i/>
          <w:iCs/>
          <w:sz w:val="22"/>
          <w:szCs w:val="22"/>
        </w:rPr>
      </w:pPr>
      <w:r w:rsidRPr="00DB75C9">
        <w:rPr>
          <w:rFonts w:ascii="Arial" w:hAnsi="Arial" w:cs="Arial"/>
          <w:i/>
          <w:iCs/>
          <w:color w:val="000000"/>
          <w:sz w:val="22"/>
          <w:szCs w:val="22"/>
        </w:rPr>
        <w:t xml:space="preserve">ARTICULO 72. El patrimonio cultural de la Nación está bajo la protección del Estado. El patrimonio arqueológico y </w:t>
      </w:r>
      <w:r w:rsidRPr="00DB75C9">
        <w:rPr>
          <w:rFonts w:ascii="Arial" w:hAnsi="Arial" w:cs="Arial"/>
          <w:i/>
          <w:iCs/>
          <w:sz w:val="22"/>
          <w:szCs w:val="22"/>
        </w:rPr>
        <w:t xml:space="preserve">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 </w:t>
      </w:r>
    </w:p>
    <w:p w14:paraId="6DF2F66A" w14:textId="77777777" w:rsidR="008704E4" w:rsidRPr="00DB75C9" w:rsidRDefault="008704E4" w:rsidP="008704E4">
      <w:pPr>
        <w:pStyle w:val="Textoindependiente"/>
        <w:spacing w:after="0"/>
        <w:ind w:left="818" w:right="900"/>
        <w:jc w:val="both"/>
        <w:rPr>
          <w:rFonts w:ascii="Arial" w:hAnsi="Arial" w:cs="Arial"/>
          <w:i/>
          <w:iCs/>
          <w:sz w:val="22"/>
          <w:szCs w:val="22"/>
        </w:rPr>
      </w:pPr>
    </w:p>
    <w:p w14:paraId="1CE437DF" w14:textId="77777777" w:rsidR="008704E4" w:rsidRPr="00DB75C9" w:rsidRDefault="008704E4" w:rsidP="008704E4">
      <w:pPr>
        <w:pStyle w:val="Textoindependiente"/>
        <w:spacing w:after="0"/>
        <w:ind w:left="818" w:right="900"/>
        <w:jc w:val="both"/>
        <w:rPr>
          <w:rFonts w:ascii="Arial" w:hAnsi="Arial" w:cs="Arial"/>
          <w:i/>
          <w:iCs/>
          <w:sz w:val="22"/>
          <w:szCs w:val="22"/>
        </w:rPr>
      </w:pPr>
      <w:r w:rsidRPr="00DB75C9">
        <w:rPr>
          <w:rFonts w:ascii="Arial" w:eastAsia="Arial" w:hAnsi="Arial" w:cs="Arial"/>
          <w:i/>
          <w:iCs/>
          <w:sz w:val="22"/>
          <w:szCs w:val="22"/>
        </w:rPr>
        <w:t>“</w:t>
      </w:r>
      <w:r w:rsidRPr="00DB75C9">
        <w:rPr>
          <w:rFonts w:ascii="Arial" w:hAnsi="Arial" w:cs="Arial"/>
          <w:i/>
          <w:iCs/>
          <w:sz w:val="22"/>
          <w:szCs w:val="22"/>
        </w:rPr>
        <w:t xml:space="preserve">ARTICULO 313. Corresponde a los concejos: </w:t>
      </w:r>
    </w:p>
    <w:p w14:paraId="7A40271F" w14:textId="77777777" w:rsidR="008704E4" w:rsidRPr="00DB75C9" w:rsidRDefault="008704E4" w:rsidP="008704E4">
      <w:pPr>
        <w:pStyle w:val="Textoindependiente"/>
        <w:spacing w:after="0"/>
        <w:ind w:left="818" w:right="900"/>
        <w:jc w:val="both"/>
        <w:rPr>
          <w:rFonts w:ascii="Arial" w:hAnsi="Arial" w:cs="Arial"/>
          <w:i/>
          <w:iCs/>
          <w:sz w:val="22"/>
          <w:szCs w:val="22"/>
        </w:rPr>
      </w:pPr>
    </w:p>
    <w:p w14:paraId="0A29CA8C" w14:textId="77777777" w:rsidR="008704E4" w:rsidRPr="00DB75C9" w:rsidRDefault="008704E4" w:rsidP="008704E4">
      <w:pPr>
        <w:pStyle w:val="Textoindependiente"/>
        <w:spacing w:after="0"/>
        <w:ind w:left="818" w:right="900"/>
        <w:jc w:val="both"/>
        <w:rPr>
          <w:rFonts w:ascii="Arial" w:hAnsi="Arial" w:cs="Arial"/>
          <w:i/>
          <w:iCs/>
          <w:sz w:val="22"/>
          <w:szCs w:val="22"/>
        </w:rPr>
      </w:pPr>
      <w:r w:rsidRPr="00DB75C9">
        <w:rPr>
          <w:rFonts w:ascii="Arial" w:hAnsi="Arial" w:cs="Arial"/>
          <w:i/>
          <w:iCs/>
          <w:sz w:val="22"/>
          <w:szCs w:val="22"/>
        </w:rPr>
        <w:t>4. Votar de conformidad con la Constitución y la ley los tributos y los gastos locales.</w:t>
      </w:r>
    </w:p>
    <w:p w14:paraId="004C2120" w14:textId="77777777" w:rsidR="008704E4" w:rsidRPr="00DB75C9" w:rsidRDefault="008704E4" w:rsidP="008704E4">
      <w:pPr>
        <w:pStyle w:val="Textoindependiente"/>
        <w:spacing w:after="0"/>
        <w:ind w:left="818" w:right="900"/>
        <w:jc w:val="both"/>
        <w:rPr>
          <w:rFonts w:ascii="Arial" w:hAnsi="Arial" w:cs="Arial"/>
          <w:i/>
          <w:iCs/>
          <w:sz w:val="22"/>
          <w:szCs w:val="22"/>
        </w:rPr>
      </w:pPr>
    </w:p>
    <w:p w14:paraId="039F67F3" w14:textId="77777777" w:rsidR="008704E4" w:rsidRPr="00DB75C9" w:rsidRDefault="008704E4" w:rsidP="008704E4">
      <w:pPr>
        <w:pStyle w:val="Textoindependiente"/>
        <w:spacing w:after="0"/>
        <w:ind w:left="818" w:right="900"/>
        <w:jc w:val="both"/>
        <w:rPr>
          <w:rFonts w:ascii="Arial" w:hAnsi="Arial" w:cs="Arial"/>
          <w:i/>
          <w:iCs/>
          <w:sz w:val="22"/>
          <w:szCs w:val="22"/>
        </w:rPr>
      </w:pPr>
      <w:r w:rsidRPr="00DB75C9">
        <w:rPr>
          <w:rFonts w:ascii="Arial" w:hAnsi="Arial" w:cs="Arial"/>
          <w:i/>
          <w:iCs/>
          <w:sz w:val="22"/>
          <w:szCs w:val="22"/>
        </w:rPr>
        <w:t xml:space="preserve">9. Dictar las normas necesarias para el control, la preservación y defensa del patrimonio ecológico y cultural del municipio”. </w:t>
      </w:r>
    </w:p>
    <w:p w14:paraId="156385E9" w14:textId="77777777" w:rsidR="008704E4" w:rsidRPr="00DB75C9" w:rsidRDefault="008704E4" w:rsidP="008704E4">
      <w:pPr>
        <w:pStyle w:val="Textoindependiente"/>
        <w:spacing w:after="0"/>
        <w:ind w:left="818" w:right="900"/>
        <w:jc w:val="both"/>
        <w:rPr>
          <w:rFonts w:ascii="Arial" w:hAnsi="Arial" w:cs="Arial"/>
          <w:i/>
          <w:iCs/>
          <w:sz w:val="22"/>
          <w:szCs w:val="22"/>
        </w:rPr>
      </w:pPr>
    </w:p>
    <w:p w14:paraId="2614F913" w14:textId="77777777" w:rsidR="008704E4" w:rsidRPr="00DB75C9" w:rsidRDefault="008704E4" w:rsidP="008704E4">
      <w:pPr>
        <w:ind w:left="818" w:right="900"/>
        <w:jc w:val="both"/>
        <w:rPr>
          <w:rFonts w:ascii="Arial" w:hAnsi="Arial"/>
          <w:i/>
          <w:sz w:val="22"/>
          <w:szCs w:val="22"/>
        </w:rPr>
      </w:pPr>
      <w:r w:rsidRPr="00DB75C9">
        <w:rPr>
          <w:rFonts w:ascii="Arial" w:eastAsia="Arial" w:hAnsi="Arial"/>
          <w:i/>
          <w:sz w:val="22"/>
          <w:szCs w:val="22"/>
        </w:rPr>
        <w:t>“</w:t>
      </w:r>
      <w:r w:rsidRPr="00DB75C9">
        <w:rPr>
          <w:rFonts w:ascii="Arial" w:hAnsi="Arial"/>
          <w:i/>
          <w:sz w:val="22"/>
          <w:szCs w:val="22"/>
        </w:rPr>
        <w:t xml:space="preserve">ARTICULO 317. Solo los municipios podrán gravar la propiedad inmueble. Lo anterior no obsta para que otras entidades impongan contribución de valorización. </w:t>
      </w:r>
    </w:p>
    <w:p w14:paraId="0DA40EC2" w14:textId="77777777" w:rsidR="008704E4" w:rsidRPr="00DB75C9" w:rsidRDefault="008704E4" w:rsidP="008704E4">
      <w:pPr>
        <w:ind w:left="818" w:right="900"/>
        <w:jc w:val="both"/>
        <w:rPr>
          <w:rFonts w:ascii="Arial" w:hAnsi="Arial"/>
          <w:i/>
          <w:sz w:val="22"/>
          <w:szCs w:val="22"/>
        </w:rPr>
      </w:pPr>
    </w:p>
    <w:p w14:paraId="69D6D0D3" w14:textId="77777777" w:rsidR="008704E4" w:rsidRPr="00DB75C9" w:rsidRDefault="008704E4" w:rsidP="008704E4">
      <w:pPr>
        <w:pStyle w:val="Textoindependiente"/>
        <w:spacing w:after="0"/>
        <w:ind w:left="818" w:right="900"/>
        <w:jc w:val="both"/>
        <w:rPr>
          <w:rFonts w:ascii="Arial" w:hAnsi="Arial" w:cs="Arial"/>
          <w:sz w:val="22"/>
          <w:szCs w:val="22"/>
        </w:rPr>
      </w:pPr>
      <w:r w:rsidRPr="00DB75C9">
        <w:rPr>
          <w:rFonts w:ascii="Arial" w:hAnsi="Arial" w:cs="Arial"/>
          <w:i/>
          <w:iCs/>
          <w:sz w:val="22"/>
          <w:szCs w:val="22"/>
        </w:rPr>
        <w:t xml:space="preserve">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 </w:t>
      </w:r>
    </w:p>
    <w:p w14:paraId="71161484" w14:textId="77777777" w:rsidR="008704E4" w:rsidRPr="00CC1549" w:rsidRDefault="008704E4" w:rsidP="008704E4">
      <w:pPr>
        <w:jc w:val="both"/>
        <w:rPr>
          <w:rFonts w:ascii="Arial" w:hAnsi="Arial"/>
          <w:sz w:val="24"/>
          <w:szCs w:val="24"/>
        </w:rPr>
      </w:pPr>
    </w:p>
    <w:p w14:paraId="771DF6A6" w14:textId="0FDD52F3" w:rsidR="008704E4" w:rsidRPr="00CC1549" w:rsidRDefault="008704E4" w:rsidP="008704E4">
      <w:pPr>
        <w:pStyle w:val="xmsonormal"/>
        <w:shd w:val="clear" w:color="auto" w:fill="FFFFFF"/>
        <w:spacing w:before="0" w:beforeAutospacing="0" w:after="0" w:afterAutospacing="0"/>
        <w:jc w:val="both"/>
        <w:rPr>
          <w:rFonts w:ascii="Arial" w:hAnsi="Arial" w:cs="Arial"/>
          <w:color w:val="201F1E"/>
        </w:rPr>
      </w:pPr>
      <w:r w:rsidRPr="00CC1549">
        <w:rPr>
          <w:rFonts w:ascii="Arial" w:hAnsi="Arial" w:cs="Arial"/>
        </w:rPr>
        <w:t xml:space="preserve">Finalmente, la administración distrital propone la inclusión de una exención en el impuesto predial unificado del 50% para los predios dotacionales privados en los que de forma exclusiva, habitual o continua se desarrollen actividades de </w:t>
      </w:r>
      <w:r w:rsidR="005C1E9F">
        <w:rPr>
          <w:rFonts w:ascii="Arial" w:hAnsi="Arial" w:cs="Arial"/>
        </w:rPr>
        <w:t>las artes escénicas</w:t>
      </w:r>
      <w:r w:rsidRPr="00CC1549">
        <w:rPr>
          <w:rFonts w:ascii="Arial" w:hAnsi="Arial" w:cs="Arial"/>
        </w:rPr>
        <w:t xml:space="preserve"> o que estén ocupados por museos. </w:t>
      </w:r>
      <w:r w:rsidRPr="00CC1549">
        <w:rPr>
          <w:rFonts w:ascii="Arial" w:hAnsi="Arial" w:cs="Arial"/>
          <w:color w:val="201F1E"/>
        </w:rPr>
        <w:t>Esta exención tiene por objeto la reducción de la carga tributaria de un par de sectores que generan una externalidad positiva, que funcionan sin ánimo de lucro, y que por estar ubicados en bienes de interés cultural tienen la responsabilidad adicional de garantizar la preservación del patrimonio arquitectónico de la ciudad.</w:t>
      </w:r>
    </w:p>
    <w:p w14:paraId="538C3152" w14:textId="77777777" w:rsidR="008704E4" w:rsidRPr="00CC1549" w:rsidRDefault="008704E4" w:rsidP="008704E4">
      <w:pPr>
        <w:pStyle w:val="xmsonormal"/>
        <w:shd w:val="clear" w:color="auto" w:fill="FFFFFF"/>
        <w:spacing w:before="0" w:beforeAutospacing="0" w:after="0" w:afterAutospacing="0"/>
        <w:jc w:val="both"/>
        <w:rPr>
          <w:rFonts w:ascii="Arial" w:hAnsi="Arial" w:cs="Arial"/>
          <w:color w:val="201F1E"/>
        </w:rPr>
      </w:pPr>
    </w:p>
    <w:p w14:paraId="444CE9BC" w14:textId="7AC68ACB" w:rsidR="008704E4" w:rsidRPr="00CC1549" w:rsidRDefault="008704E4" w:rsidP="00DB75C9">
      <w:pPr>
        <w:autoSpaceDE w:val="0"/>
        <w:autoSpaceDN w:val="0"/>
        <w:adjustRightInd w:val="0"/>
        <w:jc w:val="both"/>
        <w:rPr>
          <w:rFonts w:ascii="Garamond-Bold" w:hAnsi="Garamond-Bold" w:cs="Garamond-Bold"/>
          <w:b/>
          <w:bCs/>
          <w:sz w:val="24"/>
          <w:szCs w:val="24"/>
          <w:lang w:val="es-ES" w:eastAsia="es-CO"/>
        </w:rPr>
      </w:pPr>
      <w:r w:rsidRPr="00CC1549">
        <w:rPr>
          <w:rFonts w:ascii="Arial" w:hAnsi="Arial" w:cs="Arial"/>
          <w:color w:val="201F1E"/>
          <w:sz w:val="24"/>
          <w:szCs w:val="24"/>
        </w:rPr>
        <w:t xml:space="preserve">En general, se observan teatros y museos que operan a distinta escala, es decir, los hay pequeños, medianos y grandes, teniendo estos últimos a nivel de creación, como de industria y desarrollo, un objetivo más comercial que los primeros. Tanto es esto que generan una capacidad económica importante en sus ingresos por taquilla, la cual está ligada igualmente a la demanda que tienen de su portafolio de </w:t>
      </w:r>
      <w:r w:rsidRPr="00CC1549">
        <w:rPr>
          <w:rFonts w:ascii="Arial" w:hAnsi="Arial" w:cs="Arial"/>
          <w:color w:val="201F1E"/>
          <w:sz w:val="24"/>
          <w:szCs w:val="24"/>
        </w:rPr>
        <w:lastRenderedPageBreak/>
        <w:t>servicios. Esta característica permite que su aporte a la economía nacional, en comparación a otros servicios culturales, sea mayor; por lo tanto, la teoría económica sugiere que este tipo de servicios culturales son capaces de generar mayores contribuciones para el desarrollo del sector (</w:t>
      </w:r>
      <w:r w:rsidRPr="00CC1549">
        <w:rPr>
          <w:rFonts w:ascii="Arial" w:hAnsi="Arial" w:cs="Arial"/>
          <w:sz w:val="24"/>
          <w:szCs w:val="24"/>
          <w:lang w:val="es-ES" w:eastAsia="es-CO"/>
        </w:rPr>
        <w:t>Diagnóstico económico de los espectáculos públicos de las artes escénicas en Bogotá: teatro, danza, música y circo, 2006).</w:t>
      </w:r>
    </w:p>
    <w:p w14:paraId="55AFAE0F" w14:textId="77777777" w:rsidR="008704E4" w:rsidRPr="00CC1549" w:rsidRDefault="008704E4" w:rsidP="008704E4">
      <w:pPr>
        <w:pStyle w:val="xmsonormal"/>
        <w:shd w:val="clear" w:color="auto" w:fill="FFFFFF"/>
        <w:spacing w:before="0" w:beforeAutospacing="0" w:after="0" w:afterAutospacing="0"/>
        <w:jc w:val="both"/>
        <w:rPr>
          <w:rFonts w:ascii="Arial" w:hAnsi="Arial" w:cs="Arial"/>
          <w:color w:val="201F1E"/>
        </w:rPr>
      </w:pPr>
      <w:r w:rsidRPr="00CC1549">
        <w:rPr>
          <w:rFonts w:ascii="Arial" w:hAnsi="Arial" w:cs="Arial"/>
          <w:color w:val="201F1E"/>
        </w:rPr>
        <w:t> </w:t>
      </w:r>
    </w:p>
    <w:p w14:paraId="4FB54A58" w14:textId="7E9C1D96" w:rsidR="008704E4" w:rsidRPr="00DB75C9" w:rsidRDefault="008704E4" w:rsidP="00DB75C9">
      <w:pPr>
        <w:autoSpaceDE w:val="0"/>
        <w:autoSpaceDN w:val="0"/>
        <w:adjustRightInd w:val="0"/>
        <w:jc w:val="both"/>
        <w:rPr>
          <w:rFonts w:ascii="Garamond-Bold" w:hAnsi="Garamond-Bold" w:cs="Garamond-Bold"/>
          <w:b/>
          <w:bCs/>
          <w:sz w:val="24"/>
          <w:szCs w:val="24"/>
          <w:lang w:val="es-ES" w:eastAsia="es-CO"/>
        </w:rPr>
      </w:pPr>
      <w:r w:rsidRPr="00CC1549">
        <w:rPr>
          <w:rFonts w:ascii="Arial" w:hAnsi="Arial" w:cs="Arial"/>
          <w:color w:val="201F1E"/>
          <w:sz w:val="24"/>
          <w:szCs w:val="24"/>
        </w:rPr>
        <w:t>En este sentido, existe una relación piramidal entre los pequeños, medianos y grandes servicios culturales, encontrándose los primeros en la base por ser los que mayor número de presentaciones realizan. Sin embargo, a pesar de ser los pequeños y medianos los de mayor número de presentaciones, son los de menores ingresos. Los grandes, por el contrario, realizan menos presentaciones, pero ostentan una mayor demanda lo cual les genera una mayor cantidad de ingresos</w:t>
      </w:r>
      <w:r w:rsidR="00DB75C9">
        <w:rPr>
          <w:rFonts w:ascii="Arial" w:hAnsi="Arial" w:cs="Arial"/>
          <w:color w:val="201F1E"/>
        </w:rPr>
        <w:t xml:space="preserve"> </w:t>
      </w:r>
      <w:r w:rsidR="00DB75C9" w:rsidRPr="00CC1549">
        <w:rPr>
          <w:rFonts w:ascii="Arial" w:hAnsi="Arial" w:cs="Arial"/>
          <w:color w:val="201F1E"/>
          <w:sz w:val="24"/>
          <w:szCs w:val="24"/>
        </w:rPr>
        <w:t>(</w:t>
      </w:r>
      <w:r w:rsidR="00DB75C9" w:rsidRPr="00CC1549">
        <w:rPr>
          <w:rFonts w:ascii="Arial" w:hAnsi="Arial" w:cs="Arial"/>
          <w:sz w:val="24"/>
          <w:szCs w:val="24"/>
          <w:lang w:val="es-ES" w:eastAsia="es-CO"/>
        </w:rPr>
        <w:t>Diagnóstico económico de los espectáculos públicos de las artes escénicas en Bogotá: teatro, danza, música y circo, 2006).</w:t>
      </w:r>
      <w:r w:rsidR="00DB75C9">
        <w:rPr>
          <w:rFonts w:ascii="Arial" w:hAnsi="Arial" w:cs="Arial"/>
          <w:sz w:val="24"/>
          <w:szCs w:val="24"/>
          <w:lang w:val="es-ES" w:eastAsia="es-CO"/>
        </w:rPr>
        <w:t xml:space="preserve"> </w:t>
      </w:r>
      <w:r w:rsidRPr="00CC1549">
        <w:rPr>
          <w:rFonts w:ascii="Arial" w:hAnsi="Arial" w:cs="Arial"/>
          <w:color w:val="201F1E"/>
          <w:sz w:val="24"/>
          <w:szCs w:val="24"/>
        </w:rPr>
        <w:t>Esto es, los pequeños teatros y museos que se encuentran ubicados en bienes de interés cultural tienen la obligación de garantizar la preservación del patrimonio histórico de la ciudad del cual hacen parte, pero la actividad que desarrollan es poco o nada lucrativa lo que imposibilita el cumplimiento de las obligaciones tributarias sustanciales a su cargo. Por ello, bien valdría la pena que el Distrito en aras de buscar garantizar la adecuada y debida preservación del patrimonio cultural de la ciudad, asuma una parte de la carga tributaria de estos contribuyentes.</w:t>
      </w:r>
    </w:p>
    <w:p w14:paraId="78F1E416" w14:textId="77777777" w:rsidR="008704E4" w:rsidRPr="00CC1549" w:rsidRDefault="008704E4" w:rsidP="008704E4">
      <w:pPr>
        <w:pStyle w:val="xmsonormal"/>
        <w:shd w:val="clear" w:color="auto" w:fill="FFFFFF"/>
        <w:spacing w:before="0" w:beforeAutospacing="0" w:after="0" w:afterAutospacing="0"/>
        <w:jc w:val="both"/>
        <w:rPr>
          <w:rFonts w:ascii="Arial" w:hAnsi="Arial" w:cs="Arial"/>
          <w:color w:val="201F1E"/>
        </w:rPr>
      </w:pPr>
      <w:r w:rsidRPr="00CC1549">
        <w:rPr>
          <w:rFonts w:ascii="Arial" w:hAnsi="Arial" w:cs="Arial"/>
          <w:color w:val="201F1E"/>
        </w:rPr>
        <w:t> </w:t>
      </w:r>
    </w:p>
    <w:p w14:paraId="72C82330" w14:textId="77777777" w:rsidR="008704E4" w:rsidRPr="00CC1549" w:rsidRDefault="008704E4" w:rsidP="008704E4">
      <w:pPr>
        <w:pStyle w:val="xmsonormal"/>
        <w:shd w:val="clear" w:color="auto" w:fill="FFFFFF"/>
        <w:spacing w:before="0" w:beforeAutospacing="0" w:after="0" w:afterAutospacing="0"/>
        <w:jc w:val="both"/>
        <w:rPr>
          <w:rFonts w:ascii="Arial" w:hAnsi="Arial" w:cs="Arial"/>
          <w:color w:val="201F1E"/>
        </w:rPr>
      </w:pPr>
      <w:r w:rsidRPr="00CC1549">
        <w:rPr>
          <w:rFonts w:ascii="Arial" w:hAnsi="Arial" w:cs="Arial"/>
          <w:color w:val="201F1E"/>
        </w:rPr>
        <w:t>En este sentido, los grandes teatros y museos, debido a su alta capacidad de generación de ingresos, deben aportar un porcentaje mayor para el mismo sector; así mismo las exenciones tributarias para dichos servicios culturales deben ser reducidas o eliminadas. Con esto se corrigen las externalidades negativas que puedan producirse con este mecanismo de financiación de la cultura.</w:t>
      </w:r>
    </w:p>
    <w:p w14:paraId="02FAEABE" w14:textId="77777777" w:rsidR="008704E4" w:rsidRPr="00CC1549" w:rsidRDefault="008704E4" w:rsidP="008704E4">
      <w:pPr>
        <w:pStyle w:val="xmsonormal"/>
        <w:shd w:val="clear" w:color="auto" w:fill="FFFFFF"/>
        <w:spacing w:before="0" w:beforeAutospacing="0" w:after="0" w:afterAutospacing="0"/>
        <w:jc w:val="both"/>
        <w:rPr>
          <w:rFonts w:ascii="Arial" w:hAnsi="Arial" w:cs="Arial"/>
          <w:color w:val="201F1E"/>
        </w:rPr>
      </w:pPr>
    </w:p>
    <w:p w14:paraId="6F0C29B4" w14:textId="48D1C3F3" w:rsidR="008704E4" w:rsidRDefault="008704E4" w:rsidP="008704E4">
      <w:pPr>
        <w:pStyle w:val="xmsonormal"/>
        <w:shd w:val="clear" w:color="auto" w:fill="FFFFFF"/>
        <w:spacing w:before="0" w:beforeAutospacing="0" w:after="0" w:afterAutospacing="0"/>
        <w:jc w:val="both"/>
        <w:rPr>
          <w:rFonts w:ascii="Arial" w:hAnsi="Arial" w:cs="Arial"/>
          <w:color w:val="201F1E"/>
        </w:rPr>
      </w:pPr>
      <w:r w:rsidRPr="00CC1549">
        <w:rPr>
          <w:rFonts w:ascii="Arial" w:hAnsi="Arial" w:cs="Arial"/>
          <w:color w:val="201F1E"/>
        </w:rPr>
        <w:t>En cuanto al impacto fiscal de esta exención, la administración distrital pudo establecer que en el primer año ascendería a $500 millones de pesos, es decir, el 0,02% del total del recaudo anual del impuesto predial, por lo que se puede afirmar que esta exención no tiene impacto fiscal en las finanzas de la ciudad.</w:t>
      </w:r>
    </w:p>
    <w:p w14:paraId="32571F9D" w14:textId="77777777" w:rsidR="00F824B7" w:rsidRPr="00CC1549" w:rsidRDefault="00F824B7" w:rsidP="008704E4">
      <w:pPr>
        <w:pStyle w:val="xmsonormal"/>
        <w:shd w:val="clear" w:color="auto" w:fill="FFFFFF"/>
        <w:spacing w:before="0" w:beforeAutospacing="0" w:after="0" w:afterAutospacing="0"/>
        <w:jc w:val="both"/>
        <w:rPr>
          <w:rFonts w:ascii="Arial" w:hAnsi="Arial" w:cs="Arial"/>
          <w:color w:val="201F1E"/>
        </w:rPr>
      </w:pPr>
    </w:p>
    <w:p w14:paraId="3F986132" w14:textId="77777777" w:rsidR="0068542B" w:rsidRPr="00285BA5" w:rsidRDefault="0068542B" w:rsidP="004144F4">
      <w:pPr>
        <w:jc w:val="both"/>
        <w:rPr>
          <w:rFonts w:ascii="Arial" w:hAnsi="Arial" w:cs="Arial"/>
          <w:sz w:val="24"/>
          <w:szCs w:val="24"/>
        </w:rPr>
      </w:pPr>
    </w:p>
    <w:p w14:paraId="2A67E52A" w14:textId="0D1B1595" w:rsidR="00B53E5E" w:rsidRPr="00337C60" w:rsidRDefault="00B53E5E" w:rsidP="008E1D1A">
      <w:pPr>
        <w:pStyle w:val="Prrafodelista"/>
        <w:numPr>
          <w:ilvl w:val="0"/>
          <w:numId w:val="18"/>
        </w:numPr>
        <w:jc w:val="both"/>
        <w:rPr>
          <w:rFonts w:ascii="Arial" w:hAnsi="Arial" w:cs="Arial"/>
          <w:b/>
          <w:sz w:val="24"/>
          <w:szCs w:val="24"/>
        </w:rPr>
      </w:pPr>
      <w:r w:rsidRPr="00337C60">
        <w:rPr>
          <w:rFonts w:ascii="Arial" w:hAnsi="Arial" w:cs="Arial"/>
          <w:b/>
          <w:sz w:val="24"/>
          <w:szCs w:val="24"/>
        </w:rPr>
        <w:t>Procedimiento Tributario</w:t>
      </w:r>
      <w:r w:rsidR="0087342A" w:rsidRPr="00337C60">
        <w:rPr>
          <w:rFonts w:ascii="Arial" w:hAnsi="Arial" w:cs="Arial"/>
          <w:b/>
          <w:sz w:val="24"/>
          <w:szCs w:val="24"/>
        </w:rPr>
        <w:t xml:space="preserve"> distrital</w:t>
      </w:r>
      <w:r w:rsidRPr="00337C60">
        <w:rPr>
          <w:rFonts w:ascii="Arial" w:hAnsi="Arial" w:cs="Arial"/>
          <w:b/>
          <w:sz w:val="24"/>
          <w:szCs w:val="24"/>
        </w:rPr>
        <w:t>.</w:t>
      </w:r>
    </w:p>
    <w:p w14:paraId="7A49944A" w14:textId="4E317D5D" w:rsidR="00380521" w:rsidRDefault="00380521" w:rsidP="00380521">
      <w:pPr>
        <w:jc w:val="both"/>
        <w:rPr>
          <w:rFonts w:ascii="Arial" w:hAnsi="Arial" w:cs="Arial"/>
          <w:b/>
          <w:sz w:val="24"/>
          <w:szCs w:val="24"/>
        </w:rPr>
      </w:pPr>
    </w:p>
    <w:p w14:paraId="569A3993" w14:textId="796CD348" w:rsidR="00D6446E" w:rsidRPr="00CC1549" w:rsidRDefault="00D6446E" w:rsidP="00D6446E">
      <w:pPr>
        <w:jc w:val="both"/>
        <w:rPr>
          <w:rFonts w:ascii="Arial" w:hAnsi="Arial"/>
          <w:sz w:val="24"/>
          <w:szCs w:val="24"/>
        </w:rPr>
      </w:pPr>
      <w:r w:rsidRPr="00CC1549">
        <w:rPr>
          <w:rFonts w:ascii="Arial" w:hAnsi="Arial"/>
          <w:sz w:val="24"/>
          <w:szCs w:val="24"/>
        </w:rPr>
        <w:t xml:space="preserve">En lo referente al procedimiento tributario distrital vale decir que el proyecto de acuerdo obedece a las necesidades de ajuste </w:t>
      </w:r>
      <w:r w:rsidR="00DB75C9" w:rsidRPr="00CC1549">
        <w:rPr>
          <w:rFonts w:ascii="Arial" w:hAnsi="Arial"/>
          <w:sz w:val="24"/>
          <w:szCs w:val="24"/>
        </w:rPr>
        <w:t>de este</w:t>
      </w:r>
      <w:r w:rsidRPr="00CC1549">
        <w:rPr>
          <w:rFonts w:ascii="Arial" w:hAnsi="Arial"/>
          <w:sz w:val="24"/>
          <w:szCs w:val="24"/>
        </w:rPr>
        <w:t>. Tales ajustes se proponen dentro del ámbito de competencias que la Constitución, la ley y la doctrina constitucional ha señalado para la autonomía territorial en materia procesal.</w:t>
      </w:r>
    </w:p>
    <w:p w14:paraId="759FA7FF" w14:textId="77777777" w:rsidR="00D6446E" w:rsidRPr="00CC1549" w:rsidRDefault="00D6446E" w:rsidP="00D6446E">
      <w:pPr>
        <w:jc w:val="both"/>
        <w:rPr>
          <w:rFonts w:ascii="Arial" w:hAnsi="Arial"/>
          <w:sz w:val="24"/>
          <w:szCs w:val="24"/>
        </w:rPr>
      </w:pPr>
    </w:p>
    <w:p w14:paraId="08FCDB8C" w14:textId="77777777" w:rsidR="00D6446E" w:rsidRPr="00CC1549" w:rsidRDefault="00D6446E" w:rsidP="00D6446E">
      <w:pPr>
        <w:jc w:val="both"/>
        <w:rPr>
          <w:rFonts w:ascii="Arial" w:hAnsi="Arial"/>
          <w:sz w:val="24"/>
          <w:szCs w:val="24"/>
        </w:rPr>
      </w:pPr>
      <w:r w:rsidRPr="00CC1549">
        <w:rPr>
          <w:rFonts w:ascii="Arial" w:hAnsi="Arial"/>
          <w:sz w:val="24"/>
          <w:szCs w:val="24"/>
        </w:rPr>
        <w:t xml:space="preserve">Inicialmente vale mencionar que la Constitución Política de Colombia ha dispuesto como capital de la República a la ciudad de Bogotá, para ello dispuso su organización como Distrito Capital, otorgándole un régimen especial: </w:t>
      </w:r>
    </w:p>
    <w:p w14:paraId="677F51B7" w14:textId="77777777" w:rsidR="00D6446E" w:rsidRPr="00CC1549" w:rsidRDefault="00D6446E" w:rsidP="00D6446E">
      <w:pPr>
        <w:jc w:val="both"/>
        <w:rPr>
          <w:rFonts w:ascii="Arial" w:hAnsi="Arial"/>
          <w:i/>
          <w:sz w:val="24"/>
          <w:szCs w:val="24"/>
        </w:rPr>
      </w:pPr>
    </w:p>
    <w:p w14:paraId="1A6EBABD" w14:textId="77777777" w:rsidR="00D6446E" w:rsidRPr="00DB75C9" w:rsidRDefault="00D6446E" w:rsidP="00D6446E">
      <w:pPr>
        <w:pStyle w:val="nueve"/>
        <w:spacing w:before="0" w:beforeAutospacing="0" w:after="0" w:afterAutospacing="0"/>
        <w:ind w:left="708"/>
        <w:jc w:val="both"/>
        <w:rPr>
          <w:rFonts w:ascii="Arial" w:hAnsi="Arial" w:cs="Arial"/>
          <w:i/>
          <w:iCs/>
          <w:sz w:val="22"/>
          <w:szCs w:val="22"/>
          <w:lang w:val="es-ES_tradnl" w:eastAsia="es-ES"/>
        </w:rPr>
      </w:pPr>
      <w:r w:rsidRPr="00DB75C9">
        <w:rPr>
          <w:rFonts w:ascii="Arial" w:hAnsi="Arial"/>
          <w:i/>
          <w:sz w:val="22"/>
          <w:szCs w:val="22"/>
          <w:lang w:val="en-US"/>
        </w:rPr>
        <w:t>“ART. 322, INC. 1º—Modificado.A.L.1/2000, art.1º. </w:t>
      </w:r>
      <w:r w:rsidRPr="00DB75C9">
        <w:rPr>
          <w:rFonts w:ascii="Arial" w:hAnsi="Arial" w:cs="Arial"/>
          <w:i/>
          <w:iCs/>
          <w:sz w:val="22"/>
          <w:szCs w:val="22"/>
          <w:lang w:val="es-ES_tradnl" w:eastAsia="es-ES"/>
        </w:rPr>
        <w:t>Bogotá, Capital de la República y del departamento de Cundinamarca, se organiza como Distrito Capital.</w:t>
      </w:r>
    </w:p>
    <w:p w14:paraId="24FEB5A9" w14:textId="77777777" w:rsidR="00D6446E" w:rsidRPr="00DB75C9" w:rsidRDefault="00D6446E" w:rsidP="00D6446E">
      <w:pPr>
        <w:pStyle w:val="nueve"/>
        <w:spacing w:before="180" w:beforeAutospacing="0" w:after="0" w:afterAutospacing="0"/>
        <w:ind w:left="708"/>
        <w:jc w:val="both"/>
        <w:rPr>
          <w:rFonts w:ascii="Arial" w:hAnsi="Arial" w:cs="Arial"/>
          <w:i/>
          <w:iCs/>
          <w:sz w:val="22"/>
          <w:szCs w:val="22"/>
          <w:lang w:val="es-ES_tradnl" w:eastAsia="es-ES"/>
        </w:rPr>
      </w:pPr>
      <w:r w:rsidRPr="00DB75C9">
        <w:rPr>
          <w:rFonts w:ascii="Arial" w:hAnsi="Arial" w:cs="Arial"/>
          <w:i/>
          <w:iCs/>
          <w:sz w:val="22"/>
          <w:szCs w:val="22"/>
          <w:lang w:val="es-ES_tradnl" w:eastAsia="es-ES"/>
        </w:rPr>
        <w:t>Su régimen político, fiscal y administrativo será el que determinen la Constitución, las leyes especiales que para el mismo se dicten y las disposiciones vigentes para los municipios.</w:t>
      </w:r>
    </w:p>
    <w:p w14:paraId="5A8BD56E" w14:textId="77777777" w:rsidR="00D6446E" w:rsidRPr="00DB75C9" w:rsidRDefault="00D6446E" w:rsidP="00D6446E">
      <w:pPr>
        <w:pStyle w:val="nueve"/>
        <w:spacing w:before="180" w:beforeAutospacing="0" w:after="0" w:afterAutospacing="0"/>
        <w:ind w:left="708"/>
        <w:jc w:val="both"/>
        <w:rPr>
          <w:rFonts w:ascii="Arial" w:hAnsi="Arial" w:cs="Arial"/>
          <w:i/>
          <w:iCs/>
          <w:sz w:val="22"/>
          <w:szCs w:val="22"/>
          <w:lang w:val="es-ES_tradnl" w:eastAsia="es-ES"/>
        </w:rPr>
      </w:pPr>
      <w:r w:rsidRPr="00DB75C9">
        <w:rPr>
          <w:rFonts w:ascii="Arial" w:hAnsi="Arial" w:cs="Arial"/>
          <w:i/>
          <w:iCs/>
          <w:sz w:val="22"/>
          <w:szCs w:val="22"/>
          <w:lang w:val="es-ES_tradnl" w:eastAsia="es-ES"/>
        </w:rPr>
        <w:t>Con base en las normas generales que establezca la ley, el concejo a iniciativa del alcalde, dividirá el territorio distrital en localidades, de acuerdo con las características sociales de sus habitantes, y hará el correspondiente reparto de competencias y funciones administrativas.</w:t>
      </w:r>
    </w:p>
    <w:p w14:paraId="124DFC2D" w14:textId="3EBF16C9" w:rsidR="00D6446E" w:rsidRPr="00CC1549" w:rsidRDefault="00D6446E" w:rsidP="00DB75C9">
      <w:pPr>
        <w:pStyle w:val="nueve"/>
        <w:spacing w:before="180" w:beforeAutospacing="0" w:after="0" w:afterAutospacing="0"/>
        <w:ind w:left="708"/>
        <w:jc w:val="both"/>
        <w:rPr>
          <w:rFonts w:ascii="Arial" w:hAnsi="Arial"/>
        </w:rPr>
      </w:pPr>
      <w:r w:rsidRPr="00DB75C9">
        <w:rPr>
          <w:rFonts w:ascii="Arial" w:hAnsi="Arial" w:cs="Arial"/>
          <w:i/>
          <w:iCs/>
          <w:sz w:val="22"/>
          <w:szCs w:val="22"/>
          <w:lang w:val="es-ES_tradnl" w:eastAsia="es-ES"/>
        </w:rPr>
        <w:t>A las autoridades distritales corresponderá garantizar el desarrollo armónico e integrado de la ciudad y la eficiente prestación de los servicios a cargo del distrito; a las locales, la gestión de los asuntos propios de su territorio.</w:t>
      </w:r>
      <w:r w:rsidR="00DB75C9">
        <w:rPr>
          <w:rFonts w:ascii="Arial" w:hAnsi="Arial" w:cs="Arial"/>
          <w:i/>
          <w:iCs/>
          <w:sz w:val="22"/>
          <w:szCs w:val="22"/>
          <w:lang w:val="es-ES_tradnl" w:eastAsia="es-ES"/>
        </w:rPr>
        <w:t>”</w:t>
      </w:r>
    </w:p>
    <w:p w14:paraId="54D00FA8" w14:textId="77777777" w:rsidR="00D6446E" w:rsidRPr="00CC1549" w:rsidRDefault="00D6446E" w:rsidP="00D6446E">
      <w:pPr>
        <w:jc w:val="both"/>
        <w:rPr>
          <w:rFonts w:ascii="Arial" w:hAnsi="Arial"/>
          <w:sz w:val="24"/>
          <w:szCs w:val="24"/>
        </w:rPr>
      </w:pPr>
    </w:p>
    <w:p w14:paraId="4CF57A8B" w14:textId="77777777" w:rsidR="00D6446E" w:rsidRPr="00CC1549" w:rsidRDefault="00D6446E" w:rsidP="00D6446E">
      <w:pPr>
        <w:jc w:val="both"/>
        <w:rPr>
          <w:rFonts w:ascii="Arial" w:hAnsi="Arial"/>
          <w:sz w:val="24"/>
          <w:szCs w:val="24"/>
        </w:rPr>
      </w:pPr>
      <w:r w:rsidRPr="00CC1549">
        <w:rPr>
          <w:rFonts w:ascii="Arial" w:hAnsi="Arial"/>
          <w:sz w:val="24"/>
          <w:szCs w:val="24"/>
        </w:rPr>
        <w:t xml:space="preserve">Posteriormente y con el Decreto Ley 1421 de 1993, expedido de conformidad con las atribuciones consagradas por el artículo 41 transitorio de la Constitución del año 1991, se dotó a la ciudad de los instrumentos normativos </w:t>
      </w:r>
      <w:r w:rsidRPr="00CC1549">
        <w:rPr>
          <w:rFonts w:ascii="Arial" w:hAnsi="Arial" w:cs="Arial"/>
          <w:sz w:val="24"/>
          <w:szCs w:val="24"/>
        </w:rPr>
        <w:t>necesarios</w:t>
      </w:r>
      <w:r w:rsidRPr="00CC1549">
        <w:rPr>
          <w:rFonts w:ascii="Arial" w:hAnsi="Arial"/>
          <w:sz w:val="24"/>
          <w:szCs w:val="24"/>
        </w:rPr>
        <w:t xml:space="preserve"> para ejercer sus competencias y prestar los servicios a su cargo.</w:t>
      </w:r>
    </w:p>
    <w:p w14:paraId="006B1086" w14:textId="77777777" w:rsidR="00D6446E" w:rsidRPr="00CC1549" w:rsidRDefault="00D6446E" w:rsidP="00D6446E">
      <w:pPr>
        <w:jc w:val="both"/>
        <w:rPr>
          <w:rFonts w:ascii="Arial" w:hAnsi="Arial"/>
          <w:sz w:val="24"/>
          <w:szCs w:val="24"/>
        </w:rPr>
      </w:pPr>
    </w:p>
    <w:p w14:paraId="266598FB" w14:textId="7693B78C" w:rsidR="00D6446E" w:rsidRPr="00CC1549" w:rsidRDefault="00D6446E" w:rsidP="00D6446E">
      <w:pPr>
        <w:jc w:val="both"/>
        <w:rPr>
          <w:rFonts w:ascii="Arial" w:hAnsi="Arial"/>
          <w:sz w:val="24"/>
          <w:szCs w:val="24"/>
        </w:rPr>
      </w:pPr>
      <w:r w:rsidRPr="00CC1549">
        <w:rPr>
          <w:rFonts w:ascii="Arial" w:hAnsi="Arial"/>
          <w:sz w:val="24"/>
          <w:szCs w:val="24"/>
        </w:rPr>
        <w:t xml:space="preserve">Dentro de tales herramientas y atribuciones se encuentra la posibilidad de adoptar el Estatuto Tributario Nacional como regla general de procedimiento; sin embargo, el mismo Decreto Ley 1421 </w:t>
      </w:r>
      <w:r w:rsidR="00324AD9">
        <w:rPr>
          <w:rFonts w:ascii="Arial" w:hAnsi="Arial"/>
          <w:sz w:val="24"/>
          <w:szCs w:val="24"/>
        </w:rPr>
        <w:t xml:space="preserve">de 1993, </w:t>
      </w:r>
      <w:r w:rsidRPr="00CC1549">
        <w:rPr>
          <w:rFonts w:ascii="Arial" w:hAnsi="Arial"/>
          <w:sz w:val="24"/>
          <w:szCs w:val="24"/>
        </w:rPr>
        <w:t xml:space="preserve">dispuso la posibilidad de adecuación </w:t>
      </w:r>
      <w:r w:rsidR="00DB75C9" w:rsidRPr="00CC1549">
        <w:rPr>
          <w:rFonts w:ascii="Arial" w:hAnsi="Arial"/>
          <w:sz w:val="24"/>
          <w:szCs w:val="24"/>
        </w:rPr>
        <w:t>de este</w:t>
      </w:r>
      <w:r w:rsidRPr="00CC1549">
        <w:rPr>
          <w:rFonts w:ascii="Arial" w:hAnsi="Arial"/>
          <w:sz w:val="24"/>
          <w:szCs w:val="24"/>
        </w:rPr>
        <w:t xml:space="preserve"> a la estructura funcional de la administración, así como a la razonabilidad de los tributos administrados. </w:t>
      </w:r>
    </w:p>
    <w:p w14:paraId="22AAA6C9" w14:textId="77777777" w:rsidR="00D6446E" w:rsidRPr="00CC1549" w:rsidRDefault="00D6446E" w:rsidP="00D6446E">
      <w:pPr>
        <w:jc w:val="both"/>
        <w:rPr>
          <w:rFonts w:ascii="Arial" w:hAnsi="Arial"/>
          <w:sz w:val="24"/>
          <w:szCs w:val="24"/>
        </w:rPr>
      </w:pPr>
    </w:p>
    <w:p w14:paraId="07CD2495" w14:textId="77777777" w:rsidR="00D6446E" w:rsidRPr="00CC1549" w:rsidRDefault="00D6446E" w:rsidP="00D6446E">
      <w:pPr>
        <w:jc w:val="both"/>
        <w:rPr>
          <w:rFonts w:ascii="Arial" w:hAnsi="Arial"/>
          <w:sz w:val="24"/>
          <w:szCs w:val="24"/>
        </w:rPr>
      </w:pPr>
      <w:r w:rsidRPr="00CC1549">
        <w:rPr>
          <w:rFonts w:ascii="Arial" w:hAnsi="Arial"/>
          <w:sz w:val="24"/>
          <w:szCs w:val="24"/>
        </w:rPr>
        <w:t>La cláusula de remisión al estatuto tributario nacional, señala:</w:t>
      </w:r>
    </w:p>
    <w:p w14:paraId="640122C2" w14:textId="77777777" w:rsidR="00D6446E" w:rsidRPr="00CC1549" w:rsidRDefault="00D6446E" w:rsidP="00D6446E">
      <w:pPr>
        <w:jc w:val="both"/>
        <w:rPr>
          <w:rFonts w:ascii="Arial" w:hAnsi="Arial"/>
          <w:sz w:val="24"/>
          <w:szCs w:val="24"/>
        </w:rPr>
      </w:pPr>
    </w:p>
    <w:p w14:paraId="1A9F5EA2" w14:textId="77777777" w:rsidR="00D6446E" w:rsidRPr="00DB75C9" w:rsidRDefault="00D6446E" w:rsidP="00D6446E">
      <w:pPr>
        <w:ind w:left="705"/>
        <w:jc w:val="both"/>
        <w:rPr>
          <w:rFonts w:ascii="Arial" w:hAnsi="Arial"/>
          <w:i/>
          <w:sz w:val="22"/>
          <w:szCs w:val="22"/>
        </w:rPr>
      </w:pPr>
      <w:r w:rsidRPr="00DB75C9">
        <w:rPr>
          <w:rFonts w:ascii="Arial" w:hAnsi="Arial"/>
          <w:i/>
          <w:sz w:val="22"/>
          <w:szCs w:val="22"/>
        </w:rPr>
        <w:t>ARTÍCULO 162. Remisión al Estatuto Tributario. Las normas del Estatuto Tributario Nacional sobre procedimiento, sanciones, declaración, recaudación, fiscalización, determinación, discusión, cobro y en general la administración de los tributos serán aplicables en el Distrito conforme a la naturaleza y estructura funcional de los impuestos de éste.</w:t>
      </w:r>
    </w:p>
    <w:p w14:paraId="6EFE2917" w14:textId="77777777" w:rsidR="00D6446E" w:rsidRPr="00CC1549" w:rsidRDefault="00D6446E" w:rsidP="00D6446E">
      <w:pPr>
        <w:shd w:val="clear" w:color="auto" w:fill="FFFFFF"/>
        <w:jc w:val="both"/>
        <w:rPr>
          <w:rFonts w:ascii="Arial" w:hAnsi="Arial"/>
          <w:sz w:val="24"/>
          <w:szCs w:val="24"/>
        </w:rPr>
      </w:pPr>
    </w:p>
    <w:p w14:paraId="218504D6" w14:textId="6DA30953" w:rsidR="00D6446E" w:rsidRPr="00CC1549" w:rsidRDefault="00D6446E" w:rsidP="00D6446E">
      <w:pPr>
        <w:shd w:val="clear" w:color="auto" w:fill="FFFFFF"/>
        <w:jc w:val="both"/>
        <w:rPr>
          <w:rFonts w:ascii="Arial" w:hAnsi="Arial"/>
          <w:sz w:val="24"/>
          <w:szCs w:val="24"/>
        </w:rPr>
      </w:pPr>
      <w:r w:rsidRPr="00CC1549">
        <w:rPr>
          <w:rFonts w:ascii="Arial" w:hAnsi="Arial"/>
          <w:sz w:val="24"/>
          <w:szCs w:val="24"/>
        </w:rPr>
        <w:t xml:space="preserve">Posteriormente son expedidas las </w:t>
      </w:r>
      <w:r w:rsidR="000E1056">
        <w:rPr>
          <w:rFonts w:ascii="Arial" w:hAnsi="Arial"/>
          <w:sz w:val="24"/>
          <w:szCs w:val="24"/>
        </w:rPr>
        <w:t>L</w:t>
      </w:r>
      <w:r w:rsidRPr="00CC1549">
        <w:rPr>
          <w:rFonts w:ascii="Arial" w:hAnsi="Arial"/>
          <w:sz w:val="24"/>
          <w:szCs w:val="24"/>
        </w:rPr>
        <w:t>eyes 383 de 1997 y 788 de 2002, en las cuales se indica que las entidades territoriales, entre las cuales se cuenta el Distrito Capital, deben aplicar el procedimiento tributario nacional</w:t>
      </w:r>
      <w:r w:rsidR="00DB75C9">
        <w:rPr>
          <w:rFonts w:ascii="Arial" w:hAnsi="Arial"/>
          <w:sz w:val="24"/>
          <w:szCs w:val="24"/>
        </w:rPr>
        <w:t xml:space="preserve">. </w:t>
      </w:r>
      <w:r w:rsidRPr="00CC1549">
        <w:rPr>
          <w:rFonts w:ascii="Arial" w:hAnsi="Arial"/>
          <w:sz w:val="24"/>
          <w:szCs w:val="24"/>
        </w:rPr>
        <w:t xml:space="preserve">No obstante, la Corte Constitucional ha fijado línea jurisprudencial sobre el particular en el fallo C-232 de </w:t>
      </w:r>
      <w:r w:rsidRPr="00CC1549">
        <w:rPr>
          <w:rFonts w:ascii="Arial" w:hAnsi="Arial"/>
          <w:sz w:val="24"/>
          <w:szCs w:val="24"/>
        </w:rPr>
        <w:lastRenderedPageBreak/>
        <w:t>1998, al indicar que la aplicación de las normas procedimentales nacionales en las entidades territoriales tiene como finalidad la unificación del régimen procedimental, lo cual no excluye las reglamentaciones expedidas por los Concejos Distritales con relación a los impuestos que ellos administran, según lo establecido en los artículos 300 y 313 de la Constitución.</w:t>
      </w:r>
    </w:p>
    <w:p w14:paraId="07175758" w14:textId="77777777" w:rsidR="00D6446E" w:rsidRPr="00CC1549" w:rsidRDefault="00D6446E" w:rsidP="00D6446E">
      <w:pPr>
        <w:jc w:val="both"/>
        <w:rPr>
          <w:rFonts w:ascii="Arial" w:hAnsi="Arial"/>
          <w:sz w:val="24"/>
          <w:szCs w:val="24"/>
        </w:rPr>
      </w:pPr>
    </w:p>
    <w:p w14:paraId="257E7707" w14:textId="629F6163" w:rsidR="00D6446E" w:rsidRPr="00CC1549" w:rsidRDefault="00D6446E" w:rsidP="00D6446E">
      <w:pPr>
        <w:jc w:val="both"/>
        <w:rPr>
          <w:rFonts w:ascii="Arial" w:hAnsi="Arial"/>
          <w:sz w:val="24"/>
          <w:szCs w:val="24"/>
        </w:rPr>
      </w:pPr>
      <w:r w:rsidRPr="00CC1549">
        <w:rPr>
          <w:rFonts w:ascii="Arial" w:hAnsi="Arial"/>
          <w:sz w:val="24"/>
          <w:szCs w:val="24"/>
        </w:rPr>
        <w:t xml:space="preserve">La misma corporación en sentencia C-1114 de 2003, considera que no debe perderse de vista que la </w:t>
      </w:r>
      <w:r w:rsidR="000E1056">
        <w:rPr>
          <w:rFonts w:ascii="Arial" w:hAnsi="Arial"/>
          <w:sz w:val="24"/>
          <w:szCs w:val="24"/>
        </w:rPr>
        <w:t>L</w:t>
      </w:r>
      <w:r w:rsidRPr="00CC1549">
        <w:rPr>
          <w:rFonts w:ascii="Arial" w:hAnsi="Arial"/>
          <w:sz w:val="24"/>
          <w:szCs w:val="24"/>
        </w:rPr>
        <w:t>ey 788 de 2002 deja a salvo la facultad de las administraciones tributarias de disminuir el monto de las sanciones y simplificar los procedimientos, dependiendo de la naturaleza de los tributos y la proporcionalidad de las sanciones respecto al monto de los impuestos.</w:t>
      </w:r>
    </w:p>
    <w:p w14:paraId="7FA919E3" w14:textId="77777777" w:rsidR="00D6446E" w:rsidRPr="00CC1549" w:rsidRDefault="00D6446E" w:rsidP="00D6446E">
      <w:pPr>
        <w:jc w:val="both"/>
        <w:rPr>
          <w:rFonts w:ascii="Arial" w:hAnsi="Arial"/>
          <w:sz w:val="24"/>
          <w:szCs w:val="24"/>
        </w:rPr>
      </w:pPr>
    </w:p>
    <w:p w14:paraId="15530B35" w14:textId="1BF5662E" w:rsidR="00D6446E" w:rsidRPr="00CC1549" w:rsidRDefault="00D6446E" w:rsidP="00D6446E">
      <w:pPr>
        <w:jc w:val="both"/>
        <w:rPr>
          <w:rFonts w:ascii="Arial" w:hAnsi="Arial"/>
          <w:sz w:val="24"/>
          <w:szCs w:val="24"/>
        </w:rPr>
      </w:pPr>
      <w:r w:rsidRPr="00CC1549">
        <w:rPr>
          <w:rFonts w:ascii="Arial" w:hAnsi="Arial"/>
          <w:sz w:val="24"/>
          <w:szCs w:val="24"/>
        </w:rPr>
        <w:t>Con las anteriores referencias jurisprudenciales, es de entender que la Ley debe dejar un espacio para que el Distrito adecue el procedimiento tributario a su propia realidad, mediante la proporcionalidad, simplificación y razonabilidad de los procedimientos tributarios.</w:t>
      </w:r>
      <w:bookmarkStart w:id="3" w:name="_Toc335836985"/>
      <w:bookmarkStart w:id="4" w:name="_Toc335836945"/>
      <w:bookmarkStart w:id="5" w:name="_Toc335836919"/>
      <w:bookmarkStart w:id="6" w:name="_Toc335836762"/>
      <w:bookmarkStart w:id="7" w:name="_Toc335836731"/>
      <w:bookmarkStart w:id="8" w:name="_Toc335836984"/>
      <w:bookmarkStart w:id="9" w:name="_Toc335836944"/>
      <w:bookmarkStart w:id="10" w:name="_Toc335836918"/>
      <w:bookmarkStart w:id="11" w:name="_Toc335836761"/>
      <w:bookmarkStart w:id="12" w:name="_Toc335836730"/>
      <w:bookmarkEnd w:id="3"/>
      <w:bookmarkEnd w:id="4"/>
      <w:bookmarkEnd w:id="5"/>
      <w:bookmarkEnd w:id="6"/>
      <w:bookmarkEnd w:id="7"/>
      <w:bookmarkEnd w:id="8"/>
      <w:bookmarkEnd w:id="9"/>
      <w:bookmarkEnd w:id="10"/>
      <w:bookmarkEnd w:id="11"/>
      <w:bookmarkEnd w:id="12"/>
      <w:r w:rsidRPr="00CC1549">
        <w:rPr>
          <w:rFonts w:ascii="Arial" w:hAnsi="Arial"/>
          <w:sz w:val="24"/>
          <w:szCs w:val="24"/>
        </w:rPr>
        <w:t xml:space="preserve"> Con base en las anteriores consideraciones, la Administración Distrital respetuosamente solicita al Honorable Concejo Distrital estudiar, discutir y aprobar esta iniciativa.</w:t>
      </w:r>
    </w:p>
    <w:p w14:paraId="2DE1BFE7" w14:textId="77777777" w:rsidR="00D6446E" w:rsidRPr="00CC1549" w:rsidRDefault="00D6446E" w:rsidP="00D6446E">
      <w:pPr>
        <w:jc w:val="both"/>
        <w:rPr>
          <w:rFonts w:ascii="Arial" w:hAnsi="Arial"/>
          <w:sz w:val="24"/>
          <w:szCs w:val="24"/>
        </w:rPr>
      </w:pPr>
    </w:p>
    <w:p w14:paraId="488BDDFB" w14:textId="77777777" w:rsidR="00D6446E" w:rsidRPr="00CC1549" w:rsidRDefault="00D6446E" w:rsidP="00D6446E">
      <w:pPr>
        <w:jc w:val="both"/>
        <w:rPr>
          <w:rFonts w:ascii="Arial" w:hAnsi="Arial"/>
          <w:sz w:val="24"/>
          <w:szCs w:val="24"/>
        </w:rPr>
      </w:pPr>
      <w:r w:rsidRPr="00CC1549">
        <w:rPr>
          <w:rFonts w:ascii="Arial" w:hAnsi="Arial"/>
          <w:sz w:val="24"/>
          <w:szCs w:val="24"/>
        </w:rPr>
        <w:t xml:space="preserve">En el titulo IV del proyecto se incluyen reglas de ajuste al régimen sancionatorio distrital, se incluyen condiciones de clasificación de los contribuyentes del impuesto de industria y comercio, y se dictan normas procedimentales acordes con las realidades de los tributos administrados por la Secretaria de Hacienda Distrital. </w:t>
      </w:r>
    </w:p>
    <w:p w14:paraId="38CFB097" w14:textId="77777777" w:rsidR="00D6446E" w:rsidRPr="00CC1549" w:rsidRDefault="00D6446E" w:rsidP="00D6446E">
      <w:pPr>
        <w:jc w:val="both"/>
        <w:rPr>
          <w:rFonts w:ascii="Arial" w:hAnsi="Arial"/>
          <w:b/>
          <w:sz w:val="24"/>
          <w:szCs w:val="24"/>
        </w:rPr>
      </w:pPr>
    </w:p>
    <w:p w14:paraId="12B6527F" w14:textId="56361A51" w:rsidR="00D6446E" w:rsidRPr="00CC1549" w:rsidRDefault="00D6446E" w:rsidP="00D6446E">
      <w:pPr>
        <w:jc w:val="both"/>
        <w:rPr>
          <w:rStyle w:val="Textoennegrita"/>
          <w:rFonts w:ascii="Arial" w:hAnsi="Arial"/>
          <w:b w:val="0"/>
          <w:sz w:val="24"/>
          <w:szCs w:val="24"/>
        </w:rPr>
      </w:pPr>
      <w:r w:rsidRPr="00CC1549">
        <w:rPr>
          <w:rFonts w:ascii="Arial" w:hAnsi="Arial"/>
          <w:sz w:val="24"/>
          <w:szCs w:val="24"/>
        </w:rPr>
        <w:t xml:space="preserve">De presente lo anterior, y para referirnos a los ajustes al régimen sancionatorio distrital, se incluyen </w:t>
      </w:r>
      <w:r w:rsidR="000E1056">
        <w:rPr>
          <w:rFonts w:ascii="Arial" w:hAnsi="Arial"/>
          <w:sz w:val="24"/>
          <w:szCs w:val="24"/>
        </w:rPr>
        <w:t>2</w:t>
      </w:r>
      <w:r w:rsidRPr="00CC1549">
        <w:rPr>
          <w:rFonts w:ascii="Arial" w:hAnsi="Arial"/>
          <w:sz w:val="24"/>
          <w:szCs w:val="24"/>
        </w:rPr>
        <w:t xml:space="preserve"> disposiciones referidas a reducir el monto de algunas sanciones tributarias vigentes; la primera disposición reduce </w:t>
      </w:r>
      <w:r w:rsidRPr="00CC1549">
        <w:rPr>
          <w:rStyle w:val="Textoennegrita"/>
          <w:rFonts w:ascii="Arial" w:hAnsi="Arial"/>
          <w:b w:val="0"/>
          <w:sz w:val="24"/>
          <w:szCs w:val="24"/>
        </w:rPr>
        <w:t>la sanción mínima aplicable del impuesto predial para los predios de estratos 1 y 2, la cual se encuentra hoy día en 8 salarios mínimos legales mensuales vigentes. Con esta propuesta se reduce a 4 salarios mínimos legales mensuales vigentes.</w:t>
      </w:r>
    </w:p>
    <w:p w14:paraId="77878A1B" w14:textId="77777777" w:rsidR="00D6446E" w:rsidRPr="00CC1549" w:rsidRDefault="00D6446E" w:rsidP="00D6446E">
      <w:pPr>
        <w:jc w:val="both"/>
        <w:rPr>
          <w:bCs/>
          <w:sz w:val="24"/>
          <w:szCs w:val="24"/>
        </w:rPr>
      </w:pPr>
    </w:p>
    <w:p w14:paraId="25CA21F3" w14:textId="77777777" w:rsidR="00D6446E" w:rsidRPr="00CC1549" w:rsidRDefault="00D6446E" w:rsidP="00D6446E">
      <w:pPr>
        <w:jc w:val="both"/>
        <w:rPr>
          <w:rFonts w:ascii="Arial" w:hAnsi="Arial"/>
          <w:sz w:val="24"/>
          <w:szCs w:val="24"/>
        </w:rPr>
      </w:pPr>
      <w:r w:rsidRPr="00CC1549">
        <w:rPr>
          <w:rFonts w:ascii="Arial" w:hAnsi="Arial"/>
          <w:sz w:val="24"/>
          <w:szCs w:val="24"/>
        </w:rPr>
        <w:t>En la misma línea de reducción de los montos de las sanciones se propone reducir el monto máximo de la sanción por no enviar información aplicable a las personas y entidades obligadas a suministrar información tributaria de 15000 UVT a 3000 UVT.</w:t>
      </w:r>
    </w:p>
    <w:p w14:paraId="56852FBB" w14:textId="77777777" w:rsidR="00D6446E" w:rsidRPr="00CC1549" w:rsidRDefault="00D6446E" w:rsidP="00D6446E">
      <w:pPr>
        <w:jc w:val="both"/>
        <w:rPr>
          <w:rStyle w:val="Textoennegrita"/>
          <w:rFonts w:ascii="Arial" w:hAnsi="Arial"/>
          <w:b w:val="0"/>
          <w:sz w:val="24"/>
          <w:szCs w:val="24"/>
        </w:rPr>
      </w:pPr>
    </w:p>
    <w:p w14:paraId="4E850B93" w14:textId="15B125E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Tal minoración genera racionalidad en la imposición de la sanción y resulta acorde con la media del tope de sanción impuesto por la administración. El </w:t>
      </w:r>
      <w:r w:rsidR="00DB75C9" w:rsidRPr="00CC1549">
        <w:rPr>
          <w:rStyle w:val="Textoennegrita"/>
          <w:rFonts w:ascii="Arial" w:hAnsi="Arial"/>
          <w:b w:val="0"/>
          <w:sz w:val="24"/>
          <w:szCs w:val="24"/>
        </w:rPr>
        <w:t>ajuste</w:t>
      </w:r>
      <w:r w:rsidR="00DB75C9" w:rsidRPr="00CC1549">
        <w:rPr>
          <w:rStyle w:val="Textoennegrita"/>
          <w:rFonts w:ascii="Arial" w:hAnsi="Arial" w:cs="Arial"/>
          <w:b w:val="0"/>
          <w:iCs/>
          <w:sz w:val="24"/>
          <w:szCs w:val="24"/>
        </w:rPr>
        <w:t xml:space="preserve"> </w:t>
      </w:r>
      <w:r w:rsidR="00DB75C9" w:rsidRPr="00CC1549">
        <w:rPr>
          <w:rStyle w:val="Textoennegrita"/>
          <w:rFonts w:ascii="Arial" w:hAnsi="Arial"/>
          <w:b w:val="0"/>
          <w:sz w:val="24"/>
          <w:szCs w:val="24"/>
        </w:rPr>
        <w:t>propuesto</w:t>
      </w:r>
      <w:r w:rsidRPr="00CC1549">
        <w:rPr>
          <w:rStyle w:val="Textoennegrita"/>
          <w:rFonts w:ascii="Arial" w:hAnsi="Arial"/>
          <w:b w:val="0"/>
          <w:sz w:val="24"/>
          <w:szCs w:val="24"/>
        </w:rPr>
        <w:t xml:space="preserve"> redunda en legitimidad de las sanciones y permite generar un riesgo subjetivo proporcionado al tamaño y clase de los tributos administrados.</w:t>
      </w:r>
    </w:p>
    <w:p w14:paraId="6119DCCB" w14:textId="77777777" w:rsidR="00D6446E" w:rsidRPr="00CC1549" w:rsidRDefault="00D6446E" w:rsidP="00D6446E">
      <w:pPr>
        <w:jc w:val="both"/>
        <w:rPr>
          <w:rStyle w:val="Textoennegrita"/>
          <w:rFonts w:ascii="Arial" w:hAnsi="Arial"/>
          <w:b w:val="0"/>
          <w:sz w:val="24"/>
          <w:szCs w:val="24"/>
        </w:rPr>
      </w:pPr>
    </w:p>
    <w:p w14:paraId="38384225" w14:textId="2A257F44"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lastRenderedPageBreak/>
        <w:t xml:space="preserve">Otra propuesta al </w:t>
      </w:r>
      <w:r w:rsidR="000E1056">
        <w:rPr>
          <w:rStyle w:val="Textoennegrita"/>
          <w:rFonts w:ascii="Arial" w:hAnsi="Arial"/>
          <w:b w:val="0"/>
          <w:sz w:val="24"/>
          <w:szCs w:val="24"/>
        </w:rPr>
        <w:t>H</w:t>
      </w:r>
      <w:r w:rsidRPr="00CC1549">
        <w:rPr>
          <w:rStyle w:val="Textoennegrita"/>
          <w:rFonts w:ascii="Arial" w:hAnsi="Arial"/>
          <w:b w:val="0"/>
          <w:sz w:val="24"/>
          <w:szCs w:val="24"/>
        </w:rPr>
        <w:t xml:space="preserve">onorable Concejo tiene que ver con la adopción de unas reglas de clasificación de los contribuyentes del </w:t>
      </w:r>
      <w:r w:rsidR="000E1056">
        <w:rPr>
          <w:rStyle w:val="Textoennegrita"/>
          <w:rFonts w:ascii="Arial" w:hAnsi="Arial"/>
          <w:b w:val="0"/>
          <w:sz w:val="24"/>
          <w:szCs w:val="24"/>
        </w:rPr>
        <w:t>I</w:t>
      </w:r>
      <w:r w:rsidRPr="00CC1549">
        <w:rPr>
          <w:rStyle w:val="Textoennegrita"/>
          <w:rFonts w:ascii="Arial" w:hAnsi="Arial"/>
          <w:b w:val="0"/>
          <w:sz w:val="24"/>
          <w:szCs w:val="24"/>
        </w:rPr>
        <w:t>mpuesto de Industria y Comercio, que permite su clasificación entre régimen común y régimen preferencial.</w:t>
      </w:r>
    </w:p>
    <w:p w14:paraId="614E5C95" w14:textId="77777777" w:rsidR="00D6446E" w:rsidRPr="00CC1549" w:rsidRDefault="00D6446E" w:rsidP="00D6446E">
      <w:pPr>
        <w:jc w:val="both"/>
        <w:rPr>
          <w:rStyle w:val="Textoennegrita"/>
          <w:rFonts w:ascii="Arial" w:hAnsi="Arial"/>
          <w:b w:val="0"/>
          <w:sz w:val="24"/>
          <w:szCs w:val="24"/>
        </w:rPr>
      </w:pPr>
    </w:p>
    <w:p w14:paraId="1642A37D"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Para ilustrar lo anterior, vale señalar que inicialmente el Concejo Distrital mediante Acuerdo 65 de 2002, adoptó para el Distrito Capital la clasificación de régimen común y simplificado vigente en la norma nacional para el IVA. </w:t>
      </w:r>
    </w:p>
    <w:p w14:paraId="1586A058" w14:textId="77777777" w:rsidR="00D6446E" w:rsidRPr="00CC1549" w:rsidRDefault="00D6446E" w:rsidP="00D6446E">
      <w:pPr>
        <w:jc w:val="both"/>
        <w:rPr>
          <w:rStyle w:val="Textoennegrita"/>
          <w:rFonts w:ascii="Arial" w:hAnsi="Arial"/>
          <w:b w:val="0"/>
          <w:sz w:val="24"/>
          <w:szCs w:val="24"/>
        </w:rPr>
      </w:pPr>
    </w:p>
    <w:p w14:paraId="68C210B4" w14:textId="277E0F96"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Posteriormente, la </w:t>
      </w:r>
      <w:r w:rsidR="000E1056">
        <w:rPr>
          <w:rStyle w:val="Textoennegrita"/>
          <w:rFonts w:ascii="Arial" w:hAnsi="Arial"/>
          <w:b w:val="0"/>
          <w:sz w:val="24"/>
          <w:szCs w:val="24"/>
        </w:rPr>
        <w:t>L</w:t>
      </w:r>
      <w:r w:rsidRPr="00CC1549">
        <w:rPr>
          <w:rStyle w:val="Textoennegrita"/>
          <w:rFonts w:ascii="Arial" w:hAnsi="Arial"/>
          <w:b w:val="0"/>
          <w:sz w:val="24"/>
          <w:szCs w:val="24"/>
        </w:rPr>
        <w:t xml:space="preserve">ey 1819 </w:t>
      </w:r>
      <w:r w:rsidR="000E1056">
        <w:rPr>
          <w:rStyle w:val="Textoennegrita"/>
          <w:rFonts w:ascii="Arial" w:hAnsi="Arial"/>
          <w:b w:val="0"/>
          <w:sz w:val="24"/>
          <w:szCs w:val="24"/>
        </w:rPr>
        <w:t xml:space="preserve">de 2016 </w:t>
      </w:r>
      <w:r w:rsidRPr="00CC1549">
        <w:rPr>
          <w:rStyle w:val="Textoennegrita"/>
          <w:rFonts w:ascii="Arial" w:hAnsi="Arial"/>
          <w:b w:val="0"/>
          <w:sz w:val="24"/>
          <w:szCs w:val="24"/>
        </w:rPr>
        <w:t>en su artículo 346 señaló</w:t>
      </w:r>
      <w:r w:rsidR="00DB75C9">
        <w:rPr>
          <w:rStyle w:val="Textoennegrita"/>
          <w:rFonts w:ascii="Arial" w:hAnsi="Arial"/>
          <w:b w:val="0"/>
          <w:sz w:val="24"/>
          <w:szCs w:val="24"/>
        </w:rPr>
        <w:t>:</w:t>
      </w:r>
      <w:r w:rsidRPr="00CC1549">
        <w:rPr>
          <w:rStyle w:val="Textoennegrita"/>
          <w:rFonts w:ascii="Arial" w:hAnsi="Arial"/>
          <w:b w:val="0"/>
          <w:sz w:val="24"/>
          <w:szCs w:val="24"/>
        </w:rPr>
        <w:t xml:space="preserve">  </w:t>
      </w:r>
    </w:p>
    <w:p w14:paraId="7807C731" w14:textId="77777777" w:rsidR="00D6446E" w:rsidRPr="00CC1549" w:rsidRDefault="00D6446E" w:rsidP="00D6446E">
      <w:pPr>
        <w:jc w:val="both"/>
        <w:rPr>
          <w:rStyle w:val="Textoennegrita"/>
          <w:rFonts w:ascii="Arial" w:hAnsi="Arial"/>
          <w:b w:val="0"/>
          <w:sz w:val="24"/>
          <w:szCs w:val="24"/>
        </w:rPr>
      </w:pPr>
    </w:p>
    <w:p w14:paraId="5D71A207" w14:textId="77777777" w:rsidR="00D6446E" w:rsidRPr="00DB75C9" w:rsidRDefault="00D6446E" w:rsidP="00D6446E">
      <w:pPr>
        <w:ind w:left="708"/>
        <w:jc w:val="both"/>
        <w:rPr>
          <w:rStyle w:val="Textoennegrita"/>
          <w:rFonts w:ascii="Arial" w:hAnsi="Arial"/>
          <w:b w:val="0"/>
          <w:i/>
          <w:sz w:val="22"/>
          <w:szCs w:val="22"/>
        </w:rPr>
      </w:pPr>
      <w:r w:rsidRPr="00DB75C9">
        <w:rPr>
          <w:rStyle w:val="Textoennegrita"/>
          <w:rFonts w:ascii="Arial" w:hAnsi="Arial"/>
          <w:b w:val="0"/>
          <w:i/>
          <w:sz w:val="22"/>
          <w:szCs w:val="22"/>
        </w:rPr>
        <w:t>“Sistema preferencial del impuesto de industria y comercio. </w:t>
      </w:r>
      <w:r w:rsidRPr="00DB75C9">
        <w:rPr>
          <w:rStyle w:val="Textoennegrita"/>
          <w:rFonts w:ascii="Arial" w:hAnsi="Arial"/>
          <w:b w:val="0"/>
          <w:i/>
          <w:sz w:val="22"/>
          <w:szCs w:val="22"/>
          <w:u w:val="single"/>
        </w:rPr>
        <w:t>Los concejos municipales y distritales podrán establecer, para sus pequeños contribuyentes, un sistema preferencial del impuesto de industria y comercio</w:t>
      </w:r>
      <w:r w:rsidRPr="00DB75C9">
        <w:rPr>
          <w:rStyle w:val="Textoennegrita"/>
          <w:rFonts w:ascii="Arial" w:hAnsi="Arial"/>
          <w:b w:val="0"/>
          <w:i/>
          <w:sz w:val="22"/>
          <w:szCs w:val="22"/>
        </w:rPr>
        <w:t>, avisos y tableros y otros impuestos o sobretasas complementarios a este, en el que se liquide el valor total por estos conceptos en UVT, con base en factores tales como promedios por actividad, sectores, área del establecimiento comercial, consumo de energía y otros factores objetivos indicativos del nivel de ingresos de la actividad económica desarrollada por el contribuyente.</w:t>
      </w:r>
    </w:p>
    <w:p w14:paraId="2296A4D3" w14:textId="77777777" w:rsidR="00D6446E" w:rsidRPr="00DB75C9" w:rsidRDefault="00D6446E" w:rsidP="00D6446E">
      <w:pPr>
        <w:pStyle w:val="nueve"/>
        <w:spacing w:before="0" w:beforeAutospacing="0" w:after="0" w:afterAutospacing="0"/>
        <w:ind w:firstLine="280"/>
        <w:jc w:val="both"/>
        <w:rPr>
          <w:rStyle w:val="Textoennegrita"/>
          <w:rFonts w:ascii="Arial" w:hAnsi="Arial" w:cs="Arial"/>
          <w:b w:val="0"/>
          <w:i/>
          <w:iCs/>
          <w:sz w:val="22"/>
          <w:szCs w:val="22"/>
          <w:lang w:val="es-ES_tradnl" w:eastAsia="es-ES"/>
        </w:rPr>
      </w:pPr>
    </w:p>
    <w:p w14:paraId="083DF3EB" w14:textId="77777777" w:rsidR="00D6446E" w:rsidRPr="00DB75C9" w:rsidRDefault="00D6446E" w:rsidP="00D6446E">
      <w:pPr>
        <w:pStyle w:val="nueve"/>
        <w:spacing w:before="0" w:beforeAutospacing="0" w:after="0" w:afterAutospacing="0"/>
        <w:ind w:left="708"/>
        <w:jc w:val="both"/>
        <w:rPr>
          <w:rStyle w:val="Textoennegrita"/>
          <w:rFonts w:ascii="Arial" w:hAnsi="Arial" w:cs="Arial"/>
          <w:b w:val="0"/>
          <w:i/>
          <w:iCs/>
          <w:sz w:val="22"/>
          <w:szCs w:val="22"/>
          <w:lang w:val="es-ES_tradnl" w:eastAsia="es-ES"/>
        </w:rPr>
      </w:pPr>
      <w:r w:rsidRPr="00DB75C9">
        <w:rPr>
          <w:rStyle w:val="Textoennegrita"/>
          <w:rFonts w:ascii="Arial" w:hAnsi="Arial" w:cs="Arial"/>
          <w:b w:val="0"/>
          <w:i/>
          <w:iCs/>
          <w:sz w:val="22"/>
          <w:szCs w:val="22"/>
          <w:lang w:val="es-ES_tradnl" w:eastAsia="es-ES"/>
        </w:rPr>
        <w:t>Para estos efectos se entiende que son pequeños contribuyentes quienes cumplan con la totalidad de los requisitos para pertenecer al régimen simplificado del impuesto sobre las ventas, sin perjuicio de que los municipios y distritos establezcan menores parámetros de ingresos.</w:t>
      </w:r>
    </w:p>
    <w:p w14:paraId="4BC339DD" w14:textId="77777777" w:rsidR="00D6446E" w:rsidRPr="00DB75C9" w:rsidRDefault="00D6446E" w:rsidP="00D6446E">
      <w:pPr>
        <w:pStyle w:val="nueve"/>
        <w:spacing w:before="0" w:beforeAutospacing="0" w:after="0" w:afterAutospacing="0"/>
        <w:ind w:left="708"/>
        <w:jc w:val="both"/>
        <w:rPr>
          <w:rStyle w:val="Textoennegrita"/>
          <w:rFonts w:ascii="Arial" w:hAnsi="Arial" w:cs="Arial"/>
          <w:b w:val="0"/>
          <w:i/>
          <w:iCs/>
          <w:sz w:val="22"/>
          <w:szCs w:val="22"/>
          <w:lang w:val="es-ES_tradnl" w:eastAsia="es-ES"/>
        </w:rPr>
      </w:pPr>
    </w:p>
    <w:p w14:paraId="1B8FB5AB" w14:textId="77777777" w:rsidR="00D6446E" w:rsidRPr="00DB75C9" w:rsidRDefault="00D6446E" w:rsidP="00D6446E">
      <w:pPr>
        <w:pStyle w:val="nueve"/>
        <w:spacing w:before="0" w:beforeAutospacing="0" w:after="0" w:afterAutospacing="0"/>
        <w:ind w:left="708"/>
        <w:jc w:val="both"/>
        <w:rPr>
          <w:rStyle w:val="Textoennegrita"/>
          <w:rFonts w:ascii="Arial" w:hAnsi="Arial" w:cs="Arial"/>
          <w:b w:val="0"/>
          <w:i/>
          <w:iCs/>
          <w:sz w:val="22"/>
          <w:szCs w:val="22"/>
          <w:lang w:val="es-ES_tradnl" w:eastAsia="es-ES"/>
        </w:rPr>
      </w:pPr>
      <w:r w:rsidRPr="00DB75C9">
        <w:rPr>
          <w:rStyle w:val="Textoennegrita"/>
          <w:rFonts w:ascii="Arial" w:hAnsi="Arial" w:cs="Arial"/>
          <w:b w:val="0"/>
          <w:i/>
          <w:iCs/>
          <w:sz w:val="22"/>
          <w:szCs w:val="22"/>
          <w:lang w:val="es-ES_tradnl" w:eastAsia="es-ES"/>
        </w:rPr>
        <w:t>Los municipios y distritos podrán facturar el valor del impuesto determinado por el sistema preferencial y establecer periodos de pago que faciliten su recaudo”</w:t>
      </w:r>
    </w:p>
    <w:p w14:paraId="7339278D" w14:textId="77777777" w:rsidR="00D6446E" w:rsidRPr="00CC1549" w:rsidRDefault="00D6446E" w:rsidP="00D6446E">
      <w:pPr>
        <w:jc w:val="both"/>
        <w:rPr>
          <w:rStyle w:val="Textoennegrita"/>
          <w:rFonts w:ascii="Arial" w:hAnsi="Arial"/>
          <w:b w:val="0"/>
          <w:sz w:val="24"/>
          <w:szCs w:val="24"/>
        </w:rPr>
      </w:pPr>
    </w:p>
    <w:p w14:paraId="72AF4288"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De conformidad con lo dispuesto por la Ley 1943 de 2018, se modificó de manera formal la clasificación de los contribuyentes del IVA que pasó de régimen común y simplificado a denominarse régimen de responsables y no responsables del IVA.</w:t>
      </w:r>
    </w:p>
    <w:p w14:paraId="4898546A" w14:textId="77777777" w:rsidR="00D6446E" w:rsidRPr="00CC1549" w:rsidRDefault="00D6446E" w:rsidP="00D6446E">
      <w:pPr>
        <w:jc w:val="both"/>
        <w:rPr>
          <w:rStyle w:val="Textoennegrita"/>
          <w:rFonts w:ascii="Arial" w:hAnsi="Arial"/>
          <w:b w:val="0"/>
          <w:sz w:val="24"/>
          <w:szCs w:val="24"/>
        </w:rPr>
      </w:pPr>
    </w:p>
    <w:p w14:paraId="16EB4DD6" w14:textId="68F22397" w:rsidR="00D6446E" w:rsidRPr="00CC1549" w:rsidRDefault="004238B4" w:rsidP="00D6446E">
      <w:pPr>
        <w:jc w:val="both"/>
        <w:rPr>
          <w:rStyle w:val="Textoennegrita"/>
          <w:rFonts w:ascii="Arial" w:hAnsi="Arial"/>
          <w:b w:val="0"/>
          <w:sz w:val="24"/>
          <w:szCs w:val="24"/>
        </w:rPr>
      </w:pPr>
      <w:r>
        <w:rPr>
          <w:rStyle w:val="Textoennegrita"/>
          <w:rFonts w:ascii="Arial" w:hAnsi="Arial"/>
          <w:b w:val="0"/>
          <w:sz w:val="24"/>
          <w:szCs w:val="24"/>
        </w:rPr>
        <w:t>D</w:t>
      </w:r>
      <w:r w:rsidR="00D6446E" w:rsidRPr="00CC1549">
        <w:rPr>
          <w:rStyle w:val="Textoennegrita"/>
          <w:rFonts w:ascii="Arial" w:hAnsi="Arial"/>
          <w:b w:val="0"/>
          <w:sz w:val="24"/>
          <w:szCs w:val="24"/>
        </w:rPr>
        <w:t>e presente lo anterior, y considerando que el Acuerdo 65 de 2002, hizo una remisión al extinto régimen común y simplificado del IVA se hace necesario adoptar una clasificación propia del Distrito para los contribuyentes del impuesto de industria y comercio, acorde con las normas vigentes al particular y considerando las condiciones propias y particulares a los contribuyentes del impuesto de industria y comercio en Bogotá.</w:t>
      </w:r>
    </w:p>
    <w:p w14:paraId="5C15D0B9" w14:textId="77777777" w:rsidR="00D6446E" w:rsidRPr="00CC1549" w:rsidRDefault="00D6446E" w:rsidP="00D6446E">
      <w:pPr>
        <w:jc w:val="both"/>
        <w:rPr>
          <w:rStyle w:val="Textoennegrita"/>
          <w:rFonts w:ascii="Arial" w:hAnsi="Arial"/>
          <w:b w:val="0"/>
          <w:sz w:val="24"/>
          <w:szCs w:val="24"/>
        </w:rPr>
      </w:pPr>
    </w:p>
    <w:p w14:paraId="4BF53C12"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Seguidamente, se incluye una atribución para señalar procedencias de retención en la fuente</w:t>
      </w:r>
      <w:r w:rsidRPr="00CC1549">
        <w:rPr>
          <w:rStyle w:val="Textoennegrita"/>
          <w:rFonts w:ascii="Arial" w:hAnsi="Arial" w:cs="Arial"/>
          <w:b w:val="0"/>
          <w:sz w:val="24"/>
          <w:szCs w:val="24"/>
        </w:rPr>
        <w:t>. L</w:t>
      </w:r>
      <w:r w:rsidRPr="00CC1549">
        <w:rPr>
          <w:rStyle w:val="Textoennegrita"/>
          <w:rFonts w:ascii="Arial" w:hAnsi="Arial"/>
          <w:b w:val="0"/>
          <w:sz w:val="24"/>
          <w:szCs w:val="24"/>
        </w:rPr>
        <w:t xml:space="preserve">o anterior tiene como finalidad facilitar y simplificar el recaudo en los tributos distritales; en la medida en que con la misma se puede reducir los costos de cumplimiento tributario generando un ambiente de sencillez en el cumplimiento de las obligaciones tributarias.  </w:t>
      </w:r>
    </w:p>
    <w:p w14:paraId="1A0E69D7" w14:textId="77777777" w:rsidR="00D6446E" w:rsidRPr="00CC1549" w:rsidRDefault="00D6446E" w:rsidP="00D6446E">
      <w:pPr>
        <w:jc w:val="both"/>
        <w:rPr>
          <w:rStyle w:val="Textoennegrita"/>
          <w:rFonts w:ascii="Arial" w:hAnsi="Arial"/>
          <w:b w:val="0"/>
          <w:sz w:val="24"/>
          <w:szCs w:val="24"/>
        </w:rPr>
      </w:pPr>
    </w:p>
    <w:p w14:paraId="35FF14C7"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Se propone una norma que busca normalizar la situación de los contribuyentes en términos de retención en la fuente.</w:t>
      </w:r>
    </w:p>
    <w:p w14:paraId="15CCEE90" w14:textId="77777777" w:rsidR="00D6446E" w:rsidRPr="00CC1549" w:rsidRDefault="00D6446E" w:rsidP="00D6446E">
      <w:pPr>
        <w:jc w:val="both"/>
        <w:rPr>
          <w:rStyle w:val="Textoennegrita"/>
          <w:rFonts w:ascii="Arial" w:hAnsi="Arial"/>
          <w:b w:val="0"/>
          <w:sz w:val="24"/>
          <w:szCs w:val="24"/>
        </w:rPr>
      </w:pPr>
    </w:p>
    <w:p w14:paraId="71E8BCBD" w14:textId="242956CD"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La Ley 1430 de 2010, señala en su </w:t>
      </w:r>
      <w:r w:rsidR="000E1056">
        <w:rPr>
          <w:rStyle w:val="Textoennegrita"/>
          <w:rFonts w:ascii="Arial" w:hAnsi="Arial"/>
          <w:b w:val="0"/>
          <w:sz w:val="24"/>
          <w:szCs w:val="24"/>
        </w:rPr>
        <w:t>a</w:t>
      </w:r>
      <w:r w:rsidRPr="00CC1549">
        <w:rPr>
          <w:rStyle w:val="Textoennegrita"/>
          <w:rFonts w:ascii="Arial" w:hAnsi="Arial"/>
          <w:b w:val="0"/>
          <w:sz w:val="24"/>
          <w:szCs w:val="24"/>
        </w:rPr>
        <w:t>rtículo 15:</w:t>
      </w:r>
    </w:p>
    <w:p w14:paraId="089D81DE" w14:textId="77777777" w:rsidR="00D6446E" w:rsidRPr="00CC1549" w:rsidRDefault="00D6446E" w:rsidP="00D6446E">
      <w:pPr>
        <w:jc w:val="both"/>
        <w:rPr>
          <w:rFonts w:ascii="Arial" w:hAnsi="Arial" w:cs="Arial"/>
          <w:i/>
          <w:sz w:val="24"/>
          <w:szCs w:val="24"/>
        </w:rPr>
      </w:pPr>
    </w:p>
    <w:p w14:paraId="1D8BE802" w14:textId="64940524" w:rsidR="00D6446E" w:rsidRPr="00DB75C9" w:rsidRDefault="000E1056" w:rsidP="00D6446E">
      <w:pPr>
        <w:ind w:left="426" w:right="533"/>
        <w:jc w:val="both"/>
        <w:textAlignment w:val="baseline"/>
        <w:rPr>
          <w:rFonts w:ascii="Arial" w:hAnsi="Arial" w:cs="Arial"/>
          <w:i/>
          <w:color w:val="2D2D2D"/>
          <w:sz w:val="22"/>
          <w:szCs w:val="22"/>
          <w:lang w:eastAsia="es-CO"/>
        </w:rPr>
      </w:pPr>
      <w:r>
        <w:rPr>
          <w:rFonts w:ascii="Arial" w:hAnsi="Arial" w:cs="Arial"/>
          <w:i/>
          <w:iCs/>
          <w:color w:val="2D2D2D"/>
          <w:sz w:val="22"/>
          <w:szCs w:val="22"/>
          <w:bdr w:val="none" w:sz="0" w:space="0" w:color="auto" w:frame="1"/>
          <w:lang w:eastAsia="es-CO"/>
        </w:rPr>
        <w:t>“</w:t>
      </w:r>
      <w:r w:rsidR="00D6446E" w:rsidRPr="00DB75C9">
        <w:rPr>
          <w:rFonts w:ascii="Arial" w:hAnsi="Arial" w:cs="Arial"/>
          <w:i/>
          <w:iCs/>
          <w:color w:val="2D2D2D"/>
          <w:sz w:val="22"/>
          <w:szCs w:val="22"/>
          <w:bdr w:val="none" w:sz="0" w:space="0" w:color="auto" w:frame="1"/>
          <w:lang w:eastAsia="es-CO"/>
        </w:rPr>
        <w:t>Ineficacia de las declaraciones de retención en la fuente presentadas sin pago total. Las declaraciones de retención en la fuente presentadas sin pago total no producirán efecto legal alguno, sin necesidad de acto administrativo que así lo declare…”</w:t>
      </w:r>
    </w:p>
    <w:p w14:paraId="1B505DB6" w14:textId="77777777" w:rsidR="00D6446E" w:rsidRPr="00CC1549" w:rsidRDefault="00D6446E" w:rsidP="00D6446E">
      <w:pPr>
        <w:jc w:val="both"/>
        <w:rPr>
          <w:rFonts w:ascii="Arial" w:hAnsi="Arial" w:cs="Arial"/>
          <w:i/>
          <w:sz w:val="24"/>
          <w:szCs w:val="24"/>
        </w:rPr>
      </w:pPr>
    </w:p>
    <w:p w14:paraId="10E85853" w14:textId="77777777" w:rsidR="00D6446E" w:rsidRPr="00CC1549" w:rsidRDefault="00D6446E" w:rsidP="00D6446E">
      <w:pPr>
        <w:shd w:val="clear" w:color="auto" w:fill="FFFFFF"/>
        <w:jc w:val="both"/>
        <w:rPr>
          <w:rStyle w:val="Textoennegrita"/>
          <w:rFonts w:ascii="Arial" w:hAnsi="Arial"/>
          <w:b w:val="0"/>
          <w:sz w:val="24"/>
          <w:szCs w:val="24"/>
        </w:rPr>
      </w:pPr>
      <w:r w:rsidRPr="00CC1549">
        <w:rPr>
          <w:rStyle w:val="Textoennegrita"/>
          <w:rFonts w:ascii="Arial" w:hAnsi="Arial"/>
          <w:b w:val="0"/>
          <w:sz w:val="24"/>
          <w:szCs w:val="24"/>
        </w:rPr>
        <w:t xml:space="preserve">Para referirnos a los antecedentes de la norma nos valdremos del </w:t>
      </w:r>
      <w:r w:rsidRPr="00CC1549">
        <w:rPr>
          <w:rStyle w:val="Textoennegrita"/>
          <w:rFonts w:ascii="Arial" w:hAnsi="Arial"/>
          <w:b w:val="0"/>
          <w:i/>
          <w:sz w:val="24"/>
          <w:szCs w:val="24"/>
        </w:rPr>
        <w:t>obiter dicta</w:t>
      </w:r>
      <w:r w:rsidRPr="00CC1549">
        <w:rPr>
          <w:rStyle w:val="Textoennegrita"/>
          <w:rFonts w:ascii="Arial" w:hAnsi="Arial"/>
          <w:b w:val="0"/>
          <w:sz w:val="24"/>
          <w:szCs w:val="24"/>
        </w:rPr>
        <w:t xml:space="preserve"> de la sentencia C-102 de 2015, la cual al particular anota:</w:t>
      </w:r>
    </w:p>
    <w:p w14:paraId="3C912ECF" w14:textId="77777777" w:rsidR="00D6446E" w:rsidRPr="00CC1549" w:rsidRDefault="00D6446E" w:rsidP="00D6446E">
      <w:pPr>
        <w:shd w:val="clear" w:color="auto" w:fill="FFFFFF"/>
        <w:jc w:val="both"/>
        <w:rPr>
          <w:rFonts w:ascii="Arial" w:hAnsi="Arial" w:cs="Arial"/>
          <w:sz w:val="24"/>
          <w:szCs w:val="24"/>
        </w:rPr>
      </w:pPr>
    </w:p>
    <w:p w14:paraId="28BDA00E" w14:textId="77777777" w:rsidR="00D6446E" w:rsidRPr="00DB75C9" w:rsidRDefault="00D6446E" w:rsidP="00D6446E">
      <w:pPr>
        <w:widowControl w:val="0"/>
        <w:autoSpaceDE w:val="0"/>
        <w:autoSpaceDN w:val="0"/>
        <w:adjustRightInd w:val="0"/>
        <w:ind w:right="-1" w:firstLine="708"/>
        <w:jc w:val="both"/>
        <w:rPr>
          <w:rFonts w:ascii="Arial" w:hAnsi="Arial" w:cs="Arial"/>
          <w:i/>
          <w:sz w:val="22"/>
          <w:szCs w:val="22"/>
        </w:rPr>
      </w:pPr>
      <w:r w:rsidRPr="00DB75C9">
        <w:rPr>
          <w:rFonts w:ascii="Arial" w:hAnsi="Arial" w:cs="Arial"/>
          <w:i/>
          <w:sz w:val="22"/>
          <w:szCs w:val="22"/>
        </w:rPr>
        <w:t xml:space="preserve">“Finalidad de la norma acusada: breve recuento de sus antecedentes </w:t>
      </w:r>
    </w:p>
    <w:p w14:paraId="0DB1FF4C" w14:textId="77777777" w:rsidR="00D6446E" w:rsidRPr="00DB75C9" w:rsidRDefault="00D6446E" w:rsidP="00D6446E">
      <w:pPr>
        <w:widowControl w:val="0"/>
        <w:autoSpaceDE w:val="0"/>
        <w:autoSpaceDN w:val="0"/>
        <w:adjustRightInd w:val="0"/>
        <w:ind w:right="-1"/>
        <w:jc w:val="both"/>
        <w:rPr>
          <w:rFonts w:ascii="Arial" w:hAnsi="Arial" w:cs="Arial"/>
          <w:i/>
          <w:sz w:val="22"/>
          <w:szCs w:val="22"/>
        </w:rPr>
      </w:pPr>
    </w:p>
    <w:p w14:paraId="009BC1A8" w14:textId="77777777" w:rsidR="00D6446E" w:rsidRPr="00DB75C9" w:rsidRDefault="00D6446E" w:rsidP="00D6446E">
      <w:pPr>
        <w:widowControl w:val="0"/>
        <w:autoSpaceDE w:val="0"/>
        <w:autoSpaceDN w:val="0"/>
        <w:adjustRightInd w:val="0"/>
        <w:ind w:left="567" w:right="-1"/>
        <w:jc w:val="both"/>
        <w:rPr>
          <w:rFonts w:ascii="Arial" w:hAnsi="Arial" w:cs="Arial"/>
          <w:i/>
          <w:sz w:val="22"/>
          <w:szCs w:val="22"/>
        </w:rPr>
      </w:pPr>
      <w:r w:rsidRPr="00DB75C9">
        <w:rPr>
          <w:rFonts w:ascii="Arial" w:hAnsi="Arial" w:cs="Arial"/>
          <w:i/>
          <w:sz w:val="22"/>
          <w:szCs w:val="22"/>
        </w:rPr>
        <w:t>28.</w:t>
      </w:r>
      <w:r w:rsidRPr="00DB75C9">
        <w:rPr>
          <w:rFonts w:ascii="Arial" w:hAnsi="Arial" w:cs="Arial"/>
          <w:i/>
          <w:sz w:val="22"/>
          <w:szCs w:val="22"/>
        </w:rPr>
        <w:tab/>
        <w:t>Para estudiar la constitucionalidad de la disposición demandada es necesario determinar su finalidad, la cual en el presente caso se puede comprender acudiendo a los antecedentes legislativos. En efecto, antes de que la Ley 1430 de 2000 adicionara la ineficacia de la declaración de retención por falta de pago total al artículo 580-1 al Estatuto Tributario, la ineficacia de la declaración de retención en la fuente estaba contemplada en el literal e) del artículo 580 de dicho estatuto. Esta disposición establecía:</w:t>
      </w:r>
    </w:p>
    <w:p w14:paraId="72610299" w14:textId="77777777" w:rsidR="00D6446E" w:rsidRPr="00DB75C9" w:rsidRDefault="00D6446E" w:rsidP="00D6446E">
      <w:pPr>
        <w:widowControl w:val="0"/>
        <w:autoSpaceDE w:val="0"/>
        <w:autoSpaceDN w:val="0"/>
        <w:adjustRightInd w:val="0"/>
        <w:ind w:right="-1"/>
        <w:jc w:val="both"/>
        <w:rPr>
          <w:rFonts w:ascii="Arial" w:hAnsi="Arial" w:cs="Arial"/>
          <w:i/>
          <w:sz w:val="22"/>
          <w:szCs w:val="22"/>
        </w:rPr>
      </w:pPr>
    </w:p>
    <w:p w14:paraId="0EADAD1C" w14:textId="77777777" w:rsidR="00D6446E" w:rsidRPr="00DB75C9" w:rsidRDefault="00D6446E" w:rsidP="00D6446E">
      <w:pPr>
        <w:widowControl w:val="0"/>
        <w:autoSpaceDE w:val="0"/>
        <w:autoSpaceDN w:val="0"/>
        <w:adjustRightInd w:val="0"/>
        <w:ind w:left="567" w:right="-1"/>
        <w:jc w:val="both"/>
        <w:rPr>
          <w:rFonts w:ascii="Arial" w:hAnsi="Arial" w:cs="Arial"/>
          <w:i/>
          <w:sz w:val="22"/>
          <w:szCs w:val="22"/>
        </w:rPr>
      </w:pPr>
      <w:r w:rsidRPr="00DB75C9">
        <w:rPr>
          <w:rFonts w:ascii="Arial" w:hAnsi="Arial" w:cs="Arial"/>
          <w:i/>
          <w:sz w:val="22"/>
          <w:szCs w:val="22"/>
        </w:rPr>
        <w:t>“Artículo 580. DECLARACIONES QUE SE TIENEN POR NO PRESENTADAS. No se entenderá cumplido el deber de presentar la declaración tributaria, en los siguientes casos: </w:t>
      </w:r>
    </w:p>
    <w:p w14:paraId="37D6BE0D" w14:textId="77777777" w:rsidR="00D6446E" w:rsidRPr="00DB75C9" w:rsidRDefault="00D6446E" w:rsidP="00D6446E">
      <w:pPr>
        <w:widowControl w:val="0"/>
        <w:autoSpaceDE w:val="0"/>
        <w:autoSpaceDN w:val="0"/>
        <w:adjustRightInd w:val="0"/>
        <w:ind w:left="567" w:right="-1"/>
        <w:jc w:val="both"/>
        <w:rPr>
          <w:rFonts w:ascii="Arial" w:hAnsi="Arial" w:cs="Arial"/>
          <w:i/>
          <w:sz w:val="22"/>
          <w:szCs w:val="22"/>
        </w:rPr>
      </w:pPr>
      <w:r w:rsidRPr="00DB75C9">
        <w:rPr>
          <w:rFonts w:ascii="Arial" w:hAnsi="Arial" w:cs="Arial"/>
          <w:i/>
          <w:sz w:val="22"/>
          <w:szCs w:val="22"/>
        </w:rPr>
        <w:t>…</w:t>
      </w:r>
    </w:p>
    <w:p w14:paraId="4445B903" w14:textId="77777777" w:rsidR="00D6446E" w:rsidRPr="00DB75C9" w:rsidRDefault="00D6446E" w:rsidP="00D6446E">
      <w:pPr>
        <w:widowControl w:val="0"/>
        <w:autoSpaceDE w:val="0"/>
        <w:autoSpaceDN w:val="0"/>
        <w:adjustRightInd w:val="0"/>
        <w:ind w:left="567" w:right="-1"/>
        <w:jc w:val="both"/>
        <w:rPr>
          <w:rFonts w:ascii="Arial" w:hAnsi="Arial" w:cs="Arial"/>
          <w:i/>
          <w:sz w:val="22"/>
          <w:szCs w:val="22"/>
        </w:rPr>
      </w:pPr>
      <w:r w:rsidRPr="00DB75C9">
        <w:rPr>
          <w:rFonts w:ascii="Arial" w:hAnsi="Arial" w:cs="Arial"/>
          <w:i/>
          <w:sz w:val="22"/>
          <w:szCs w:val="22"/>
        </w:rPr>
        <w:t>e) Cuando no contenga la constancia del pago del impuesto, en el caso de la declaración del impuesto de timbre.”</w:t>
      </w:r>
    </w:p>
    <w:p w14:paraId="41D77C16" w14:textId="77777777" w:rsidR="00D6446E" w:rsidRPr="00DB75C9" w:rsidRDefault="00D6446E" w:rsidP="00D6446E">
      <w:pPr>
        <w:widowControl w:val="0"/>
        <w:autoSpaceDE w:val="0"/>
        <w:autoSpaceDN w:val="0"/>
        <w:adjustRightInd w:val="0"/>
        <w:ind w:right="-1"/>
        <w:jc w:val="both"/>
        <w:rPr>
          <w:rFonts w:ascii="Arial" w:hAnsi="Arial" w:cs="Arial"/>
          <w:i/>
          <w:sz w:val="22"/>
          <w:szCs w:val="22"/>
        </w:rPr>
      </w:pPr>
    </w:p>
    <w:p w14:paraId="02C02339" w14:textId="77777777" w:rsidR="00D6446E" w:rsidRPr="00DB75C9" w:rsidRDefault="00D6446E" w:rsidP="00D6446E">
      <w:pPr>
        <w:widowControl w:val="0"/>
        <w:autoSpaceDE w:val="0"/>
        <w:autoSpaceDN w:val="0"/>
        <w:adjustRightInd w:val="0"/>
        <w:ind w:left="567" w:right="-1"/>
        <w:jc w:val="both"/>
        <w:rPr>
          <w:rFonts w:ascii="Arial" w:hAnsi="Arial" w:cs="Arial"/>
          <w:i/>
          <w:sz w:val="22"/>
          <w:szCs w:val="22"/>
        </w:rPr>
      </w:pPr>
      <w:r w:rsidRPr="00DB75C9">
        <w:rPr>
          <w:rFonts w:ascii="Arial" w:hAnsi="Arial" w:cs="Arial"/>
          <w:i/>
          <w:sz w:val="22"/>
          <w:szCs w:val="22"/>
        </w:rPr>
        <w:t>Posteriormente, el artículo 140 de la Ley 6ª de 1992 derogó expresamente dicho literal, el cual fue restablecido por el artículo 11 de la Ley 1066 de 2006, que modificó el texto y agregó un parágrafo 2º al artículo. El texto quedó de la siguiente manera:</w:t>
      </w:r>
    </w:p>
    <w:p w14:paraId="20140346" w14:textId="77777777" w:rsidR="00D6446E" w:rsidRPr="00DB75C9" w:rsidRDefault="00D6446E" w:rsidP="00D6446E">
      <w:pPr>
        <w:widowControl w:val="0"/>
        <w:autoSpaceDE w:val="0"/>
        <w:autoSpaceDN w:val="0"/>
        <w:adjustRightInd w:val="0"/>
        <w:ind w:right="-1"/>
        <w:jc w:val="both"/>
        <w:rPr>
          <w:rFonts w:ascii="Arial" w:hAnsi="Arial" w:cs="Arial"/>
          <w:i/>
          <w:sz w:val="22"/>
          <w:szCs w:val="22"/>
        </w:rPr>
      </w:pPr>
    </w:p>
    <w:p w14:paraId="3ACE4570" w14:textId="77777777" w:rsidR="00D6446E" w:rsidRPr="00DB75C9" w:rsidRDefault="00D6446E" w:rsidP="00D6446E">
      <w:pPr>
        <w:widowControl w:val="0"/>
        <w:autoSpaceDE w:val="0"/>
        <w:autoSpaceDN w:val="0"/>
        <w:adjustRightInd w:val="0"/>
        <w:ind w:left="567" w:right="-1"/>
        <w:jc w:val="both"/>
        <w:rPr>
          <w:rFonts w:ascii="Arial" w:hAnsi="Arial" w:cs="Arial"/>
          <w:i/>
          <w:sz w:val="22"/>
          <w:szCs w:val="22"/>
        </w:rPr>
      </w:pPr>
      <w:r w:rsidRPr="00DB75C9">
        <w:rPr>
          <w:rFonts w:ascii="Arial" w:hAnsi="Arial" w:cs="Arial"/>
          <w:i/>
          <w:sz w:val="22"/>
          <w:szCs w:val="22"/>
        </w:rPr>
        <w:t>Adiciónese un literal e) al artículo 580 del Estatuto Tributario y modifíquese el parágrafo 2o del artículo 606 del Estatuto Tributario, los cuales quedan así:</w:t>
      </w:r>
    </w:p>
    <w:p w14:paraId="164A9C3A" w14:textId="77777777" w:rsidR="00D6446E" w:rsidRPr="00DB75C9" w:rsidRDefault="00D6446E" w:rsidP="00D6446E">
      <w:pPr>
        <w:widowControl w:val="0"/>
        <w:autoSpaceDE w:val="0"/>
        <w:autoSpaceDN w:val="0"/>
        <w:adjustRightInd w:val="0"/>
        <w:ind w:left="567" w:right="-1"/>
        <w:jc w:val="both"/>
        <w:rPr>
          <w:rFonts w:ascii="Arial" w:hAnsi="Arial" w:cs="Arial"/>
          <w:i/>
          <w:sz w:val="22"/>
          <w:szCs w:val="22"/>
        </w:rPr>
      </w:pPr>
    </w:p>
    <w:p w14:paraId="47581BEF" w14:textId="77777777" w:rsidR="00D6446E" w:rsidRPr="00DB75C9" w:rsidRDefault="00D6446E" w:rsidP="00D6446E">
      <w:pPr>
        <w:widowControl w:val="0"/>
        <w:autoSpaceDE w:val="0"/>
        <w:autoSpaceDN w:val="0"/>
        <w:adjustRightInd w:val="0"/>
        <w:ind w:left="567" w:right="-1"/>
        <w:jc w:val="both"/>
        <w:rPr>
          <w:rFonts w:ascii="Arial" w:hAnsi="Arial" w:cs="Arial"/>
          <w:i/>
          <w:sz w:val="22"/>
          <w:szCs w:val="22"/>
        </w:rPr>
      </w:pPr>
      <w:r w:rsidRPr="00DB75C9">
        <w:rPr>
          <w:rFonts w:ascii="Arial" w:hAnsi="Arial" w:cs="Arial"/>
          <w:i/>
          <w:sz w:val="22"/>
          <w:szCs w:val="22"/>
        </w:rPr>
        <w:t>“e) Cuando la declaración de retención en la fuente se presente sin pago”.</w:t>
      </w:r>
    </w:p>
    <w:p w14:paraId="1A3488E0" w14:textId="77777777" w:rsidR="00D6446E" w:rsidRPr="00CC1549" w:rsidRDefault="00D6446E" w:rsidP="00D6446E">
      <w:pPr>
        <w:widowControl w:val="0"/>
        <w:autoSpaceDE w:val="0"/>
        <w:autoSpaceDN w:val="0"/>
        <w:adjustRightInd w:val="0"/>
        <w:ind w:left="567" w:right="-1"/>
        <w:jc w:val="both"/>
        <w:rPr>
          <w:rFonts w:ascii="Arial" w:hAnsi="Arial" w:cs="Arial"/>
          <w:i/>
          <w:sz w:val="24"/>
          <w:szCs w:val="24"/>
        </w:rPr>
      </w:pPr>
      <w:r w:rsidRPr="00DB75C9">
        <w:rPr>
          <w:rFonts w:ascii="Arial" w:hAnsi="Arial" w:cs="Arial"/>
          <w:i/>
          <w:sz w:val="22"/>
          <w:szCs w:val="22"/>
        </w:rPr>
        <w:t>“Parágrafo 2o. La presentación de la declaración de que trata este artículo será obligatoria en todos los casos. Cuando en el mes no se hayan realizado operaciones sujetas a retención, la declaración se presentará en ceros”.</w:t>
      </w:r>
    </w:p>
    <w:p w14:paraId="6C73C62D" w14:textId="77777777" w:rsidR="00D6446E" w:rsidRPr="00CC1549" w:rsidRDefault="00D6446E" w:rsidP="00D6446E">
      <w:pPr>
        <w:widowControl w:val="0"/>
        <w:autoSpaceDE w:val="0"/>
        <w:autoSpaceDN w:val="0"/>
        <w:adjustRightInd w:val="0"/>
        <w:ind w:left="567" w:right="-1"/>
        <w:jc w:val="both"/>
        <w:rPr>
          <w:rFonts w:ascii="Arial" w:hAnsi="Arial"/>
          <w:i/>
          <w:color w:val="2D2D2D"/>
          <w:sz w:val="24"/>
          <w:szCs w:val="24"/>
          <w:bdr w:val="none" w:sz="0" w:space="0" w:color="auto" w:frame="1"/>
        </w:rPr>
      </w:pPr>
    </w:p>
    <w:p w14:paraId="30868D28" w14:textId="77777777" w:rsidR="00D6446E" w:rsidRPr="00CC1549" w:rsidRDefault="00D6446E" w:rsidP="00D6446E">
      <w:pPr>
        <w:widowControl w:val="0"/>
        <w:autoSpaceDE w:val="0"/>
        <w:autoSpaceDN w:val="0"/>
        <w:adjustRightInd w:val="0"/>
        <w:ind w:right="-1"/>
        <w:jc w:val="both"/>
        <w:rPr>
          <w:rFonts w:ascii="Arial" w:hAnsi="Arial" w:cs="Arial"/>
          <w:sz w:val="24"/>
          <w:szCs w:val="24"/>
        </w:rPr>
      </w:pPr>
      <w:r w:rsidRPr="00CC1549">
        <w:rPr>
          <w:rFonts w:ascii="Arial" w:hAnsi="Arial" w:cs="Arial"/>
          <w:sz w:val="24"/>
          <w:szCs w:val="24"/>
        </w:rPr>
        <w:t xml:space="preserve">Dicha disposición, a su turno, fue modificada ese mismo año mediante el artículo 64 </w:t>
      </w:r>
      <w:r w:rsidRPr="00CC1549">
        <w:rPr>
          <w:rFonts w:ascii="Arial" w:hAnsi="Arial" w:cs="Arial"/>
          <w:sz w:val="24"/>
          <w:szCs w:val="24"/>
        </w:rPr>
        <w:lastRenderedPageBreak/>
        <w:t xml:space="preserve">de la Ley 1111 de 2006, que le agregó algunas causales para que no se configurara la causal de ineficacia. </w:t>
      </w:r>
    </w:p>
    <w:p w14:paraId="34E20515" w14:textId="77777777" w:rsidR="00D6446E" w:rsidRPr="00CC1549" w:rsidRDefault="00D6446E" w:rsidP="00D6446E">
      <w:pPr>
        <w:widowControl w:val="0"/>
        <w:autoSpaceDE w:val="0"/>
        <w:autoSpaceDN w:val="0"/>
        <w:adjustRightInd w:val="0"/>
        <w:ind w:right="-609"/>
        <w:jc w:val="both"/>
        <w:rPr>
          <w:rFonts w:ascii="Arial" w:hAnsi="Arial" w:cs="Arial"/>
          <w:i/>
          <w:sz w:val="24"/>
          <w:szCs w:val="24"/>
        </w:rPr>
      </w:pPr>
    </w:p>
    <w:p w14:paraId="5DE9D064" w14:textId="77777777" w:rsidR="00D6446E" w:rsidRPr="00DB75C9" w:rsidRDefault="00D6446E" w:rsidP="00D6446E">
      <w:pPr>
        <w:widowControl w:val="0"/>
        <w:autoSpaceDE w:val="0"/>
        <w:autoSpaceDN w:val="0"/>
        <w:adjustRightInd w:val="0"/>
        <w:ind w:left="567" w:right="-1"/>
        <w:jc w:val="both"/>
        <w:rPr>
          <w:rFonts w:ascii="Arial" w:hAnsi="Arial" w:cs="Arial"/>
          <w:i/>
          <w:sz w:val="22"/>
          <w:szCs w:val="22"/>
        </w:rPr>
      </w:pPr>
      <w:r w:rsidRPr="00DB75C9">
        <w:rPr>
          <w:rFonts w:ascii="Arial" w:hAnsi="Arial" w:cs="Arial"/>
          <w:i/>
          <w:sz w:val="22"/>
          <w:szCs w:val="22"/>
        </w:rPr>
        <w:t>29.</w:t>
      </w:r>
      <w:r w:rsidRPr="00DB75C9">
        <w:rPr>
          <w:rFonts w:ascii="Arial" w:hAnsi="Arial" w:cs="Arial"/>
          <w:i/>
          <w:sz w:val="22"/>
          <w:szCs w:val="22"/>
        </w:rPr>
        <w:tab/>
        <w:t>Sin embargo, no era claro si estas disposiciones suponían que la administración debía, en cada caso, expedir un acto administrativo proclamando expresamente que el agente retenedor había incumplido su deber de presentar la respectiva declaración. En esa medida, la Ley 1430 de 2010, hace explícito que la administración no necesariamente debe expedir un acto administrativo que declare la ineficacia, sino que esta opera de pleno derecho. En la exposición de motivos de la ley, se dijo:</w:t>
      </w:r>
    </w:p>
    <w:p w14:paraId="6DEC7D64" w14:textId="77777777" w:rsidR="00D6446E" w:rsidRPr="00DB75C9" w:rsidRDefault="00D6446E" w:rsidP="00D6446E">
      <w:pPr>
        <w:widowControl w:val="0"/>
        <w:autoSpaceDE w:val="0"/>
        <w:autoSpaceDN w:val="0"/>
        <w:adjustRightInd w:val="0"/>
        <w:ind w:right="-609"/>
        <w:jc w:val="both"/>
        <w:rPr>
          <w:i/>
          <w:sz w:val="22"/>
          <w:szCs w:val="22"/>
        </w:rPr>
      </w:pPr>
    </w:p>
    <w:p w14:paraId="24936934" w14:textId="77777777" w:rsidR="00D6446E" w:rsidRPr="00DB75C9" w:rsidRDefault="00D6446E" w:rsidP="00D6446E">
      <w:pPr>
        <w:widowControl w:val="0"/>
        <w:autoSpaceDE w:val="0"/>
        <w:autoSpaceDN w:val="0"/>
        <w:adjustRightInd w:val="0"/>
        <w:ind w:left="567" w:right="135"/>
        <w:jc w:val="both"/>
        <w:rPr>
          <w:rFonts w:ascii="Arial" w:hAnsi="Arial" w:cs="Arial"/>
          <w:i/>
          <w:sz w:val="22"/>
          <w:szCs w:val="22"/>
        </w:rPr>
      </w:pPr>
      <w:r w:rsidRPr="00DB75C9">
        <w:rPr>
          <w:rFonts w:ascii="Arial" w:hAnsi="Arial" w:cs="Arial"/>
          <w:i/>
          <w:sz w:val="22"/>
          <w:szCs w:val="22"/>
        </w:rPr>
        <w:t>“La norma consagra entonces, la ineficacia de pleno derecho, de las declaraciones de retención en la fuente presentadas sin pago, para sancionar efectivamente el incumplimiento en la obligación de trasladar las sumas retenidas a la Administración Tributaria y obligar a los agentes de retención al pago total de las retenciones, junto con sus respectivos intereses y sanciones, en forma concomitante con la presentación de la respectiva declaración, sin que tal ineficacia esté supeditada a un pronunciamiento previo de la Administración Tributaria.”</w:t>
      </w:r>
    </w:p>
    <w:p w14:paraId="4637BDBE" w14:textId="77777777" w:rsidR="00D6446E" w:rsidRPr="00DB75C9" w:rsidRDefault="00D6446E" w:rsidP="00D6446E">
      <w:pPr>
        <w:widowControl w:val="0"/>
        <w:autoSpaceDE w:val="0"/>
        <w:autoSpaceDN w:val="0"/>
        <w:adjustRightInd w:val="0"/>
        <w:ind w:right="-609"/>
        <w:jc w:val="both"/>
        <w:rPr>
          <w:rFonts w:ascii="Arial" w:hAnsi="Arial" w:cs="Arial"/>
          <w:i/>
          <w:sz w:val="22"/>
          <w:szCs w:val="22"/>
        </w:rPr>
      </w:pPr>
    </w:p>
    <w:p w14:paraId="6376F14C" w14:textId="77777777" w:rsidR="00D6446E" w:rsidRPr="00DB75C9" w:rsidRDefault="00D6446E" w:rsidP="00D6446E">
      <w:pPr>
        <w:widowControl w:val="0"/>
        <w:autoSpaceDE w:val="0"/>
        <w:autoSpaceDN w:val="0"/>
        <w:adjustRightInd w:val="0"/>
        <w:ind w:left="567" w:right="135"/>
        <w:jc w:val="both"/>
        <w:rPr>
          <w:rFonts w:ascii="Arial" w:hAnsi="Arial" w:cs="Arial"/>
          <w:i/>
          <w:sz w:val="22"/>
          <w:szCs w:val="22"/>
        </w:rPr>
      </w:pPr>
      <w:r w:rsidRPr="00DB75C9">
        <w:rPr>
          <w:rFonts w:ascii="Arial" w:hAnsi="Arial" w:cs="Arial"/>
          <w:i/>
          <w:sz w:val="22"/>
          <w:szCs w:val="22"/>
        </w:rPr>
        <w:t>“En estas condiciones, se busca acelerar el traslado de los recursos tributarios al fisco, por concepto de retenciones en la fuente y disminuir los costos asociados al manejo de procesos innecesarios que dificultan la acción fiscalizadora de la Dirección de Impuestos y Aduanas Nacionales.”</w:t>
      </w:r>
    </w:p>
    <w:p w14:paraId="6513D131" w14:textId="77777777" w:rsidR="00D6446E" w:rsidRPr="00DB75C9" w:rsidRDefault="00D6446E" w:rsidP="00D6446E">
      <w:pPr>
        <w:widowControl w:val="0"/>
        <w:autoSpaceDE w:val="0"/>
        <w:autoSpaceDN w:val="0"/>
        <w:adjustRightInd w:val="0"/>
        <w:ind w:right="-609"/>
        <w:jc w:val="both"/>
        <w:rPr>
          <w:i/>
          <w:sz w:val="22"/>
          <w:szCs w:val="22"/>
        </w:rPr>
      </w:pPr>
    </w:p>
    <w:p w14:paraId="444D23CF" w14:textId="6E88450A" w:rsidR="00D6446E" w:rsidRPr="00DB75C9" w:rsidRDefault="00D6446E" w:rsidP="00D6446E">
      <w:pPr>
        <w:shd w:val="clear" w:color="auto" w:fill="FFFFFF"/>
        <w:ind w:left="567"/>
        <w:jc w:val="both"/>
        <w:rPr>
          <w:rFonts w:ascii="Arial" w:hAnsi="Arial" w:cs="Arial"/>
          <w:i/>
          <w:sz w:val="22"/>
          <w:szCs w:val="22"/>
        </w:rPr>
      </w:pPr>
      <w:r w:rsidRPr="00DB75C9">
        <w:rPr>
          <w:rFonts w:ascii="Arial" w:hAnsi="Arial" w:cs="Arial"/>
          <w:i/>
          <w:sz w:val="22"/>
          <w:szCs w:val="22"/>
        </w:rPr>
        <w:t>30.</w:t>
      </w:r>
      <w:r w:rsidRPr="00DB75C9">
        <w:rPr>
          <w:rFonts w:ascii="Arial" w:hAnsi="Arial" w:cs="Arial"/>
          <w:i/>
          <w:sz w:val="22"/>
          <w:szCs w:val="22"/>
        </w:rPr>
        <w:tab/>
        <w:t>En esa medida, es claro que lo que busca el legislador es la realización del principio de eficiencia tributaria. En particular, acelerar, y garantizar el traslado efectivo de los recursos provenientes de la retención en la fuente, que proveen de liquidez a la administración durante el transcurso del año fiscal, y de reducir los costos de transacción asociados con el procedimiento administrativo tributario. Como se dijo anteriormente, este objetivo resulta legítimo desde el punto de vista constitucional, no sólo en virtud del principio de eficiencia tributaria, que al fin y al cabo tiene un carácter eminentemente instrumental, sino porque garantizar la efectividad y eficiencia del recaudo permite la realización de los fines del Estado en la mayor medida posible”</w:t>
      </w:r>
      <w:r w:rsidR="00DB75C9">
        <w:rPr>
          <w:rFonts w:ascii="Arial" w:hAnsi="Arial" w:cs="Arial"/>
          <w:i/>
          <w:sz w:val="22"/>
          <w:szCs w:val="22"/>
        </w:rPr>
        <w:t>.</w:t>
      </w:r>
    </w:p>
    <w:p w14:paraId="5E63A253" w14:textId="77777777" w:rsidR="00D6446E" w:rsidRPr="00CC1549" w:rsidRDefault="00D6446E" w:rsidP="00D6446E">
      <w:pPr>
        <w:shd w:val="clear" w:color="auto" w:fill="FFFFFF"/>
        <w:jc w:val="both"/>
        <w:rPr>
          <w:rFonts w:ascii="Arial" w:hAnsi="Arial" w:cs="Arial"/>
          <w:i/>
          <w:sz w:val="24"/>
          <w:szCs w:val="24"/>
        </w:rPr>
      </w:pPr>
    </w:p>
    <w:p w14:paraId="2F573A19" w14:textId="7F165D95" w:rsidR="00D6446E" w:rsidRPr="00CC1549" w:rsidRDefault="00D6446E" w:rsidP="00D6446E">
      <w:pPr>
        <w:shd w:val="clear" w:color="auto" w:fill="FFFFFF"/>
        <w:jc w:val="both"/>
        <w:rPr>
          <w:rFonts w:ascii="Arial" w:hAnsi="Arial" w:cs="Arial"/>
          <w:sz w:val="24"/>
          <w:szCs w:val="24"/>
        </w:rPr>
      </w:pPr>
      <w:r w:rsidRPr="00CC1549">
        <w:rPr>
          <w:rFonts w:ascii="Arial" w:hAnsi="Arial" w:cs="Arial"/>
          <w:sz w:val="24"/>
          <w:szCs w:val="24"/>
        </w:rPr>
        <w:t>En la misma sentencia C-10</w:t>
      </w:r>
      <w:r w:rsidR="000E1056">
        <w:rPr>
          <w:rFonts w:ascii="Arial" w:hAnsi="Arial" w:cs="Arial"/>
          <w:sz w:val="24"/>
          <w:szCs w:val="24"/>
        </w:rPr>
        <w:t>2</w:t>
      </w:r>
      <w:r w:rsidRPr="00CC1549">
        <w:rPr>
          <w:rFonts w:ascii="Arial" w:hAnsi="Arial" w:cs="Arial"/>
          <w:sz w:val="24"/>
          <w:szCs w:val="24"/>
        </w:rPr>
        <w:t xml:space="preserve"> de 2015, donde el Tribunal Constitucional avanza en la delimitación de la ineficacia de las declaraciones indicando su naturaleza y clarificando la institución jurídica en comento.</w:t>
      </w:r>
    </w:p>
    <w:p w14:paraId="405C92CB" w14:textId="77777777" w:rsidR="00D6446E" w:rsidRPr="00CC1549" w:rsidRDefault="00D6446E" w:rsidP="00D6446E">
      <w:pPr>
        <w:shd w:val="clear" w:color="auto" w:fill="FFFFFF"/>
        <w:jc w:val="both"/>
        <w:rPr>
          <w:rFonts w:ascii="Arial" w:hAnsi="Arial" w:cs="Arial"/>
          <w:sz w:val="24"/>
          <w:szCs w:val="24"/>
        </w:rPr>
      </w:pPr>
    </w:p>
    <w:p w14:paraId="3A785B0D" w14:textId="77777777" w:rsidR="00D6446E" w:rsidRPr="00CC1549" w:rsidRDefault="00D6446E" w:rsidP="00D6446E">
      <w:pPr>
        <w:shd w:val="clear" w:color="auto" w:fill="FFFFFF"/>
        <w:jc w:val="both"/>
        <w:rPr>
          <w:rFonts w:ascii="Arial" w:hAnsi="Arial" w:cs="Arial"/>
          <w:sz w:val="24"/>
          <w:szCs w:val="24"/>
        </w:rPr>
      </w:pPr>
      <w:r w:rsidRPr="00CC1549">
        <w:rPr>
          <w:rFonts w:ascii="Arial" w:hAnsi="Arial" w:cs="Arial"/>
          <w:sz w:val="24"/>
          <w:szCs w:val="24"/>
        </w:rPr>
        <w:t xml:space="preserve">Es en tal providencia que la Corte indica que: </w:t>
      </w:r>
    </w:p>
    <w:p w14:paraId="3649CB61" w14:textId="77777777" w:rsidR="00D6446E" w:rsidRPr="00DB75C9" w:rsidRDefault="00D6446E" w:rsidP="00D6446E">
      <w:pPr>
        <w:widowControl w:val="0"/>
        <w:autoSpaceDE w:val="0"/>
        <w:autoSpaceDN w:val="0"/>
        <w:adjustRightInd w:val="0"/>
        <w:ind w:right="-609"/>
        <w:jc w:val="both"/>
        <w:rPr>
          <w:i/>
          <w:sz w:val="22"/>
          <w:szCs w:val="22"/>
        </w:rPr>
      </w:pPr>
    </w:p>
    <w:p w14:paraId="480C10EB" w14:textId="77777777" w:rsidR="00D6446E" w:rsidRPr="00DB75C9" w:rsidRDefault="00D6446E" w:rsidP="00D6446E">
      <w:pPr>
        <w:widowControl w:val="0"/>
        <w:autoSpaceDE w:val="0"/>
        <w:autoSpaceDN w:val="0"/>
        <w:adjustRightInd w:val="0"/>
        <w:ind w:left="708" w:right="49"/>
        <w:jc w:val="both"/>
        <w:rPr>
          <w:rFonts w:ascii="Arial" w:hAnsi="Arial" w:cs="Arial"/>
          <w:i/>
          <w:sz w:val="22"/>
          <w:szCs w:val="22"/>
        </w:rPr>
      </w:pPr>
      <w:r w:rsidRPr="00DB75C9">
        <w:rPr>
          <w:rFonts w:ascii="Arial" w:hAnsi="Arial" w:cs="Arial"/>
          <w:i/>
          <w:sz w:val="22"/>
          <w:szCs w:val="22"/>
        </w:rPr>
        <w:t>“ 6.</w:t>
      </w:r>
      <w:r w:rsidRPr="00DB75C9">
        <w:rPr>
          <w:rFonts w:ascii="Arial" w:hAnsi="Arial" w:cs="Arial"/>
          <w:i/>
          <w:sz w:val="22"/>
          <w:szCs w:val="22"/>
        </w:rPr>
        <w:tab/>
        <w:t>En términos generales, la ineficacia es un atributo o característica de</w:t>
      </w:r>
      <w:r w:rsidRPr="00DB75C9">
        <w:rPr>
          <w:i/>
          <w:sz w:val="22"/>
          <w:szCs w:val="22"/>
        </w:rPr>
        <w:t xml:space="preserve"> </w:t>
      </w:r>
      <w:r w:rsidRPr="00DB75C9">
        <w:rPr>
          <w:rFonts w:ascii="Arial" w:hAnsi="Arial" w:cs="Arial"/>
          <w:i/>
          <w:sz w:val="22"/>
          <w:szCs w:val="22"/>
        </w:rPr>
        <w:t xml:space="preserve">determinados hechos, actos, o normas, según la cual estas no son susceptibles de producir efectos. Sin embargo, es necesario distinguir entre dos tipos distintos de ineficacia: la ineficacia de hecho, y la ineficacia jurídica. Así, puede decirse que una </w:t>
      </w:r>
      <w:r w:rsidRPr="00DB75C9">
        <w:rPr>
          <w:rFonts w:ascii="Arial" w:hAnsi="Arial" w:cs="Arial"/>
          <w:i/>
          <w:sz w:val="22"/>
          <w:szCs w:val="22"/>
        </w:rPr>
        <w:lastRenderedPageBreak/>
        <w:t xml:space="preserve">norma jurídica es ineficaz de hecho cuando se presentan los presupuestos de hecho que deberían dar lugar a la consecuencia normativa respectiva, pero ésta última no se cumple. En esta situación estamos hablando de una ineficacia de hecho de la norma jurídica, la cual no es más que un dato empírico, una observación que describe un determinado estado de cosas. Esta situación, sin embargo, es distinta de aquella en que la misma norma jurídica establece la ineficacia como una consecuencia jurídica. La última parte del supuesto de que el acto o hecho debería, en principio, producir determinados efectos jurídicos. Sin embargo, por una razón u otra, la norma misma dispone que, a pesar de la ocurrencia del presupuesto fáctico contemplado en la norma, no se desprenda de éste la consecuencia jurídica prevista como regla general. Aquí estamos frente a una ineficacia jurídica, es decir, una consecuencia establecida por el mismo ordenamiento jurídico como un deber ser, y no frente a una simple observación descriptiva de la realidad. </w:t>
      </w:r>
    </w:p>
    <w:p w14:paraId="11F1E88E" w14:textId="77777777" w:rsidR="00D6446E" w:rsidRPr="00DB75C9" w:rsidRDefault="00D6446E" w:rsidP="00D6446E">
      <w:pPr>
        <w:widowControl w:val="0"/>
        <w:autoSpaceDE w:val="0"/>
        <w:autoSpaceDN w:val="0"/>
        <w:adjustRightInd w:val="0"/>
        <w:ind w:right="49"/>
        <w:jc w:val="both"/>
        <w:rPr>
          <w:rFonts w:ascii="Arial" w:hAnsi="Arial" w:cs="Arial"/>
          <w:i/>
          <w:sz w:val="22"/>
          <w:szCs w:val="22"/>
        </w:rPr>
      </w:pPr>
    </w:p>
    <w:p w14:paraId="0873599E" w14:textId="77777777" w:rsidR="00D6446E" w:rsidRPr="00DB75C9" w:rsidRDefault="00D6446E" w:rsidP="00D6446E">
      <w:pPr>
        <w:widowControl w:val="0"/>
        <w:autoSpaceDE w:val="0"/>
        <w:autoSpaceDN w:val="0"/>
        <w:adjustRightInd w:val="0"/>
        <w:ind w:left="708" w:right="49"/>
        <w:jc w:val="both"/>
        <w:rPr>
          <w:rFonts w:ascii="Arial" w:hAnsi="Arial" w:cs="Arial"/>
          <w:i/>
          <w:sz w:val="22"/>
          <w:szCs w:val="22"/>
        </w:rPr>
      </w:pPr>
      <w:r w:rsidRPr="00DB75C9">
        <w:rPr>
          <w:rFonts w:ascii="Arial" w:hAnsi="Arial" w:cs="Arial"/>
          <w:i/>
          <w:sz w:val="22"/>
          <w:szCs w:val="22"/>
        </w:rPr>
        <w:t>7.</w:t>
      </w:r>
      <w:r w:rsidRPr="00DB75C9">
        <w:rPr>
          <w:rFonts w:ascii="Arial" w:hAnsi="Arial" w:cs="Arial"/>
          <w:i/>
          <w:sz w:val="22"/>
          <w:szCs w:val="22"/>
        </w:rPr>
        <w:tab/>
        <w:t xml:space="preserve">La norma demandada dispone que las declaraciones de retención en la fuente presentadas sin pago total no producirán efecto alguno. La presentación de las declaraciones de retención en la fuente constituye una obligación tributaria en cabeza de quienes conforme a las normas tributarias son agentes retenedores. Por lo tanto, debe entenderse que cuando dicha declaración no se presenta con el pago, se entiende que el agente retenedor no ha cumplido con su obligación. Es decir, para que se entienda que los sujetos de la norma cumplieron con su obligación de declarar la retención en la fuente debieron haberla presentado con el pago total de las sumas declaradas. En otras palabras, la norma demandada está estableciendo que el pago constituye una condición necesaria para el adecuado cumplimiento de la obligación tributaria de declarar. El pago es, entonces, una condición concomitante con la obligación de declarar la retención en la fuente. </w:t>
      </w:r>
    </w:p>
    <w:p w14:paraId="4C41C78F" w14:textId="77777777" w:rsidR="00D6446E" w:rsidRPr="00DB75C9" w:rsidRDefault="00D6446E" w:rsidP="00D6446E">
      <w:pPr>
        <w:widowControl w:val="0"/>
        <w:autoSpaceDE w:val="0"/>
        <w:autoSpaceDN w:val="0"/>
        <w:adjustRightInd w:val="0"/>
        <w:ind w:right="49"/>
        <w:jc w:val="both"/>
        <w:rPr>
          <w:rFonts w:ascii="Arial" w:hAnsi="Arial" w:cs="Arial"/>
          <w:i/>
          <w:sz w:val="22"/>
          <w:szCs w:val="22"/>
        </w:rPr>
      </w:pPr>
    </w:p>
    <w:p w14:paraId="12918587" w14:textId="77777777" w:rsidR="00D6446E" w:rsidRPr="00DB75C9" w:rsidRDefault="00D6446E" w:rsidP="00D6446E">
      <w:pPr>
        <w:widowControl w:val="0"/>
        <w:autoSpaceDE w:val="0"/>
        <w:autoSpaceDN w:val="0"/>
        <w:adjustRightInd w:val="0"/>
        <w:ind w:left="708" w:right="49"/>
        <w:jc w:val="both"/>
        <w:rPr>
          <w:rFonts w:ascii="Arial" w:hAnsi="Arial" w:cs="Arial"/>
          <w:i/>
          <w:sz w:val="22"/>
          <w:szCs w:val="22"/>
        </w:rPr>
      </w:pPr>
      <w:r w:rsidRPr="00DB75C9">
        <w:rPr>
          <w:rFonts w:ascii="Arial" w:hAnsi="Arial" w:cs="Arial"/>
          <w:i/>
          <w:sz w:val="22"/>
          <w:szCs w:val="22"/>
        </w:rPr>
        <w:t>8.</w:t>
      </w:r>
      <w:r w:rsidRPr="00DB75C9">
        <w:rPr>
          <w:rFonts w:ascii="Arial" w:hAnsi="Arial" w:cs="Arial"/>
          <w:i/>
          <w:sz w:val="22"/>
          <w:szCs w:val="22"/>
        </w:rPr>
        <w:tab/>
        <w:t xml:space="preserve">El establecimiento de requisitos o condiciones concomitantes, que deben satisfacer los sujetos pasivos en el cumplimiento de sus obligaciones tributarias, no constituye una sanción ni puede equipararse a ella. Estas condiciones simplemente determinan las circunstancias de tiempo, modo y lugar en que se deben cumplir tales obligaciones. Las sanciones, por el contrario, suponen obligaciones secundarias que resultan exigibles, no en el momento en que se cumple la obligación tributaria, sino en un momento posterior, una vez se ha configurado el incumplimiento, pues precisamente son consecuencia de la inobservancia de deberes u obligaciones tributarias principales”. </w:t>
      </w:r>
    </w:p>
    <w:p w14:paraId="73BC57F1" w14:textId="77777777" w:rsidR="00D6446E" w:rsidRPr="00CC1549" w:rsidRDefault="00D6446E" w:rsidP="00D6446E">
      <w:pPr>
        <w:widowControl w:val="0"/>
        <w:autoSpaceDE w:val="0"/>
        <w:autoSpaceDN w:val="0"/>
        <w:adjustRightInd w:val="0"/>
        <w:ind w:right="-609"/>
        <w:jc w:val="both"/>
        <w:rPr>
          <w:rFonts w:ascii="Arial" w:hAnsi="Arial" w:cs="Arial"/>
          <w:sz w:val="24"/>
          <w:szCs w:val="24"/>
        </w:rPr>
      </w:pPr>
    </w:p>
    <w:p w14:paraId="1B86B8D5" w14:textId="77777777" w:rsidR="00D6446E" w:rsidRPr="00CC1549" w:rsidRDefault="00D6446E" w:rsidP="00D6446E">
      <w:pPr>
        <w:widowControl w:val="0"/>
        <w:autoSpaceDE w:val="0"/>
        <w:autoSpaceDN w:val="0"/>
        <w:adjustRightInd w:val="0"/>
        <w:ind w:right="-1"/>
        <w:jc w:val="both"/>
        <w:rPr>
          <w:rFonts w:ascii="Arial" w:hAnsi="Arial"/>
          <w:sz w:val="24"/>
          <w:szCs w:val="24"/>
        </w:rPr>
      </w:pPr>
      <w:r w:rsidRPr="00CC1549">
        <w:rPr>
          <w:rFonts w:ascii="Arial" w:hAnsi="Arial"/>
          <w:sz w:val="24"/>
          <w:szCs w:val="24"/>
        </w:rPr>
        <w:t>Más adelante la jurisprudencia en comento indica y define que la ineficacia no es en manera alguna una sanción y presenta un ejemplo de la sindéresis de la figura:</w:t>
      </w:r>
    </w:p>
    <w:p w14:paraId="1A6D75A9" w14:textId="77777777" w:rsidR="00D6446E" w:rsidRPr="00CC1549" w:rsidRDefault="00D6446E" w:rsidP="00D6446E">
      <w:pPr>
        <w:widowControl w:val="0"/>
        <w:autoSpaceDE w:val="0"/>
        <w:autoSpaceDN w:val="0"/>
        <w:adjustRightInd w:val="0"/>
        <w:ind w:right="-609"/>
        <w:jc w:val="both"/>
        <w:rPr>
          <w:sz w:val="24"/>
          <w:szCs w:val="24"/>
        </w:rPr>
      </w:pPr>
    </w:p>
    <w:p w14:paraId="7447834C" w14:textId="77777777" w:rsidR="00D6446E" w:rsidRPr="00DB75C9" w:rsidRDefault="00D6446E" w:rsidP="00D6446E">
      <w:pPr>
        <w:widowControl w:val="0"/>
        <w:autoSpaceDE w:val="0"/>
        <w:autoSpaceDN w:val="0"/>
        <w:adjustRightInd w:val="0"/>
        <w:ind w:left="708" w:right="49"/>
        <w:jc w:val="both"/>
        <w:rPr>
          <w:rFonts w:ascii="Arial" w:hAnsi="Arial" w:cs="Arial"/>
          <w:i/>
          <w:sz w:val="22"/>
          <w:szCs w:val="22"/>
        </w:rPr>
      </w:pPr>
      <w:r w:rsidRPr="00DB75C9">
        <w:rPr>
          <w:rFonts w:ascii="Arial" w:hAnsi="Arial" w:cs="Arial"/>
          <w:i/>
          <w:sz w:val="22"/>
          <w:szCs w:val="22"/>
        </w:rPr>
        <w:t>“10.</w:t>
      </w:r>
      <w:r w:rsidRPr="00DB75C9">
        <w:rPr>
          <w:rFonts w:ascii="Arial" w:hAnsi="Arial" w:cs="Arial"/>
          <w:i/>
          <w:sz w:val="22"/>
          <w:szCs w:val="22"/>
        </w:rPr>
        <w:tab/>
        <w:t xml:space="preserve">Para ilustrar mejor la diferencia entre las condiciones concomitantes y las sanciones, resulta útil plantear las hipótesis fácticas en que se puede encontrar el agente retenedor. Un agente retenedor puede presentar su declaración de retención a tiempo, pero sin realizar el pago respectivo. Sin embargo, por esta sola razón no puede afirmarse que dicho agente esté sujeto a las sanciones por extemporaneidad, </w:t>
      </w:r>
      <w:r w:rsidRPr="00DB75C9">
        <w:rPr>
          <w:rFonts w:ascii="Arial" w:hAnsi="Arial" w:cs="Arial"/>
          <w:i/>
          <w:sz w:val="22"/>
          <w:szCs w:val="22"/>
        </w:rPr>
        <w:lastRenderedPageBreak/>
        <w:t xml:space="preserve">ni a los intereses de mora. En esa medida, la administración no podría imponerle sanción alguna, a pesar de que haya presentado una declaración que a la luz de la disposición demandada resulta ineficaz por falta de pago total. Para que ello sea así, para que la administración pueda imponerle una sanción por extemporaneidad a dicho agente, es necesario que se cumpla el plazo que establece la ley para el cumplimiento de las respectivas obligaciones tributarias. Si el agente retenedor presenta nuevamente la declaración con el pago total de las sumas declaradas dentro de dicho plazo, no estará obligado a pagar la multa por extemporaneidad, ni los intereses de mora, pues ni la declaración es extemporánea, ni se ha incurrido en la mora. Por el contrario, si el agente retenedor paga una vez se ha vencido el plazo, la administración sí puede imponerle una multa por la extemporaneidad de la declaración, y cobrarle los intereses de mora a que haya lugar. Sin embargo, la multa que podría acarrearle presentar la declaración sin el pago se deriva del hecho de no haberla presentado con el cumplimiento de todos los requisitos exigidos en la ley, y dentro de los plazos establecidos. Por ello es que la administración no puede imponerle al sujeto pasivo de la obligación tributaria una sanción mientras todavía se encuentre dentro del plazo para declarar y pagar. En este sentido, es necesario concluir que la ineficacia de la declaración por el no pago total de las sumas declaradas no constituye en sí misma una sanción. Por el contrario, el pago constituye una condición necesaria para que se entienda que la declaración produce efectos jurídicos”. </w:t>
      </w:r>
    </w:p>
    <w:p w14:paraId="7684EF92" w14:textId="77777777" w:rsidR="00D6446E" w:rsidRPr="00CC1549" w:rsidRDefault="00D6446E" w:rsidP="00D6446E">
      <w:pPr>
        <w:shd w:val="clear" w:color="auto" w:fill="FFFFFF"/>
        <w:jc w:val="both"/>
        <w:rPr>
          <w:rFonts w:ascii="Arial" w:hAnsi="Arial" w:cs="Arial"/>
          <w:i/>
          <w:sz w:val="24"/>
          <w:szCs w:val="24"/>
        </w:rPr>
      </w:pPr>
    </w:p>
    <w:p w14:paraId="64E7A2B5" w14:textId="5CA21B0B" w:rsidR="00D6446E" w:rsidRPr="00CC1549" w:rsidRDefault="00D6446E" w:rsidP="00D6446E">
      <w:pPr>
        <w:shd w:val="clear" w:color="auto" w:fill="FFFFFF"/>
        <w:jc w:val="both"/>
        <w:rPr>
          <w:rFonts w:ascii="Arial" w:hAnsi="Arial"/>
          <w:sz w:val="24"/>
          <w:szCs w:val="24"/>
        </w:rPr>
      </w:pPr>
      <w:r w:rsidRPr="00CC1549">
        <w:rPr>
          <w:rFonts w:ascii="Arial" w:hAnsi="Arial"/>
          <w:sz w:val="24"/>
          <w:szCs w:val="24"/>
        </w:rPr>
        <w:t xml:space="preserve">Queda claro </w:t>
      </w:r>
      <w:r w:rsidR="004238B4">
        <w:rPr>
          <w:rFonts w:ascii="Arial" w:hAnsi="Arial"/>
          <w:sz w:val="24"/>
          <w:szCs w:val="24"/>
        </w:rPr>
        <w:t xml:space="preserve">que </w:t>
      </w:r>
      <w:r w:rsidRPr="00CC1549">
        <w:rPr>
          <w:rFonts w:ascii="Arial" w:hAnsi="Arial"/>
          <w:sz w:val="24"/>
          <w:szCs w:val="24"/>
        </w:rPr>
        <w:t>la interpretación constitucional tiene una variación al considerar que la ineficacia es una condición concomitante con el pago para que se entienda cumplido el deber de declarar sin que la misma constituya una sanción en si misma; dejando de lado o de manera incidental la comisión de las sanciones que se generarían por el incumplimiento del deber de declarar.</w:t>
      </w:r>
    </w:p>
    <w:p w14:paraId="2559DE89" w14:textId="77777777" w:rsidR="00D6446E" w:rsidRPr="00CC1549" w:rsidRDefault="00D6446E" w:rsidP="00D6446E">
      <w:pPr>
        <w:shd w:val="clear" w:color="auto" w:fill="FFFFFF"/>
        <w:jc w:val="both"/>
        <w:rPr>
          <w:rFonts w:ascii="Arial" w:hAnsi="Arial"/>
          <w:sz w:val="24"/>
          <w:szCs w:val="24"/>
        </w:rPr>
      </w:pPr>
    </w:p>
    <w:p w14:paraId="03BAED03" w14:textId="51F45C3F" w:rsidR="00D6446E" w:rsidRPr="00CC1549" w:rsidRDefault="00D6446E" w:rsidP="00D6446E">
      <w:pPr>
        <w:jc w:val="both"/>
        <w:rPr>
          <w:rFonts w:ascii="Arial" w:hAnsi="Arial"/>
          <w:color w:val="000000"/>
          <w:sz w:val="24"/>
          <w:szCs w:val="24"/>
        </w:rPr>
      </w:pPr>
      <w:r w:rsidRPr="00CC1549">
        <w:rPr>
          <w:rStyle w:val="Textoennegrita"/>
          <w:rFonts w:ascii="Arial" w:hAnsi="Arial"/>
          <w:b w:val="0"/>
          <w:sz w:val="24"/>
          <w:szCs w:val="24"/>
        </w:rPr>
        <w:t>Ahora, en la reciente Ley 1943</w:t>
      </w:r>
      <w:r w:rsidR="000E1056">
        <w:rPr>
          <w:rStyle w:val="Textoennegrita"/>
          <w:rFonts w:ascii="Arial" w:hAnsi="Arial"/>
          <w:b w:val="0"/>
          <w:sz w:val="24"/>
          <w:szCs w:val="24"/>
        </w:rPr>
        <w:t xml:space="preserve"> de 2018</w:t>
      </w:r>
      <w:r w:rsidRPr="00CC1549">
        <w:rPr>
          <w:rStyle w:val="Textoennegrita"/>
          <w:rFonts w:ascii="Arial" w:hAnsi="Arial"/>
          <w:b w:val="0"/>
          <w:sz w:val="24"/>
          <w:szCs w:val="24"/>
        </w:rPr>
        <w:t xml:space="preserve">, en su artículo 89 se modificó el </w:t>
      </w:r>
      <w:r w:rsidRPr="00CC1549">
        <w:rPr>
          <w:rFonts w:ascii="Arial" w:hAnsi="Arial"/>
          <w:color w:val="000000"/>
          <w:sz w:val="24"/>
          <w:szCs w:val="24"/>
        </w:rPr>
        <w:t xml:space="preserve">inciso 5º del artículo 580-1 del </w:t>
      </w:r>
      <w:r w:rsidRPr="00CC1549">
        <w:rPr>
          <w:rFonts w:ascii="Arial" w:hAnsi="Arial" w:cs="Arial"/>
          <w:color w:val="000000"/>
          <w:sz w:val="24"/>
          <w:szCs w:val="24"/>
        </w:rPr>
        <w:t>Estatuto T</w:t>
      </w:r>
      <w:r w:rsidRPr="00CC1549">
        <w:rPr>
          <w:rFonts w:ascii="Arial" w:hAnsi="Arial"/>
          <w:color w:val="000000"/>
          <w:sz w:val="24"/>
          <w:szCs w:val="24"/>
        </w:rPr>
        <w:t>ributario, en los siguientes términos:</w:t>
      </w:r>
    </w:p>
    <w:p w14:paraId="35234B41" w14:textId="77777777" w:rsidR="00D6446E" w:rsidRPr="00CC1549" w:rsidRDefault="00D6446E" w:rsidP="00D6446E">
      <w:pPr>
        <w:jc w:val="both"/>
        <w:rPr>
          <w:rFonts w:ascii="Arial" w:hAnsi="Arial" w:cs="Arial"/>
          <w:color w:val="000000"/>
          <w:sz w:val="24"/>
          <w:szCs w:val="24"/>
          <w:lang w:val="es-CO" w:eastAsia="es-CO"/>
        </w:rPr>
      </w:pPr>
    </w:p>
    <w:p w14:paraId="260ADB2D" w14:textId="2935D94B" w:rsidR="00D6446E" w:rsidRPr="00CC1549" w:rsidRDefault="000E1056" w:rsidP="00D6446E">
      <w:pPr>
        <w:pStyle w:val="nueve"/>
        <w:spacing w:before="0" w:beforeAutospacing="0" w:after="0" w:afterAutospacing="0"/>
        <w:ind w:left="708"/>
        <w:jc w:val="both"/>
        <w:rPr>
          <w:rFonts w:ascii="Arial" w:hAnsi="Arial" w:cs="Arial"/>
          <w:i/>
          <w:lang w:val="es-ES_tradnl" w:eastAsia="es-ES_tradnl"/>
        </w:rPr>
      </w:pPr>
      <w:r>
        <w:rPr>
          <w:rFonts w:ascii="Arial" w:hAnsi="Arial" w:cs="Arial"/>
          <w:i/>
          <w:sz w:val="22"/>
          <w:szCs w:val="22"/>
          <w:lang w:val="es-ES_tradnl" w:eastAsia="es-ES_tradnl"/>
        </w:rPr>
        <w:t>“</w:t>
      </w:r>
      <w:r w:rsidR="00D6446E" w:rsidRPr="00DB75C9">
        <w:rPr>
          <w:rFonts w:ascii="Arial" w:hAnsi="Arial" w:cs="Arial"/>
          <w:i/>
          <w:sz w:val="22"/>
          <w:szCs w:val="22"/>
          <w:lang w:val="es-ES_tradnl" w:eastAsia="es-ES_tradnl"/>
        </w:rPr>
        <w:t>La declaración de retención en la fuente que se haya presentado sin pago total 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aun cuando en el sistema la declaración tenga una marca de ineficaz para el agente retenedor bajo los presupuestos establecidos en este artículo</w:t>
      </w:r>
      <w:r w:rsidR="00DB75C9">
        <w:rPr>
          <w:rFonts w:ascii="Arial" w:hAnsi="Arial" w:cs="Arial"/>
          <w:i/>
          <w:sz w:val="22"/>
          <w:szCs w:val="22"/>
          <w:lang w:val="es-ES_tradnl" w:eastAsia="es-ES_tradnl"/>
        </w:rPr>
        <w:t>”</w:t>
      </w:r>
      <w:r>
        <w:rPr>
          <w:rFonts w:ascii="Arial" w:hAnsi="Arial" w:cs="Arial"/>
          <w:i/>
          <w:sz w:val="22"/>
          <w:szCs w:val="22"/>
          <w:lang w:val="es-ES_tradnl" w:eastAsia="es-ES_tradnl"/>
        </w:rPr>
        <w:t>.</w:t>
      </w:r>
    </w:p>
    <w:p w14:paraId="098709AB" w14:textId="77777777" w:rsidR="00D6446E" w:rsidRPr="00CC1549" w:rsidRDefault="00D6446E" w:rsidP="00D6446E">
      <w:pPr>
        <w:jc w:val="both"/>
        <w:rPr>
          <w:bCs/>
          <w:i/>
          <w:sz w:val="24"/>
          <w:szCs w:val="24"/>
        </w:rPr>
      </w:pPr>
    </w:p>
    <w:p w14:paraId="0D51C8A5" w14:textId="678C1DD2"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lastRenderedPageBreak/>
        <w:t>Conforme a ello con ocasión a la Ley 1943</w:t>
      </w:r>
      <w:r w:rsidR="000E1056">
        <w:rPr>
          <w:rStyle w:val="Textoennegrita"/>
          <w:rFonts w:ascii="Arial" w:hAnsi="Arial"/>
          <w:b w:val="0"/>
          <w:sz w:val="24"/>
          <w:szCs w:val="24"/>
        </w:rPr>
        <w:t xml:space="preserve"> de 2018</w:t>
      </w:r>
      <w:r w:rsidRPr="00CC1549">
        <w:rPr>
          <w:rStyle w:val="Textoennegrita"/>
          <w:rFonts w:ascii="Arial" w:hAnsi="Arial"/>
          <w:b w:val="0"/>
          <w:sz w:val="24"/>
          <w:szCs w:val="24"/>
        </w:rPr>
        <w:t xml:space="preserve">, las declaraciones de retención en la fuente con pago parcial o sin pago total, son ineficaces pero a la vez tienen condiciones de ser </w:t>
      </w:r>
      <w:r w:rsidRPr="00CC1549">
        <w:rPr>
          <w:rStyle w:val="Textoennegrita"/>
          <w:rFonts w:ascii="Arial" w:hAnsi="Arial" w:cs="Arial"/>
          <w:b w:val="0"/>
          <w:sz w:val="24"/>
          <w:szCs w:val="24"/>
        </w:rPr>
        <w:t>título</w:t>
      </w:r>
      <w:r w:rsidRPr="00CC1549">
        <w:rPr>
          <w:rStyle w:val="Textoennegrita"/>
          <w:rFonts w:ascii="Arial" w:hAnsi="Arial"/>
          <w:b w:val="0"/>
          <w:sz w:val="24"/>
          <w:szCs w:val="24"/>
        </w:rPr>
        <w:t xml:space="preserve"> ejecutivo. </w:t>
      </w:r>
    </w:p>
    <w:p w14:paraId="158B0FA7" w14:textId="77777777" w:rsidR="00D6446E" w:rsidRPr="00CC1549" w:rsidRDefault="00D6446E" w:rsidP="00D6446E">
      <w:pPr>
        <w:jc w:val="both"/>
        <w:rPr>
          <w:rStyle w:val="Textoennegrita"/>
          <w:rFonts w:ascii="Arial" w:hAnsi="Arial"/>
          <w:b w:val="0"/>
          <w:sz w:val="24"/>
          <w:szCs w:val="24"/>
        </w:rPr>
      </w:pPr>
    </w:p>
    <w:p w14:paraId="12E42581"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No obstante lo anterior, y atendiendo la irretroactividad de la ley tributaria, los contribuyentes que con anterioridad a la mencionada disposición no tengan el pago total de la retención en la fuente están sometidos y expuestos a importantes sanciones. </w:t>
      </w:r>
    </w:p>
    <w:p w14:paraId="557F834E" w14:textId="77777777" w:rsidR="00D6446E" w:rsidRPr="00CC1549" w:rsidRDefault="00D6446E" w:rsidP="00D6446E">
      <w:pPr>
        <w:jc w:val="both"/>
        <w:rPr>
          <w:rStyle w:val="Textoennegrita"/>
          <w:rFonts w:ascii="Arial" w:hAnsi="Arial"/>
          <w:b w:val="0"/>
          <w:sz w:val="24"/>
          <w:szCs w:val="24"/>
        </w:rPr>
      </w:pPr>
    </w:p>
    <w:p w14:paraId="17DD1F14"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Por lo anterior</w:t>
      </w:r>
      <w:r w:rsidRPr="00CC1549">
        <w:rPr>
          <w:rStyle w:val="Textoennegrita"/>
          <w:rFonts w:ascii="Arial" w:hAnsi="Arial" w:cs="Arial"/>
          <w:b w:val="0"/>
          <w:sz w:val="24"/>
          <w:szCs w:val="24"/>
        </w:rPr>
        <w:t>,</w:t>
      </w:r>
      <w:r w:rsidRPr="00CC1549">
        <w:rPr>
          <w:rStyle w:val="Textoennegrita"/>
          <w:rFonts w:ascii="Arial" w:hAnsi="Arial"/>
          <w:b w:val="0"/>
          <w:sz w:val="24"/>
          <w:szCs w:val="24"/>
        </w:rPr>
        <w:t xml:space="preserve"> se incluye una disposición que permite a los contribuyentes normalizar su situación en términos de retención en la fuente. </w:t>
      </w:r>
    </w:p>
    <w:p w14:paraId="18FE10A5" w14:textId="77777777" w:rsidR="00D6446E" w:rsidRPr="00CC1549" w:rsidRDefault="00D6446E" w:rsidP="00D6446E">
      <w:pPr>
        <w:jc w:val="both"/>
        <w:rPr>
          <w:rStyle w:val="Textoennegrita"/>
          <w:rFonts w:ascii="Arial" w:hAnsi="Arial"/>
          <w:b w:val="0"/>
          <w:sz w:val="24"/>
          <w:szCs w:val="24"/>
        </w:rPr>
      </w:pPr>
    </w:p>
    <w:p w14:paraId="65D13D44" w14:textId="63F77ADA"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La propuesta indica que en las declaraciones de retención en la fuente donde se haya configurado la ineficacia por pago parcial; podrá el contribuyente </w:t>
      </w:r>
      <w:r w:rsidR="000E1056">
        <w:rPr>
          <w:rStyle w:val="Textoennegrita"/>
          <w:rFonts w:ascii="Arial" w:hAnsi="Arial"/>
          <w:b w:val="0"/>
          <w:sz w:val="24"/>
          <w:szCs w:val="24"/>
        </w:rPr>
        <w:t xml:space="preserve">dentro de </w:t>
      </w:r>
      <w:r w:rsidRPr="00CC1549">
        <w:rPr>
          <w:rStyle w:val="Textoennegrita"/>
          <w:rFonts w:ascii="Arial" w:hAnsi="Arial"/>
          <w:b w:val="0"/>
          <w:sz w:val="24"/>
          <w:szCs w:val="24"/>
        </w:rPr>
        <w:t>los 6 meses siguientes a la vigencia del presente acuerdo, pagar el valor de la retención en la fuente restante junto con los intereses de mora procedentes</w:t>
      </w:r>
      <w:r w:rsidRPr="00CC1549">
        <w:rPr>
          <w:rStyle w:val="Textoennegrita"/>
          <w:rFonts w:ascii="Arial" w:hAnsi="Arial" w:cs="Arial"/>
          <w:b w:val="0"/>
          <w:sz w:val="24"/>
          <w:szCs w:val="24"/>
        </w:rPr>
        <w:t>,</w:t>
      </w:r>
      <w:r w:rsidRPr="00CC1549">
        <w:rPr>
          <w:rStyle w:val="Textoennegrita"/>
          <w:rFonts w:ascii="Arial" w:hAnsi="Arial"/>
          <w:b w:val="0"/>
          <w:sz w:val="24"/>
          <w:szCs w:val="24"/>
        </w:rPr>
        <w:t xml:space="preserve"> caso en el cual cesará la ineficacia de dichas declaraciones.</w:t>
      </w:r>
    </w:p>
    <w:p w14:paraId="272843CE" w14:textId="77777777" w:rsidR="00D6446E" w:rsidRPr="00CC1549" w:rsidRDefault="00D6446E" w:rsidP="00D6446E">
      <w:pPr>
        <w:jc w:val="both"/>
        <w:rPr>
          <w:rStyle w:val="Textoennegrita"/>
          <w:sz w:val="24"/>
          <w:szCs w:val="24"/>
        </w:rPr>
      </w:pPr>
    </w:p>
    <w:p w14:paraId="4EBDF11B"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Tal disposición permite evitar la imposición de sanciones por no declarar las cuales para los casos de retención en la fuente resultan bastantes onerosas y desproporcionadas.</w:t>
      </w:r>
    </w:p>
    <w:p w14:paraId="67D76648" w14:textId="77777777" w:rsidR="00D6446E" w:rsidRPr="00CC1549" w:rsidRDefault="00D6446E" w:rsidP="00D6446E">
      <w:pPr>
        <w:jc w:val="both"/>
        <w:rPr>
          <w:rStyle w:val="Textoennegrita"/>
          <w:rFonts w:ascii="Arial" w:hAnsi="Arial"/>
          <w:b w:val="0"/>
          <w:sz w:val="24"/>
          <w:szCs w:val="24"/>
        </w:rPr>
      </w:pPr>
    </w:p>
    <w:p w14:paraId="4D7BD151"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En las condiciones generales de actuación tributaria, se propone la inclusión de una cláusula de protección al contribuyente, referida a la definición expresa de la obligación tributaria, generando la posibilidad que la administración se abstenga de imponer sanciones y pueda disponer el archivo de los procesos administrativos. </w:t>
      </w:r>
    </w:p>
    <w:p w14:paraId="2219DF41" w14:textId="77777777" w:rsidR="00D6446E" w:rsidRPr="00CC1549" w:rsidRDefault="00D6446E" w:rsidP="00D6446E">
      <w:pPr>
        <w:jc w:val="both"/>
        <w:rPr>
          <w:rStyle w:val="Textoennegrita"/>
          <w:rFonts w:ascii="Arial" w:hAnsi="Arial"/>
          <w:b w:val="0"/>
          <w:sz w:val="24"/>
          <w:szCs w:val="24"/>
        </w:rPr>
      </w:pPr>
    </w:p>
    <w:p w14:paraId="55967763" w14:textId="5A17927B"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Esta norma </w:t>
      </w:r>
      <w:r w:rsidRPr="00CC1549">
        <w:rPr>
          <w:rStyle w:val="Textoennegrita"/>
          <w:rFonts w:ascii="Arial" w:hAnsi="Arial" w:cs="Arial"/>
          <w:b w:val="0"/>
          <w:sz w:val="24"/>
          <w:szCs w:val="24"/>
        </w:rPr>
        <w:t>está</w:t>
      </w:r>
      <w:r w:rsidRPr="00CC1549">
        <w:rPr>
          <w:rStyle w:val="Textoennegrita"/>
          <w:rFonts w:ascii="Arial" w:hAnsi="Arial"/>
          <w:b w:val="0"/>
          <w:sz w:val="24"/>
          <w:szCs w:val="24"/>
        </w:rPr>
        <w:t xml:space="preserve"> orientada a buscar el cumplimiento de la obligación sustancial por encima de la obligación formal</w:t>
      </w:r>
      <w:r w:rsidRPr="00CC1549">
        <w:rPr>
          <w:rStyle w:val="Textoennegrita"/>
          <w:rFonts w:ascii="Arial" w:hAnsi="Arial" w:cs="Arial"/>
          <w:b w:val="0"/>
          <w:sz w:val="24"/>
          <w:szCs w:val="24"/>
        </w:rPr>
        <w:t>. S</w:t>
      </w:r>
      <w:r w:rsidRPr="00CC1549">
        <w:rPr>
          <w:rStyle w:val="Textoennegrita"/>
          <w:rFonts w:ascii="Arial" w:hAnsi="Arial"/>
          <w:b w:val="0"/>
          <w:sz w:val="24"/>
          <w:szCs w:val="24"/>
        </w:rPr>
        <w:t xml:space="preserve">u justificación </w:t>
      </w:r>
      <w:r w:rsidR="000E1056">
        <w:rPr>
          <w:rStyle w:val="Textoennegrita"/>
          <w:rFonts w:ascii="Arial" w:hAnsi="Arial"/>
          <w:b w:val="0"/>
          <w:sz w:val="24"/>
          <w:szCs w:val="24"/>
        </w:rPr>
        <w:t xml:space="preserve">se orienta </w:t>
      </w:r>
      <w:r w:rsidRPr="00CC1549">
        <w:rPr>
          <w:rStyle w:val="Textoennegrita"/>
          <w:rFonts w:ascii="Arial" w:hAnsi="Arial"/>
          <w:b w:val="0"/>
          <w:sz w:val="24"/>
          <w:szCs w:val="24"/>
        </w:rPr>
        <w:t>a evitar o mejor reducir la posibilidad de que la administración tributaria distrital imponga sanciones por el solo incumplimiento de las obligaciones formales.</w:t>
      </w:r>
    </w:p>
    <w:p w14:paraId="086EE257" w14:textId="77777777" w:rsidR="00D6446E" w:rsidRPr="00CC1549" w:rsidRDefault="00D6446E" w:rsidP="00D6446E">
      <w:pPr>
        <w:jc w:val="both"/>
        <w:rPr>
          <w:rStyle w:val="Textoennegrita"/>
          <w:rFonts w:ascii="Arial" w:hAnsi="Arial"/>
          <w:b w:val="0"/>
          <w:sz w:val="24"/>
          <w:szCs w:val="24"/>
        </w:rPr>
      </w:pPr>
    </w:p>
    <w:p w14:paraId="20EDE120" w14:textId="19897C89"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Sucede el caso en materia de impuesto de industria y comercio donde todo el valor del impuesto puede ser recaudado vía retención en la fuente, y eventualmente el contribuyente, sin tener impuesto a cargo, omite presentar su declaración en las condiciones dispuestas por la norma tributaria</w:t>
      </w:r>
      <w:r w:rsidR="00DB75C9">
        <w:rPr>
          <w:rStyle w:val="Textoennegrita"/>
          <w:rFonts w:ascii="Arial" w:hAnsi="Arial" w:cs="Arial"/>
          <w:b w:val="0"/>
          <w:sz w:val="24"/>
          <w:szCs w:val="24"/>
        </w:rPr>
        <w:t xml:space="preserve">; </w:t>
      </w:r>
      <w:r w:rsidRPr="00CC1549">
        <w:rPr>
          <w:rStyle w:val="Textoennegrita"/>
          <w:rFonts w:ascii="Arial" w:hAnsi="Arial"/>
          <w:b w:val="0"/>
          <w:sz w:val="24"/>
          <w:szCs w:val="24"/>
        </w:rPr>
        <w:t xml:space="preserve">sin </w:t>
      </w:r>
      <w:r w:rsidR="00DB75C9" w:rsidRPr="00CC1549">
        <w:rPr>
          <w:rStyle w:val="Textoennegrita"/>
          <w:rFonts w:ascii="Arial" w:hAnsi="Arial"/>
          <w:b w:val="0"/>
          <w:sz w:val="24"/>
          <w:szCs w:val="24"/>
        </w:rPr>
        <w:t>embargo,</w:t>
      </w:r>
      <w:r w:rsidRPr="00CC1549">
        <w:rPr>
          <w:rStyle w:val="Textoennegrita"/>
          <w:rFonts w:ascii="Arial" w:hAnsi="Arial"/>
          <w:b w:val="0"/>
          <w:sz w:val="24"/>
          <w:szCs w:val="24"/>
        </w:rPr>
        <w:t xml:space="preserve"> no existe impuesto a recaudar, ni tampoco existen intereses de mora. </w:t>
      </w:r>
    </w:p>
    <w:p w14:paraId="60E240F8" w14:textId="77777777" w:rsidR="00D6446E" w:rsidRPr="00CC1549" w:rsidRDefault="00D6446E" w:rsidP="00D6446E">
      <w:pPr>
        <w:jc w:val="both"/>
        <w:rPr>
          <w:rStyle w:val="Textoennegrita"/>
          <w:rFonts w:ascii="Arial" w:hAnsi="Arial"/>
          <w:b w:val="0"/>
          <w:sz w:val="24"/>
          <w:szCs w:val="24"/>
        </w:rPr>
      </w:pPr>
    </w:p>
    <w:p w14:paraId="62E35AB6"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En este caso la administración podría abstenerse de imponer sanción por no declarar y evitar hacer más gravosa la situación al contribuyente que ya soportó la carga tributaria. </w:t>
      </w:r>
    </w:p>
    <w:p w14:paraId="471BD22E" w14:textId="77777777" w:rsidR="00D6446E" w:rsidRPr="00CC1549" w:rsidRDefault="00D6446E" w:rsidP="00D6446E">
      <w:pPr>
        <w:jc w:val="both"/>
        <w:rPr>
          <w:rStyle w:val="Textoennegrita"/>
          <w:rFonts w:ascii="Arial" w:hAnsi="Arial"/>
          <w:b w:val="0"/>
          <w:sz w:val="24"/>
          <w:szCs w:val="24"/>
        </w:rPr>
      </w:pPr>
    </w:p>
    <w:p w14:paraId="115B154A"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Para los impuestos a la propiedad se le señala a la administración tributaria la imposibilidad de adelantar procesos de determinación, fiscalización, liquidación y cobro cuando no se encuentren completos los elementos de la obligación tributaria entendida como relación jurídico tributaria. </w:t>
      </w:r>
    </w:p>
    <w:p w14:paraId="6E4C84E8" w14:textId="77777777" w:rsidR="00D6446E" w:rsidRPr="00CC1549" w:rsidRDefault="00D6446E" w:rsidP="00D6446E">
      <w:pPr>
        <w:jc w:val="both"/>
        <w:rPr>
          <w:rStyle w:val="Textoennegrita"/>
          <w:rFonts w:ascii="Arial" w:hAnsi="Arial"/>
          <w:b w:val="0"/>
          <w:sz w:val="24"/>
          <w:szCs w:val="24"/>
        </w:rPr>
      </w:pPr>
    </w:p>
    <w:p w14:paraId="0893ADFF"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Tal </w:t>
      </w:r>
      <w:r w:rsidRPr="00CC1549">
        <w:rPr>
          <w:rStyle w:val="Textoennegrita"/>
          <w:rFonts w:ascii="Arial" w:hAnsi="Arial" w:cs="Arial"/>
          <w:b w:val="0"/>
          <w:sz w:val="24"/>
          <w:szCs w:val="24"/>
        </w:rPr>
        <w:t>cláusula</w:t>
      </w:r>
      <w:r w:rsidRPr="00CC1549">
        <w:rPr>
          <w:rStyle w:val="Textoennegrita"/>
          <w:rFonts w:ascii="Arial" w:hAnsi="Arial"/>
          <w:b w:val="0"/>
          <w:sz w:val="24"/>
          <w:szCs w:val="24"/>
        </w:rPr>
        <w:t xml:space="preserve"> resguarda al contribuyente de ser objeto de un proceso determinativo tributario, con las pertinentes sanciones, cuando no existe certeza sobre los elementos de la obligación tributaria, pero siempre y cuando los mismos provengan de fuentes de información oficiales externas.</w:t>
      </w:r>
    </w:p>
    <w:p w14:paraId="2486D0E7" w14:textId="77777777" w:rsidR="00D6446E" w:rsidRPr="00CC1549" w:rsidRDefault="00D6446E" w:rsidP="00D6446E">
      <w:pPr>
        <w:jc w:val="both"/>
        <w:rPr>
          <w:rStyle w:val="Textoennegrita"/>
          <w:rFonts w:ascii="Arial" w:hAnsi="Arial"/>
          <w:b w:val="0"/>
          <w:sz w:val="24"/>
          <w:szCs w:val="24"/>
        </w:rPr>
      </w:pPr>
    </w:p>
    <w:p w14:paraId="6308E969"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Finalmente, se propone la inclusión de una atribución que permite la definición de la situación jurídico-tributaria para el contribuyente de manera pronta y certera. </w:t>
      </w:r>
    </w:p>
    <w:p w14:paraId="67EF4386" w14:textId="77777777" w:rsidR="00D6446E" w:rsidRPr="00CC1549" w:rsidRDefault="00D6446E" w:rsidP="00D6446E">
      <w:pPr>
        <w:jc w:val="both"/>
        <w:rPr>
          <w:rStyle w:val="Textoennegrita"/>
          <w:rFonts w:ascii="Arial" w:hAnsi="Arial"/>
          <w:b w:val="0"/>
          <w:sz w:val="24"/>
          <w:szCs w:val="24"/>
        </w:rPr>
      </w:pPr>
    </w:p>
    <w:p w14:paraId="60FE5879" w14:textId="73AF8225"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Resulta oportuno señalar que la Ley 962 </w:t>
      </w:r>
      <w:r w:rsidR="000E1056">
        <w:rPr>
          <w:rStyle w:val="Textoennegrita"/>
          <w:rFonts w:ascii="Arial" w:hAnsi="Arial"/>
          <w:b w:val="0"/>
          <w:sz w:val="24"/>
          <w:szCs w:val="24"/>
        </w:rPr>
        <w:t xml:space="preserve">de 2005 </w:t>
      </w:r>
      <w:r w:rsidRPr="00CC1549">
        <w:rPr>
          <w:rStyle w:val="Textoennegrita"/>
          <w:rFonts w:ascii="Arial" w:hAnsi="Arial"/>
          <w:b w:val="0"/>
          <w:sz w:val="24"/>
          <w:szCs w:val="24"/>
        </w:rPr>
        <w:t>en su artículo 15 señala:</w:t>
      </w:r>
    </w:p>
    <w:p w14:paraId="18951046" w14:textId="77777777" w:rsidR="00D6446E" w:rsidRPr="00CC1549" w:rsidRDefault="00D6446E" w:rsidP="00D6446E">
      <w:pPr>
        <w:jc w:val="both"/>
        <w:rPr>
          <w:rStyle w:val="Textoennegrita"/>
          <w:rFonts w:ascii="Arial" w:hAnsi="Arial"/>
          <w:b w:val="0"/>
          <w:sz w:val="24"/>
          <w:szCs w:val="24"/>
        </w:rPr>
      </w:pPr>
    </w:p>
    <w:p w14:paraId="299DF9A4" w14:textId="0E9C18B0" w:rsidR="00D6446E" w:rsidRPr="00DB75C9" w:rsidRDefault="00D6446E" w:rsidP="00D6446E">
      <w:pPr>
        <w:pStyle w:val="unico"/>
        <w:spacing w:before="0" w:beforeAutospacing="0" w:after="0" w:afterAutospacing="0"/>
        <w:ind w:left="708"/>
        <w:jc w:val="both"/>
        <w:rPr>
          <w:rFonts w:ascii="Arial" w:hAnsi="Arial" w:cs="Arial"/>
          <w:i/>
          <w:color w:val="000000"/>
          <w:sz w:val="22"/>
          <w:szCs w:val="22"/>
        </w:rPr>
      </w:pPr>
      <w:r w:rsidRPr="00DB75C9">
        <w:rPr>
          <w:rFonts w:ascii="Arial" w:hAnsi="Arial" w:cs="Arial"/>
          <w:i/>
          <w:color w:val="000000"/>
          <w:sz w:val="22"/>
          <w:szCs w:val="22"/>
        </w:rPr>
        <w:t xml:space="preserve">“Los organismos y entidades de la </w:t>
      </w:r>
      <w:r w:rsidR="000E1056">
        <w:rPr>
          <w:rFonts w:ascii="Arial" w:hAnsi="Arial" w:cs="Arial"/>
          <w:i/>
          <w:color w:val="000000"/>
          <w:sz w:val="22"/>
          <w:szCs w:val="22"/>
        </w:rPr>
        <w:t>A</w:t>
      </w:r>
      <w:r w:rsidRPr="00DB75C9">
        <w:rPr>
          <w:rFonts w:ascii="Arial" w:hAnsi="Arial" w:cs="Arial"/>
          <w:i/>
          <w:color w:val="000000"/>
          <w:sz w:val="22"/>
          <w:szCs w:val="22"/>
        </w:rPr>
        <w:t xml:space="preserve">dministración </w:t>
      </w:r>
      <w:r w:rsidR="000E1056">
        <w:rPr>
          <w:rFonts w:ascii="Arial" w:hAnsi="Arial" w:cs="Arial"/>
          <w:i/>
          <w:color w:val="000000"/>
          <w:sz w:val="22"/>
          <w:szCs w:val="22"/>
        </w:rPr>
        <w:t>P</w:t>
      </w:r>
      <w:r w:rsidRPr="00DB75C9">
        <w:rPr>
          <w:rFonts w:ascii="Arial" w:hAnsi="Arial" w:cs="Arial"/>
          <w:i/>
          <w:color w:val="000000"/>
          <w:sz w:val="22"/>
          <w:szCs w:val="22"/>
        </w:rPr>
        <w:t xml:space="preserve">ública </w:t>
      </w:r>
      <w:r w:rsidR="000E1056">
        <w:rPr>
          <w:rFonts w:ascii="Arial" w:hAnsi="Arial" w:cs="Arial"/>
          <w:i/>
          <w:color w:val="000000"/>
          <w:sz w:val="22"/>
          <w:szCs w:val="22"/>
        </w:rPr>
        <w:t>N</w:t>
      </w:r>
      <w:r w:rsidRPr="00DB75C9">
        <w:rPr>
          <w:rFonts w:ascii="Arial" w:hAnsi="Arial" w:cs="Arial"/>
          <w:i/>
          <w:color w:val="000000"/>
          <w:sz w:val="22"/>
          <w:szCs w:val="22"/>
        </w:rPr>
        <w:t xml:space="preserve">acional que conozcan de peticiones, quejas, o reclamos, deberán respetar estrictamente el orden de su presentación, dentro de los criterios señalados en el reglamento del derecho de petición de que trata el artículo 32 del Código Contencioso Administrativo, sin consideración de la naturaleza de la petición, queja o reclamo, salvo que tengan prelación legal. </w:t>
      </w:r>
      <w:r w:rsidRPr="00DB75C9">
        <w:rPr>
          <w:rFonts w:ascii="Arial" w:hAnsi="Arial" w:cs="Arial"/>
          <w:i/>
          <w:color w:val="000000"/>
          <w:sz w:val="22"/>
          <w:szCs w:val="22"/>
          <w:u w:val="single"/>
        </w:rPr>
        <w:t>Los procedimientos especiales regulados por la ley se atenderán conforme a la misma</w:t>
      </w:r>
      <w:r w:rsidRPr="00DB75C9">
        <w:rPr>
          <w:rFonts w:ascii="Arial" w:hAnsi="Arial" w:cs="Arial"/>
          <w:i/>
          <w:color w:val="000000"/>
          <w:sz w:val="22"/>
          <w:szCs w:val="22"/>
        </w:rPr>
        <w:t>. Si en la ley especial no se consagra el derecho de turno, se aplicará lo dispuesto en la presente ley.</w:t>
      </w:r>
    </w:p>
    <w:p w14:paraId="2C7EC280" w14:textId="77777777" w:rsidR="00D6446E" w:rsidRPr="00DB75C9" w:rsidRDefault="00D6446E" w:rsidP="00D6446E">
      <w:pPr>
        <w:pStyle w:val="unico"/>
        <w:spacing w:before="0" w:beforeAutospacing="0" w:after="0" w:afterAutospacing="0"/>
        <w:jc w:val="both"/>
        <w:rPr>
          <w:rFonts w:ascii="Arial" w:hAnsi="Arial" w:cs="Arial"/>
          <w:i/>
          <w:color w:val="000000"/>
          <w:sz w:val="22"/>
          <w:szCs w:val="22"/>
        </w:rPr>
      </w:pPr>
    </w:p>
    <w:p w14:paraId="15F86BA3" w14:textId="77777777" w:rsidR="00D6446E" w:rsidRPr="00DB75C9" w:rsidRDefault="00D6446E" w:rsidP="00D6446E">
      <w:pPr>
        <w:pStyle w:val="unico"/>
        <w:spacing w:before="0" w:beforeAutospacing="0" w:after="0" w:afterAutospacing="0"/>
        <w:ind w:left="708"/>
        <w:jc w:val="both"/>
        <w:rPr>
          <w:rFonts w:ascii="Arial" w:hAnsi="Arial" w:cs="Arial"/>
          <w:i/>
          <w:color w:val="000000"/>
          <w:sz w:val="22"/>
          <w:szCs w:val="22"/>
        </w:rPr>
      </w:pPr>
      <w:r w:rsidRPr="00DB75C9">
        <w:rPr>
          <w:rFonts w:ascii="Arial" w:hAnsi="Arial" w:cs="Arial"/>
          <w:i/>
          <w:color w:val="000000"/>
          <w:sz w:val="22"/>
          <w:szCs w:val="22"/>
        </w:rPr>
        <w:t>En todas las entidades, dependencias y despachos públicos, debe llevarse un registro de presentación de documentos, en los cuales se dejará constancia de todos los escritos, peticiones y recursos que se presenten por los usuarios, de tal manera que estos puedan verificar el estricto respeto al derecho de turno, dentro de los criterios señalados en el reglamento mencionado en el inciso anterior, el cual será público, lo mismo que el registro de los asuntos radicados en la entidad u organismo. Tanto el reglamento como el registro se mantendrán a disposición de los usuarios en la oficina o mecanismo de atención al usuario.</w:t>
      </w:r>
    </w:p>
    <w:p w14:paraId="76461C76" w14:textId="586B2F24" w:rsidR="00D6446E" w:rsidRPr="00DB75C9" w:rsidRDefault="00D6446E" w:rsidP="00D6446E">
      <w:pPr>
        <w:pStyle w:val="unico"/>
        <w:spacing w:before="180" w:beforeAutospacing="0" w:after="0" w:afterAutospacing="0"/>
        <w:ind w:left="708"/>
        <w:jc w:val="both"/>
        <w:rPr>
          <w:rFonts w:ascii="Arial" w:hAnsi="Arial" w:cs="Arial"/>
          <w:i/>
          <w:color w:val="000000"/>
          <w:sz w:val="22"/>
          <w:szCs w:val="22"/>
        </w:rPr>
      </w:pPr>
      <w:r w:rsidRPr="00DB75C9">
        <w:rPr>
          <w:rFonts w:ascii="Arial" w:hAnsi="Arial" w:cs="Arial"/>
          <w:i/>
          <w:color w:val="000000"/>
          <w:sz w:val="22"/>
          <w:szCs w:val="22"/>
        </w:rPr>
        <w:t xml:space="preserve">Cuando se trate de pagos que deba atender la </w:t>
      </w:r>
      <w:r w:rsidR="000E1056">
        <w:rPr>
          <w:rFonts w:ascii="Arial" w:hAnsi="Arial" w:cs="Arial"/>
          <w:i/>
          <w:color w:val="000000"/>
          <w:sz w:val="22"/>
          <w:szCs w:val="22"/>
        </w:rPr>
        <w:t>A</w:t>
      </w:r>
      <w:r w:rsidRPr="00DB75C9">
        <w:rPr>
          <w:rFonts w:ascii="Arial" w:hAnsi="Arial" w:cs="Arial"/>
          <w:i/>
          <w:color w:val="000000"/>
          <w:sz w:val="22"/>
          <w:szCs w:val="22"/>
        </w:rPr>
        <w:t xml:space="preserve">dministración </w:t>
      </w:r>
      <w:r w:rsidR="000E1056">
        <w:rPr>
          <w:rFonts w:ascii="Arial" w:hAnsi="Arial" w:cs="Arial"/>
          <w:i/>
          <w:color w:val="000000"/>
          <w:sz w:val="22"/>
          <w:szCs w:val="22"/>
        </w:rPr>
        <w:t>P</w:t>
      </w:r>
      <w:r w:rsidRPr="00DB75C9">
        <w:rPr>
          <w:rFonts w:ascii="Arial" w:hAnsi="Arial" w:cs="Arial"/>
          <w:i/>
          <w:color w:val="000000"/>
          <w:sz w:val="22"/>
          <w:szCs w:val="22"/>
        </w:rPr>
        <w:t>ública, los mismos estarán sujetos a la normatividad presupuestal</w:t>
      </w:r>
      <w:r w:rsidR="000E1056">
        <w:rPr>
          <w:rFonts w:ascii="Arial" w:hAnsi="Arial" w:cs="Arial"/>
          <w:i/>
          <w:color w:val="000000"/>
          <w:sz w:val="22"/>
          <w:szCs w:val="22"/>
        </w:rPr>
        <w:t>”</w:t>
      </w:r>
      <w:r w:rsidRPr="00DB75C9">
        <w:rPr>
          <w:rFonts w:ascii="Arial" w:hAnsi="Arial" w:cs="Arial"/>
          <w:i/>
          <w:color w:val="000000"/>
          <w:sz w:val="22"/>
          <w:szCs w:val="22"/>
        </w:rPr>
        <w:t>.</w:t>
      </w:r>
      <w:r w:rsidRPr="00DB75C9">
        <w:rPr>
          <w:rFonts w:ascii="Arial" w:hAnsi="Arial" w:cs="Arial"/>
          <w:color w:val="000000"/>
          <w:sz w:val="22"/>
          <w:szCs w:val="22"/>
        </w:rPr>
        <w:t xml:space="preserve"> (subrayado fuera de texto)</w:t>
      </w:r>
    </w:p>
    <w:p w14:paraId="7ABEC94F" w14:textId="77777777" w:rsidR="00D6446E" w:rsidRPr="00CC1549" w:rsidRDefault="00D6446E" w:rsidP="00D6446E">
      <w:pPr>
        <w:jc w:val="both"/>
        <w:rPr>
          <w:rStyle w:val="Textoennegrita"/>
          <w:rFonts w:ascii="Arial" w:hAnsi="Arial"/>
          <w:b w:val="0"/>
          <w:i/>
          <w:sz w:val="24"/>
          <w:szCs w:val="24"/>
          <w:lang w:val="es-CO"/>
        </w:rPr>
      </w:pPr>
    </w:p>
    <w:p w14:paraId="52AE8FBC" w14:textId="77777777"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 xml:space="preserve">Con la norma propuesta se busca generar un procedimiento especial para el </w:t>
      </w:r>
      <w:r w:rsidRPr="00CC1549">
        <w:rPr>
          <w:rStyle w:val="Textoennegrita"/>
          <w:rFonts w:ascii="Arial" w:hAnsi="Arial" w:cs="Arial"/>
          <w:b w:val="0"/>
          <w:sz w:val="24"/>
          <w:szCs w:val="24"/>
        </w:rPr>
        <w:t>trámite</w:t>
      </w:r>
      <w:r w:rsidRPr="00CC1549">
        <w:rPr>
          <w:rStyle w:val="Textoennegrita"/>
          <w:rFonts w:ascii="Arial" w:hAnsi="Arial"/>
          <w:b w:val="0"/>
          <w:sz w:val="24"/>
          <w:szCs w:val="24"/>
        </w:rPr>
        <w:t xml:space="preserve"> de discusión de los actos administrativos proferidos por la administración tributaria, lo anterior con la motivación de lograr una pronta definición de la situación jurídica. </w:t>
      </w:r>
    </w:p>
    <w:p w14:paraId="0DCD068D" w14:textId="77777777" w:rsidR="00D6446E" w:rsidRPr="00CC1549" w:rsidRDefault="00D6446E" w:rsidP="00D6446E">
      <w:pPr>
        <w:jc w:val="both"/>
        <w:rPr>
          <w:rStyle w:val="Textoennegrita"/>
          <w:rFonts w:ascii="Arial" w:hAnsi="Arial"/>
          <w:b w:val="0"/>
          <w:sz w:val="24"/>
          <w:szCs w:val="24"/>
        </w:rPr>
      </w:pPr>
    </w:p>
    <w:p w14:paraId="0D810E3E" w14:textId="461E87B0" w:rsidR="00D6446E" w:rsidRPr="00CC1549"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lastRenderedPageBreak/>
        <w:t>El art</w:t>
      </w:r>
      <w:r w:rsidR="000E1056">
        <w:rPr>
          <w:rStyle w:val="Textoennegrita"/>
          <w:rFonts w:ascii="Arial" w:hAnsi="Arial"/>
          <w:b w:val="0"/>
          <w:sz w:val="24"/>
          <w:szCs w:val="24"/>
        </w:rPr>
        <w:t>í</w:t>
      </w:r>
      <w:r w:rsidRPr="00CC1549">
        <w:rPr>
          <w:rStyle w:val="Textoennegrita"/>
          <w:rFonts w:ascii="Arial" w:hAnsi="Arial"/>
          <w:b w:val="0"/>
          <w:sz w:val="24"/>
          <w:szCs w:val="24"/>
        </w:rPr>
        <w:t>culo propuesto genera la posibilidad de desatar los recursos de reconsideración de manera anticipada dadas determinadas causales específicamente señaladas para que la impugnación sea fallada “in limine”.</w:t>
      </w:r>
    </w:p>
    <w:p w14:paraId="2B0C0AC9" w14:textId="77777777" w:rsidR="00D6446E" w:rsidRPr="00CC1549" w:rsidRDefault="00D6446E" w:rsidP="00D6446E">
      <w:pPr>
        <w:jc w:val="both"/>
        <w:rPr>
          <w:rStyle w:val="Textoennegrita"/>
          <w:rFonts w:ascii="Arial" w:hAnsi="Arial"/>
          <w:b w:val="0"/>
          <w:sz w:val="24"/>
          <w:szCs w:val="24"/>
        </w:rPr>
      </w:pPr>
    </w:p>
    <w:p w14:paraId="08068595" w14:textId="79BDCDC5" w:rsidR="00D6446E" w:rsidRDefault="00D6446E" w:rsidP="00D6446E">
      <w:pPr>
        <w:jc w:val="both"/>
        <w:rPr>
          <w:rStyle w:val="Textoennegrita"/>
          <w:rFonts w:ascii="Arial" w:hAnsi="Arial"/>
          <w:b w:val="0"/>
          <w:sz w:val="24"/>
          <w:szCs w:val="24"/>
        </w:rPr>
      </w:pPr>
      <w:r w:rsidRPr="00CC1549">
        <w:rPr>
          <w:rStyle w:val="Textoennegrita"/>
          <w:rFonts w:ascii="Arial" w:hAnsi="Arial"/>
          <w:b w:val="0"/>
          <w:sz w:val="24"/>
          <w:szCs w:val="24"/>
        </w:rPr>
        <w:t>Ello reduce costos de transacción, y reduce el monto de intereses causados durante el termino para fallar el recurso, redundando en beneficio de los contribuyentes.</w:t>
      </w:r>
    </w:p>
    <w:p w14:paraId="018BE6CC" w14:textId="6F21C6B2" w:rsidR="0030233A" w:rsidRDefault="0030233A" w:rsidP="00D6446E">
      <w:pPr>
        <w:jc w:val="both"/>
        <w:rPr>
          <w:rStyle w:val="Textoennegrita"/>
          <w:rFonts w:ascii="Arial" w:hAnsi="Arial"/>
          <w:b w:val="0"/>
          <w:sz w:val="24"/>
          <w:szCs w:val="24"/>
        </w:rPr>
      </w:pPr>
    </w:p>
    <w:p w14:paraId="7DD08968" w14:textId="0B1804EA" w:rsidR="0030233A" w:rsidRDefault="0030233A" w:rsidP="00D6446E">
      <w:pPr>
        <w:jc w:val="both"/>
        <w:rPr>
          <w:rStyle w:val="Textoennegrita"/>
          <w:rFonts w:ascii="Arial" w:hAnsi="Arial"/>
          <w:b w:val="0"/>
          <w:sz w:val="24"/>
          <w:szCs w:val="24"/>
        </w:rPr>
      </w:pPr>
      <w:r>
        <w:rPr>
          <w:rStyle w:val="Textoennegrita"/>
          <w:rFonts w:ascii="Arial" w:hAnsi="Arial"/>
          <w:b w:val="0"/>
          <w:sz w:val="24"/>
          <w:szCs w:val="24"/>
        </w:rPr>
        <w:t xml:space="preserve">Finalmente y respecto al articulo de vigencias y derogatorias, vale decir que el presente proyecto de acuerdo modifica el artículo 1 del Acuerdo Distrital 648 de 2016, incluyendo nuevos topes al crecimiento del Impuesto Predial Unificado en el evento de las mutaciones físicas por mayor área construida. </w:t>
      </w:r>
    </w:p>
    <w:p w14:paraId="3381418D" w14:textId="00BC8F13" w:rsidR="0030233A" w:rsidRDefault="0030233A" w:rsidP="00D6446E">
      <w:pPr>
        <w:jc w:val="both"/>
        <w:rPr>
          <w:rStyle w:val="Textoennegrita"/>
          <w:rFonts w:ascii="Arial" w:hAnsi="Arial"/>
          <w:b w:val="0"/>
          <w:sz w:val="24"/>
          <w:szCs w:val="24"/>
        </w:rPr>
      </w:pPr>
    </w:p>
    <w:p w14:paraId="5CC97F01" w14:textId="3B4CB43E" w:rsidR="0030233A" w:rsidRDefault="0030233A" w:rsidP="00D6446E">
      <w:pPr>
        <w:jc w:val="both"/>
        <w:rPr>
          <w:rStyle w:val="Textoennegrita"/>
          <w:rFonts w:ascii="Arial" w:hAnsi="Arial"/>
          <w:b w:val="0"/>
          <w:sz w:val="24"/>
          <w:szCs w:val="24"/>
        </w:rPr>
      </w:pPr>
      <w:r>
        <w:rPr>
          <w:rStyle w:val="Textoennegrita"/>
          <w:rFonts w:ascii="Arial" w:hAnsi="Arial"/>
          <w:b w:val="0"/>
          <w:sz w:val="24"/>
          <w:szCs w:val="24"/>
        </w:rPr>
        <w:t xml:space="preserve">Se incluye además un nuevo tope referido al Índice de Precios al Consumidor (IPC) cuando el avaluó catastral disminuya con respecto al año anterior, y se puntualiza expresamente que los limites de crecimiento del predial se aplican cuando se haya declarado y/o pagado el impuesto predial del año anterior y cuando se utilice el avalúo catastral como base gravable, </w:t>
      </w:r>
    </w:p>
    <w:p w14:paraId="08AB71BD" w14:textId="34371084" w:rsidR="0030233A" w:rsidRDefault="0030233A" w:rsidP="00D6446E">
      <w:pPr>
        <w:jc w:val="both"/>
        <w:rPr>
          <w:rStyle w:val="Textoennegrita"/>
          <w:rFonts w:ascii="Arial" w:hAnsi="Arial"/>
          <w:b w:val="0"/>
          <w:sz w:val="24"/>
          <w:szCs w:val="24"/>
        </w:rPr>
      </w:pPr>
    </w:p>
    <w:p w14:paraId="3F815BEA" w14:textId="0BB1A0E7" w:rsidR="0030233A" w:rsidRPr="0030233A" w:rsidRDefault="0030233A" w:rsidP="0030233A">
      <w:pPr>
        <w:jc w:val="both"/>
        <w:rPr>
          <w:rStyle w:val="Textoennegrita"/>
          <w:rFonts w:ascii="Arial" w:hAnsi="Arial"/>
          <w:b w:val="0"/>
          <w:sz w:val="24"/>
          <w:szCs w:val="24"/>
        </w:rPr>
      </w:pPr>
      <w:r>
        <w:rPr>
          <w:rStyle w:val="Textoennegrita"/>
          <w:rFonts w:ascii="Arial" w:hAnsi="Arial"/>
          <w:b w:val="0"/>
          <w:sz w:val="24"/>
          <w:szCs w:val="24"/>
        </w:rPr>
        <w:t>Se modifica el artículo 2 del Acuerdo 426 de 2009,</w:t>
      </w:r>
      <w:r w:rsidRPr="0030233A">
        <w:rPr>
          <w:rStyle w:val="Textoennegrita"/>
          <w:rFonts w:ascii="Arial" w:hAnsi="Arial"/>
          <w:b w:val="0"/>
          <w:sz w:val="24"/>
          <w:szCs w:val="24"/>
        </w:rPr>
        <w:t xml:space="preserve"> prorrogado por el artículo 1 del Acuerdo Distrital 543 de 2013 </w:t>
      </w:r>
      <w:r>
        <w:rPr>
          <w:rStyle w:val="Textoennegrita"/>
          <w:rFonts w:ascii="Arial" w:hAnsi="Arial"/>
          <w:b w:val="0"/>
          <w:sz w:val="24"/>
          <w:szCs w:val="24"/>
        </w:rPr>
        <w:t xml:space="preserve">extendiéndose los términos de tiempo la vigencia de la exención de bienes de interés cultural hasta el 31 de diciembre de 2020 y se amplía la exención del 10% al 50% para los </w:t>
      </w:r>
      <w:r w:rsidRPr="0030233A">
        <w:rPr>
          <w:rStyle w:val="Textoennegrita"/>
          <w:rFonts w:ascii="Arial" w:hAnsi="Arial"/>
          <w:b w:val="0"/>
          <w:sz w:val="24"/>
          <w:szCs w:val="24"/>
        </w:rPr>
        <w:t>bienes de interés cultural dotacionales privados que correspondan a teatros en los que de manera exclusiva, habitual o continua se ejecuten actividades de las artes escénicas y/o museos.</w:t>
      </w:r>
    </w:p>
    <w:p w14:paraId="3C2D9412" w14:textId="3B965AA5" w:rsidR="0030233A" w:rsidRPr="000454F2" w:rsidRDefault="0030233A" w:rsidP="0030233A">
      <w:pPr>
        <w:jc w:val="both"/>
        <w:rPr>
          <w:rStyle w:val="Textoennegrita"/>
          <w:bCs w:val="0"/>
          <w:sz w:val="24"/>
          <w:szCs w:val="24"/>
        </w:rPr>
      </w:pPr>
    </w:p>
    <w:p w14:paraId="12203932" w14:textId="3878DA67" w:rsidR="0030233A" w:rsidRPr="000454F2" w:rsidRDefault="0030233A" w:rsidP="0030233A">
      <w:pPr>
        <w:jc w:val="both"/>
        <w:rPr>
          <w:rStyle w:val="Textoennegrita"/>
          <w:rFonts w:ascii="Arial" w:hAnsi="Arial"/>
          <w:b w:val="0"/>
          <w:sz w:val="24"/>
          <w:szCs w:val="24"/>
        </w:rPr>
      </w:pPr>
      <w:r w:rsidRPr="000454F2">
        <w:rPr>
          <w:rStyle w:val="Textoennegrita"/>
          <w:rFonts w:ascii="Arial" w:hAnsi="Arial"/>
          <w:b w:val="0"/>
          <w:sz w:val="24"/>
          <w:szCs w:val="24"/>
        </w:rPr>
        <w:t>Se extiende la vigencia de la exención del Impuesto de delineación Urbana contenida en el articulo 9 del Acuerdo Distrital 352 de 2008, extendiéndola hasta el 31 de diciembre de 2029</w:t>
      </w:r>
      <w:r w:rsidR="000454F2">
        <w:rPr>
          <w:rStyle w:val="Textoennegrita"/>
          <w:rFonts w:ascii="Arial" w:hAnsi="Arial"/>
          <w:b w:val="0"/>
          <w:sz w:val="24"/>
          <w:szCs w:val="24"/>
        </w:rPr>
        <w:t>.</w:t>
      </w:r>
    </w:p>
    <w:p w14:paraId="7EB28145" w14:textId="77777777" w:rsidR="0030233A" w:rsidRPr="000454F2" w:rsidRDefault="0030233A" w:rsidP="0030233A">
      <w:pPr>
        <w:jc w:val="both"/>
        <w:rPr>
          <w:rStyle w:val="Textoennegrita"/>
          <w:bCs w:val="0"/>
          <w:sz w:val="24"/>
          <w:szCs w:val="24"/>
        </w:rPr>
      </w:pPr>
    </w:p>
    <w:p w14:paraId="5F2DCEDA" w14:textId="5985566F" w:rsidR="000454F2" w:rsidRDefault="000454F2" w:rsidP="00D6446E">
      <w:pPr>
        <w:jc w:val="both"/>
        <w:rPr>
          <w:rStyle w:val="Textoennegrita"/>
          <w:rFonts w:ascii="Arial" w:hAnsi="Arial"/>
          <w:b w:val="0"/>
          <w:sz w:val="24"/>
          <w:szCs w:val="24"/>
        </w:rPr>
      </w:pPr>
      <w:r w:rsidRPr="000454F2">
        <w:rPr>
          <w:rStyle w:val="Textoennegrita"/>
          <w:rFonts w:ascii="Arial" w:hAnsi="Arial"/>
          <w:b w:val="0"/>
          <w:sz w:val="24"/>
          <w:szCs w:val="24"/>
        </w:rPr>
        <w:t xml:space="preserve">En materia sancionatoria se modifica el artículo 3 del Acuerdo Distrital 27 de 2001; reduciendo la sanción mínima del Impuesto Predial Unificado para los predios de  </w:t>
      </w:r>
      <w:r w:rsidRPr="00CC1549">
        <w:rPr>
          <w:rStyle w:val="Textoennegrita"/>
          <w:rFonts w:ascii="Arial" w:hAnsi="Arial"/>
          <w:b w:val="0"/>
          <w:sz w:val="24"/>
          <w:szCs w:val="24"/>
        </w:rPr>
        <w:t xml:space="preserve">estratos 1 y 2, </w:t>
      </w:r>
      <w:r>
        <w:rPr>
          <w:rStyle w:val="Textoennegrita"/>
          <w:rFonts w:ascii="Arial" w:hAnsi="Arial"/>
          <w:b w:val="0"/>
          <w:sz w:val="24"/>
          <w:szCs w:val="24"/>
        </w:rPr>
        <w:t xml:space="preserve">pasando de 8 </w:t>
      </w:r>
      <w:r w:rsidRPr="00CC1549">
        <w:rPr>
          <w:rStyle w:val="Textoennegrita"/>
          <w:rFonts w:ascii="Arial" w:hAnsi="Arial"/>
          <w:b w:val="0"/>
          <w:sz w:val="24"/>
          <w:szCs w:val="24"/>
        </w:rPr>
        <w:t>salarios mínimos legales mensuales vigentes</w:t>
      </w:r>
      <w:r>
        <w:rPr>
          <w:rStyle w:val="Textoennegrita"/>
          <w:rFonts w:ascii="Arial" w:hAnsi="Arial"/>
          <w:b w:val="0"/>
          <w:sz w:val="24"/>
          <w:szCs w:val="24"/>
        </w:rPr>
        <w:t xml:space="preserve"> </w:t>
      </w:r>
      <w:r w:rsidRPr="00CC1549">
        <w:rPr>
          <w:rStyle w:val="Textoennegrita"/>
          <w:rFonts w:ascii="Arial" w:hAnsi="Arial"/>
          <w:b w:val="0"/>
          <w:sz w:val="24"/>
          <w:szCs w:val="24"/>
        </w:rPr>
        <w:t>a 4 salarios mínimos legales mensuales vigentes.</w:t>
      </w:r>
    </w:p>
    <w:p w14:paraId="6B51C0AF" w14:textId="3A59DAAF" w:rsidR="000454F2" w:rsidRDefault="000454F2" w:rsidP="00D6446E">
      <w:pPr>
        <w:jc w:val="both"/>
        <w:rPr>
          <w:rStyle w:val="Textoennegrita"/>
          <w:rFonts w:ascii="Arial" w:hAnsi="Arial"/>
          <w:b w:val="0"/>
          <w:sz w:val="24"/>
          <w:szCs w:val="24"/>
        </w:rPr>
      </w:pPr>
    </w:p>
    <w:p w14:paraId="24272EA3" w14:textId="01543E7F" w:rsidR="000454F2" w:rsidRPr="00501B5D" w:rsidRDefault="000454F2" w:rsidP="00D6446E">
      <w:pPr>
        <w:jc w:val="both"/>
        <w:rPr>
          <w:rStyle w:val="Textoennegrita"/>
          <w:rFonts w:ascii="Arial" w:hAnsi="Arial"/>
          <w:b w:val="0"/>
          <w:sz w:val="24"/>
          <w:szCs w:val="24"/>
        </w:rPr>
      </w:pPr>
      <w:r>
        <w:rPr>
          <w:rStyle w:val="Textoennegrita"/>
          <w:rFonts w:ascii="Arial" w:hAnsi="Arial"/>
          <w:b w:val="0"/>
          <w:sz w:val="24"/>
          <w:szCs w:val="24"/>
        </w:rPr>
        <w:t>Igualmente, en materia sancionatoria, se modifica el articulo 24 del Acuerdo 24 de 2001, que a su vez había sido modificado por el articulo 6 del Acuerdo 671 de 2017, la modificación propuesta esta referida a la reducción del monto máximo de la sanción a imponer pasando de 15.000 UVT a 3000 UVT.</w:t>
      </w:r>
    </w:p>
    <w:p w14:paraId="7C760203" w14:textId="77777777" w:rsidR="000454F2" w:rsidRPr="00501B5D" w:rsidRDefault="000454F2" w:rsidP="00D6446E">
      <w:pPr>
        <w:jc w:val="both"/>
        <w:rPr>
          <w:rStyle w:val="Textoennegrita"/>
          <w:sz w:val="24"/>
          <w:szCs w:val="24"/>
        </w:rPr>
      </w:pPr>
    </w:p>
    <w:p w14:paraId="7D3F6052" w14:textId="2683C244" w:rsidR="00D6446E" w:rsidRPr="004238B4" w:rsidRDefault="000454F2" w:rsidP="00D6446E">
      <w:pPr>
        <w:jc w:val="both"/>
        <w:rPr>
          <w:rStyle w:val="Textoennegrita"/>
          <w:rFonts w:ascii="Arial" w:hAnsi="Arial" w:cs="Arial"/>
          <w:b w:val="0"/>
          <w:sz w:val="24"/>
          <w:szCs w:val="24"/>
        </w:rPr>
      </w:pPr>
      <w:r w:rsidRPr="00501B5D">
        <w:rPr>
          <w:rStyle w:val="Textoennegrita"/>
          <w:rFonts w:ascii="Arial" w:hAnsi="Arial" w:cs="Arial"/>
          <w:b w:val="0"/>
          <w:sz w:val="24"/>
          <w:szCs w:val="24"/>
        </w:rPr>
        <w:lastRenderedPageBreak/>
        <w:t>Finalmente se deroga el artículo 4 del Acuerdo 65 de 2002, en el entendido en que este proyec</w:t>
      </w:r>
      <w:r w:rsidR="00501B5D" w:rsidRPr="00501B5D">
        <w:rPr>
          <w:rStyle w:val="Textoennegrita"/>
          <w:rFonts w:ascii="Arial" w:hAnsi="Arial" w:cs="Arial"/>
          <w:b w:val="0"/>
          <w:sz w:val="24"/>
          <w:szCs w:val="24"/>
        </w:rPr>
        <w:t xml:space="preserve">to adopta un nuevo régimen común y preferencial para el impuesto de industria y comercio en Bogotá. </w:t>
      </w:r>
    </w:p>
    <w:p w14:paraId="1433F83C" w14:textId="77777777" w:rsidR="00501B5D" w:rsidRPr="00CC1549" w:rsidRDefault="00501B5D" w:rsidP="00D6446E">
      <w:pPr>
        <w:jc w:val="both"/>
        <w:rPr>
          <w:rStyle w:val="Textoennegrita"/>
          <w:rFonts w:ascii="Arial" w:hAnsi="Arial"/>
          <w:b w:val="0"/>
          <w:sz w:val="24"/>
          <w:szCs w:val="24"/>
        </w:rPr>
      </w:pPr>
    </w:p>
    <w:p w14:paraId="71F52862" w14:textId="51F740E9" w:rsidR="00D6446E" w:rsidRPr="00CC1549" w:rsidRDefault="00D6446E" w:rsidP="00D6446E">
      <w:pPr>
        <w:pStyle w:val="Prrafodelista1"/>
        <w:numPr>
          <w:ilvl w:val="0"/>
          <w:numId w:val="18"/>
        </w:numPr>
        <w:jc w:val="both"/>
        <w:rPr>
          <w:rStyle w:val="Textoennegrita"/>
          <w:rFonts w:ascii="Arial" w:hAnsi="Arial" w:cs="Arial"/>
          <w:sz w:val="24"/>
          <w:szCs w:val="24"/>
        </w:rPr>
      </w:pPr>
      <w:r w:rsidRPr="00CC1549">
        <w:rPr>
          <w:rStyle w:val="Textoennegrita"/>
          <w:rFonts w:ascii="Arial" w:hAnsi="Arial" w:cs="Arial"/>
          <w:color w:val="auto"/>
          <w:sz w:val="24"/>
          <w:szCs w:val="24"/>
        </w:rPr>
        <w:t>Impacto Fiscal</w:t>
      </w:r>
    </w:p>
    <w:p w14:paraId="651B3362" w14:textId="3A366526" w:rsidR="00D6446E" w:rsidRPr="00CC1549" w:rsidRDefault="00D6446E" w:rsidP="00D6446E">
      <w:pPr>
        <w:jc w:val="both"/>
        <w:rPr>
          <w:rFonts w:ascii="Arial" w:hAnsi="Arial"/>
          <w:b/>
          <w:sz w:val="24"/>
          <w:szCs w:val="24"/>
        </w:rPr>
      </w:pPr>
      <w:r w:rsidRPr="00CC1549">
        <w:rPr>
          <w:rStyle w:val="Textoennegrita"/>
          <w:rFonts w:ascii="Arial" w:hAnsi="Arial"/>
          <w:b w:val="0"/>
          <w:sz w:val="24"/>
          <w:szCs w:val="24"/>
          <w:lang w:val="es-CO"/>
        </w:rPr>
        <w:t>Dando cumplimiento a lo establecido en el artículo 7 de la Ley 819 de 2003</w:t>
      </w:r>
      <w:r w:rsidR="00E54A2C">
        <w:rPr>
          <w:rStyle w:val="Textoennegrita"/>
          <w:rFonts w:ascii="Arial" w:hAnsi="Arial"/>
          <w:b w:val="0"/>
          <w:sz w:val="24"/>
          <w:szCs w:val="24"/>
          <w:lang w:val="es-CO"/>
        </w:rPr>
        <w:t xml:space="preserve">, </w:t>
      </w:r>
      <w:r w:rsidRPr="00CC1549">
        <w:rPr>
          <w:rStyle w:val="Textoennegrita"/>
          <w:rFonts w:ascii="Arial" w:hAnsi="Arial"/>
          <w:b w:val="0"/>
          <w:sz w:val="24"/>
          <w:szCs w:val="24"/>
          <w:lang w:val="es-CO"/>
        </w:rPr>
        <w:t xml:space="preserve"> “</w:t>
      </w:r>
      <w:r w:rsidRPr="00CC1549">
        <w:rPr>
          <w:rStyle w:val="Textoennegrita"/>
          <w:rFonts w:ascii="Arial" w:hAnsi="Arial"/>
          <w:b w:val="0"/>
          <w:i/>
          <w:sz w:val="24"/>
          <w:szCs w:val="24"/>
          <w:lang w:val="es-CO"/>
        </w:rPr>
        <w:t xml:space="preserve">Por la cual se dictan normas orgánicas en materia de presupuesto, responsabilidad y transparencia fiscal y se dictan otras </w:t>
      </w:r>
      <w:r w:rsidRPr="00CC1549">
        <w:rPr>
          <w:rStyle w:val="Textoennegrita"/>
          <w:rFonts w:ascii="Arial" w:hAnsi="Arial"/>
          <w:b w:val="0"/>
          <w:sz w:val="24"/>
          <w:szCs w:val="24"/>
          <w:lang w:val="es-CO"/>
        </w:rPr>
        <w:t>disposiciones”, el cual expresa:</w:t>
      </w:r>
    </w:p>
    <w:p w14:paraId="5F8F1323" w14:textId="77777777" w:rsidR="00D6446E" w:rsidRPr="00DB75C9" w:rsidRDefault="00D6446E" w:rsidP="00D6446E">
      <w:pPr>
        <w:tabs>
          <w:tab w:val="center" w:pos="4320"/>
        </w:tabs>
        <w:jc w:val="both"/>
        <w:rPr>
          <w:rFonts w:ascii="Arial" w:hAnsi="Arial"/>
          <w:sz w:val="22"/>
          <w:szCs w:val="22"/>
        </w:rPr>
      </w:pPr>
    </w:p>
    <w:p w14:paraId="0EDE0C12" w14:textId="77777777" w:rsidR="00D6446E" w:rsidRPr="00DB75C9" w:rsidRDefault="00D6446E" w:rsidP="00D6446E">
      <w:pPr>
        <w:tabs>
          <w:tab w:val="center" w:pos="5183"/>
        </w:tabs>
        <w:ind w:left="863" w:right="625"/>
        <w:jc w:val="both"/>
        <w:rPr>
          <w:rFonts w:ascii="Arial" w:hAnsi="Arial"/>
          <w:i/>
          <w:sz w:val="22"/>
          <w:szCs w:val="22"/>
        </w:rPr>
      </w:pPr>
      <w:r w:rsidRPr="00DB75C9">
        <w:rPr>
          <w:rFonts w:ascii="Arial" w:eastAsia="Arial Narrow" w:hAnsi="Arial"/>
          <w:i/>
          <w:sz w:val="22"/>
          <w:szCs w:val="22"/>
        </w:rPr>
        <w:t>“</w:t>
      </w:r>
      <w:r w:rsidRPr="00DB75C9">
        <w:rPr>
          <w:rFonts w:ascii="Arial" w:hAnsi="Arial"/>
          <w:i/>
          <w:sz w:val="22"/>
          <w:szCs w:val="22"/>
        </w:rPr>
        <w:t>En todo momento, el impacto fiscal de cualquier proyecto de ley, ordenanza o acuerdo, que ordene gasto o que otorgue beneficios tributarios, deberá hacerse explícito y deberá ser compatible con el Marco Fiscal de Mediano Plazo.</w:t>
      </w:r>
    </w:p>
    <w:p w14:paraId="7781C6A8" w14:textId="77777777" w:rsidR="00D6446E" w:rsidRPr="00DB75C9" w:rsidRDefault="00D6446E" w:rsidP="00D6446E">
      <w:pPr>
        <w:tabs>
          <w:tab w:val="center" w:pos="5183"/>
        </w:tabs>
        <w:ind w:left="863" w:right="625"/>
        <w:jc w:val="both"/>
        <w:rPr>
          <w:rFonts w:ascii="Arial" w:hAnsi="Arial"/>
          <w:i/>
          <w:sz w:val="22"/>
          <w:szCs w:val="22"/>
        </w:rPr>
      </w:pPr>
    </w:p>
    <w:p w14:paraId="48AF1D1B" w14:textId="77777777" w:rsidR="00D6446E" w:rsidRPr="00DB75C9" w:rsidRDefault="00D6446E" w:rsidP="00D6446E">
      <w:pPr>
        <w:tabs>
          <w:tab w:val="center" w:pos="5183"/>
        </w:tabs>
        <w:ind w:left="863" w:right="625"/>
        <w:jc w:val="both"/>
        <w:rPr>
          <w:rFonts w:ascii="Arial" w:hAnsi="Arial"/>
          <w:i/>
          <w:sz w:val="22"/>
          <w:szCs w:val="22"/>
        </w:rPr>
      </w:pPr>
      <w:r w:rsidRPr="00DB75C9">
        <w:rPr>
          <w:rFonts w:ascii="Arial" w:hAnsi="Arial"/>
          <w:i/>
          <w:sz w:val="22"/>
          <w:szCs w:val="22"/>
        </w:rPr>
        <w:t>(…)</w:t>
      </w:r>
    </w:p>
    <w:p w14:paraId="00FC7B3D" w14:textId="77777777" w:rsidR="00D6446E" w:rsidRPr="00DB75C9" w:rsidRDefault="00D6446E" w:rsidP="00D6446E">
      <w:pPr>
        <w:tabs>
          <w:tab w:val="center" w:pos="5183"/>
        </w:tabs>
        <w:ind w:left="863" w:right="625"/>
        <w:jc w:val="both"/>
        <w:rPr>
          <w:rFonts w:ascii="Arial" w:hAnsi="Arial"/>
          <w:i/>
          <w:sz w:val="22"/>
          <w:szCs w:val="22"/>
        </w:rPr>
      </w:pPr>
    </w:p>
    <w:p w14:paraId="7110923F" w14:textId="77777777" w:rsidR="00D6446E" w:rsidRPr="00DB75C9" w:rsidRDefault="00D6446E" w:rsidP="00D6446E">
      <w:pPr>
        <w:tabs>
          <w:tab w:val="center" w:pos="5183"/>
        </w:tabs>
        <w:ind w:left="863" w:right="625"/>
        <w:jc w:val="both"/>
        <w:rPr>
          <w:rFonts w:ascii="Arial" w:hAnsi="Arial"/>
          <w:sz w:val="22"/>
          <w:szCs w:val="22"/>
        </w:rPr>
      </w:pPr>
      <w:r w:rsidRPr="00DB75C9">
        <w:rPr>
          <w:rFonts w:ascii="Arial" w:hAnsi="Arial"/>
          <w:i/>
          <w:sz w:val="22"/>
          <w:szCs w:val="22"/>
        </w:rPr>
        <w:t>Los proyectos de ley de iniciativa gubernamental, que planteen un gasto adicional o una reducción de ingresos, deberán contener la correspondiente fuente sustitutiva por disminución de gasto o aumentos de ingresos, lo cual deberá ser analizado y aprobado por el Ministerio de Hacienda y Crédito Público”.</w:t>
      </w:r>
    </w:p>
    <w:p w14:paraId="23C778D8" w14:textId="77777777" w:rsidR="00D6446E" w:rsidRPr="00CC1549" w:rsidRDefault="00D6446E" w:rsidP="00D6446E">
      <w:pPr>
        <w:rPr>
          <w:rFonts w:ascii="Arial" w:hAnsi="Arial"/>
          <w:sz w:val="24"/>
          <w:szCs w:val="24"/>
        </w:rPr>
      </w:pPr>
    </w:p>
    <w:p w14:paraId="38AA9F25" w14:textId="7FA86F90" w:rsidR="002730D9" w:rsidRDefault="00CC1549" w:rsidP="00E13BC9">
      <w:pPr>
        <w:jc w:val="both"/>
        <w:rPr>
          <w:rFonts w:ascii="Arial" w:hAnsi="Arial" w:cs="Arial"/>
          <w:sz w:val="24"/>
          <w:szCs w:val="24"/>
        </w:rPr>
      </w:pPr>
      <w:r>
        <w:rPr>
          <w:rFonts w:ascii="Arial" w:hAnsi="Arial"/>
          <w:sz w:val="24"/>
          <w:szCs w:val="24"/>
        </w:rPr>
        <w:t xml:space="preserve">El </w:t>
      </w:r>
      <w:r w:rsidR="0037222B">
        <w:rPr>
          <w:rFonts w:ascii="Arial" w:hAnsi="Arial"/>
          <w:sz w:val="24"/>
          <w:szCs w:val="24"/>
        </w:rPr>
        <w:t>menor ingreso producto de</w:t>
      </w:r>
      <w:r w:rsidR="005C1E9F">
        <w:rPr>
          <w:rFonts w:ascii="Arial" w:hAnsi="Arial"/>
          <w:sz w:val="24"/>
          <w:szCs w:val="24"/>
        </w:rPr>
        <w:t xml:space="preserve"> la</w:t>
      </w:r>
      <w:r w:rsidR="005C1E9F" w:rsidRPr="005C1E9F">
        <w:rPr>
          <w:rFonts w:ascii="Arial" w:hAnsi="Arial"/>
          <w:sz w:val="24"/>
          <w:szCs w:val="24"/>
        </w:rPr>
        <w:t xml:space="preserve"> </w:t>
      </w:r>
      <w:r w:rsidR="008C2097">
        <w:rPr>
          <w:rFonts w:ascii="Arial" w:hAnsi="Arial"/>
          <w:sz w:val="24"/>
          <w:szCs w:val="24"/>
        </w:rPr>
        <w:t>Ley 1995 de 2019, aprobada por el Congreso de la República</w:t>
      </w:r>
      <w:r w:rsidR="0037222B">
        <w:rPr>
          <w:rFonts w:ascii="Arial" w:hAnsi="Arial"/>
          <w:sz w:val="24"/>
          <w:szCs w:val="24"/>
        </w:rPr>
        <w:t xml:space="preserve"> y que dispuso nuevos l</w:t>
      </w:r>
      <w:r>
        <w:rPr>
          <w:rFonts w:ascii="Arial" w:hAnsi="Arial"/>
          <w:sz w:val="24"/>
          <w:szCs w:val="24"/>
        </w:rPr>
        <w:t xml:space="preserve">ímites de crecimiento al impuesto predial unificado </w:t>
      </w:r>
      <w:r w:rsidR="0037222B">
        <w:rPr>
          <w:rFonts w:ascii="Arial" w:hAnsi="Arial"/>
          <w:sz w:val="24"/>
          <w:szCs w:val="24"/>
        </w:rPr>
        <w:t>asciende a</w:t>
      </w:r>
      <w:r>
        <w:rPr>
          <w:rFonts w:ascii="Arial" w:hAnsi="Arial"/>
          <w:sz w:val="24"/>
          <w:szCs w:val="24"/>
        </w:rPr>
        <w:t xml:space="preserve"> $</w:t>
      </w:r>
      <w:r w:rsidR="002730D9">
        <w:rPr>
          <w:rFonts w:ascii="Arial" w:hAnsi="Arial"/>
          <w:sz w:val="24"/>
          <w:szCs w:val="24"/>
        </w:rPr>
        <w:t>87 mil millones de pesos.</w:t>
      </w:r>
      <w:r w:rsidR="008C2097">
        <w:rPr>
          <w:rFonts w:ascii="Arial" w:hAnsi="Arial"/>
          <w:sz w:val="24"/>
          <w:szCs w:val="24"/>
        </w:rPr>
        <w:t xml:space="preserve"> Por otro lado, el </w:t>
      </w:r>
      <w:r w:rsidR="002730D9">
        <w:rPr>
          <w:rFonts w:ascii="Arial" w:hAnsi="Arial"/>
          <w:sz w:val="24"/>
          <w:szCs w:val="24"/>
        </w:rPr>
        <w:t>impacto fiscal de los límites de crecimiento al impuesto predial unificado que propone la administración distrital, y la extensión o ampliación de los beneficios tributarios existentes, asciende a $7 mil 500 millones de pesos</w:t>
      </w:r>
      <w:r w:rsidR="008C2097">
        <w:rPr>
          <w:rFonts w:ascii="Arial" w:hAnsi="Arial"/>
          <w:sz w:val="24"/>
          <w:szCs w:val="24"/>
        </w:rPr>
        <w:t xml:space="preserve"> </w:t>
      </w:r>
      <w:r w:rsidR="0037222B">
        <w:rPr>
          <w:rFonts w:ascii="Arial" w:hAnsi="Arial"/>
          <w:sz w:val="24"/>
          <w:szCs w:val="24"/>
        </w:rPr>
        <w:t>mientras que</w:t>
      </w:r>
      <w:r w:rsidR="008C2097">
        <w:rPr>
          <w:rFonts w:ascii="Arial" w:hAnsi="Arial"/>
          <w:sz w:val="24"/>
          <w:szCs w:val="24"/>
        </w:rPr>
        <w:t xml:space="preserve"> l</w:t>
      </w:r>
      <w:r w:rsidR="002730D9">
        <w:rPr>
          <w:rFonts w:ascii="Arial" w:hAnsi="Arial" w:cs="Arial"/>
          <w:sz w:val="24"/>
          <w:szCs w:val="24"/>
        </w:rPr>
        <w:t>a adopción del impuesto unificado bajo el Régimen Simple de Tributación (SIMPLE) no tiene impacto fiscal.</w:t>
      </w:r>
    </w:p>
    <w:p w14:paraId="40AE3462" w14:textId="77777777" w:rsidR="002730D9" w:rsidRPr="00CC1549" w:rsidRDefault="002730D9" w:rsidP="00E13BC9">
      <w:pPr>
        <w:jc w:val="both"/>
        <w:rPr>
          <w:rFonts w:ascii="Arial" w:hAnsi="Arial" w:cs="Arial"/>
          <w:sz w:val="24"/>
          <w:szCs w:val="24"/>
        </w:rPr>
      </w:pPr>
    </w:p>
    <w:p w14:paraId="51CF3568" w14:textId="6C710FA0" w:rsidR="00C2462F" w:rsidRPr="00CC1549" w:rsidRDefault="00C2462F" w:rsidP="00E13BC9">
      <w:pPr>
        <w:jc w:val="both"/>
        <w:rPr>
          <w:rFonts w:ascii="Arial" w:hAnsi="Arial" w:cs="Arial"/>
          <w:sz w:val="24"/>
          <w:szCs w:val="24"/>
        </w:rPr>
      </w:pPr>
      <w:r w:rsidRPr="00CC1549">
        <w:rPr>
          <w:rFonts w:ascii="Arial" w:hAnsi="Arial" w:cs="Arial"/>
          <w:sz w:val="24"/>
          <w:szCs w:val="24"/>
        </w:rPr>
        <w:t>De conformidad con el análisis realizado de manera atenta y respetuosa ponemos a consideración del Honorable Concejo Distrital</w:t>
      </w:r>
      <w:r w:rsidRPr="00CC1549">
        <w:rPr>
          <w:rStyle w:val="Textoennegrita"/>
          <w:rFonts w:ascii="Arial" w:hAnsi="Arial" w:cs="Arial"/>
          <w:color w:val="000000"/>
          <w:sz w:val="24"/>
          <w:szCs w:val="24"/>
        </w:rPr>
        <w:t>.</w:t>
      </w:r>
      <w:r w:rsidRPr="00CC1549">
        <w:rPr>
          <w:rFonts w:ascii="Arial" w:hAnsi="Arial" w:cs="Arial"/>
          <w:sz w:val="24"/>
          <w:szCs w:val="24"/>
        </w:rPr>
        <w:t xml:space="preserve">  </w:t>
      </w:r>
    </w:p>
    <w:p w14:paraId="1540B74B" w14:textId="77777777" w:rsidR="00C2462F" w:rsidRPr="00CC1549" w:rsidRDefault="00C2462F" w:rsidP="00C2462F">
      <w:pPr>
        <w:pStyle w:val="Sinespaciado1"/>
        <w:ind w:right="-340"/>
        <w:jc w:val="both"/>
        <w:rPr>
          <w:rFonts w:ascii="Arial" w:hAnsi="Arial" w:cs="Arial"/>
          <w:sz w:val="24"/>
          <w:szCs w:val="24"/>
        </w:rPr>
      </w:pPr>
    </w:p>
    <w:p w14:paraId="00206CFD" w14:textId="72024C60" w:rsidR="00C2462F" w:rsidRPr="00CC1549" w:rsidRDefault="00C2462F" w:rsidP="00C2462F">
      <w:pPr>
        <w:pStyle w:val="Sinespaciado1"/>
        <w:jc w:val="both"/>
        <w:rPr>
          <w:rFonts w:ascii="Arial" w:hAnsi="Arial" w:cs="Arial"/>
          <w:b/>
          <w:sz w:val="24"/>
          <w:szCs w:val="24"/>
        </w:rPr>
      </w:pPr>
    </w:p>
    <w:p w14:paraId="5D38EF91" w14:textId="77777777" w:rsidR="000B1003" w:rsidRPr="00CC1549" w:rsidRDefault="000B1003" w:rsidP="00C2462F">
      <w:pPr>
        <w:pStyle w:val="Sinespaciado1"/>
        <w:jc w:val="both"/>
        <w:rPr>
          <w:rFonts w:ascii="Arial" w:hAnsi="Arial" w:cs="Arial"/>
          <w:b/>
          <w:sz w:val="24"/>
          <w:szCs w:val="24"/>
        </w:rPr>
      </w:pPr>
    </w:p>
    <w:p w14:paraId="7701C8E6" w14:textId="77777777" w:rsidR="00C2462F" w:rsidRPr="00CC1549" w:rsidRDefault="00C2462F" w:rsidP="00C2462F">
      <w:pPr>
        <w:pStyle w:val="Sinespaciado1"/>
        <w:jc w:val="both"/>
        <w:rPr>
          <w:rFonts w:ascii="Arial" w:hAnsi="Arial" w:cs="Arial"/>
          <w:b/>
          <w:sz w:val="24"/>
          <w:szCs w:val="24"/>
        </w:rPr>
      </w:pPr>
    </w:p>
    <w:p w14:paraId="26B28456" w14:textId="6B88ED2A" w:rsidR="00DB75C9" w:rsidRPr="00CC1549" w:rsidRDefault="007048F0" w:rsidP="00DB75C9">
      <w:pPr>
        <w:pStyle w:val="Sinespaciado1"/>
        <w:ind w:right="-340"/>
        <w:jc w:val="both"/>
        <w:rPr>
          <w:rFonts w:ascii="Arial" w:hAnsi="Arial" w:cs="Arial"/>
          <w:sz w:val="24"/>
          <w:szCs w:val="24"/>
        </w:rPr>
      </w:pPr>
      <w:r w:rsidRPr="00CC1549">
        <w:rPr>
          <w:rFonts w:ascii="Arial" w:hAnsi="Arial" w:cs="Arial"/>
          <w:b/>
          <w:sz w:val="24"/>
          <w:szCs w:val="24"/>
        </w:rPr>
        <w:t>ENRIQUE PEÑALO</w:t>
      </w:r>
      <w:r w:rsidR="007C3842" w:rsidRPr="00CC1549">
        <w:rPr>
          <w:rFonts w:ascii="Arial" w:hAnsi="Arial" w:cs="Arial"/>
          <w:b/>
          <w:sz w:val="24"/>
          <w:szCs w:val="24"/>
        </w:rPr>
        <w:t>S</w:t>
      </w:r>
      <w:r w:rsidRPr="00CC1549">
        <w:rPr>
          <w:rFonts w:ascii="Arial" w:hAnsi="Arial" w:cs="Arial"/>
          <w:b/>
          <w:sz w:val="24"/>
          <w:szCs w:val="24"/>
        </w:rPr>
        <w:t xml:space="preserve">A </w:t>
      </w:r>
      <w:r w:rsidR="007C3842" w:rsidRPr="00CC1549">
        <w:rPr>
          <w:rFonts w:ascii="Arial" w:hAnsi="Arial" w:cs="Arial"/>
          <w:b/>
          <w:sz w:val="24"/>
          <w:szCs w:val="24"/>
        </w:rPr>
        <w:t>LONDOÑO</w:t>
      </w:r>
      <w:r w:rsidR="00DB75C9">
        <w:rPr>
          <w:rFonts w:ascii="Arial" w:hAnsi="Arial" w:cs="Arial"/>
          <w:b/>
          <w:sz w:val="24"/>
          <w:szCs w:val="24"/>
        </w:rPr>
        <w:tab/>
      </w:r>
      <w:r w:rsidR="00DB75C9" w:rsidRPr="00CC1549">
        <w:rPr>
          <w:rFonts w:ascii="Arial" w:hAnsi="Arial" w:cs="Arial"/>
          <w:b/>
          <w:bCs/>
          <w:sz w:val="24"/>
          <w:szCs w:val="24"/>
        </w:rPr>
        <w:t xml:space="preserve">BEATRIZ ELENA ARBELÁEZ MARTÍNEZ </w:t>
      </w:r>
    </w:p>
    <w:p w14:paraId="144C71A6" w14:textId="27C07B54" w:rsidR="008E1ACB" w:rsidRDefault="00C2462F" w:rsidP="00DB75C9">
      <w:pPr>
        <w:pStyle w:val="Sinespaciado1"/>
        <w:ind w:right="-340"/>
        <w:jc w:val="both"/>
        <w:rPr>
          <w:rStyle w:val="Textoennegrita"/>
          <w:rFonts w:ascii="Arial" w:hAnsi="Arial" w:cs="Arial"/>
          <w:b w:val="0"/>
          <w:bCs w:val="0"/>
          <w:color w:val="000000"/>
          <w:sz w:val="24"/>
          <w:szCs w:val="24"/>
          <w:lang w:val="pt-BR" w:eastAsia="es-ES" w:bidi="es-ES"/>
        </w:rPr>
      </w:pPr>
      <w:r w:rsidRPr="00CC1549">
        <w:rPr>
          <w:rFonts w:ascii="Arial" w:hAnsi="Arial" w:cs="Arial"/>
          <w:sz w:val="24"/>
          <w:szCs w:val="24"/>
        </w:rPr>
        <w:t>Alcalde Mayor de Bogotá D.C.</w:t>
      </w:r>
      <w:r w:rsidR="00DB75C9">
        <w:rPr>
          <w:rFonts w:ascii="Arial" w:hAnsi="Arial" w:cs="Arial"/>
          <w:sz w:val="24"/>
          <w:szCs w:val="24"/>
        </w:rPr>
        <w:tab/>
      </w:r>
      <w:r w:rsidR="00DB75C9">
        <w:rPr>
          <w:rFonts w:ascii="Arial" w:hAnsi="Arial" w:cs="Arial"/>
          <w:sz w:val="24"/>
          <w:szCs w:val="24"/>
        </w:rPr>
        <w:tab/>
      </w:r>
      <w:r w:rsidR="00DB75C9" w:rsidRPr="00CC1549">
        <w:rPr>
          <w:rStyle w:val="Textoennegrita"/>
          <w:rFonts w:ascii="Arial" w:hAnsi="Arial" w:cs="Arial"/>
          <w:b w:val="0"/>
          <w:bCs w:val="0"/>
          <w:color w:val="000000"/>
          <w:sz w:val="24"/>
          <w:szCs w:val="24"/>
          <w:lang w:val="pt-BR" w:eastAsia="es-ES" w:bidi="es-ES"/>
        </w:rPr>
        <w:t>Secretaria</w:t>
      </w:r>
      <w:r w:rsidR="00DB75C9" w:rsidRPr="00CC1549">
        <w:rPr>
          <w:rStyle w:val="Textoennegrita"/>
          <w:rFonts w:ascii="Arial" w:hAnsi="Arial" w:cs="Arial"/>
          <w:color w:val="000000"/>
          <w:sz w:val="24"/>
          <w:szCs w:val="24"/>
          <w:lang w:val="pt-BR" w:eastAsia="es-ES" w:bidi="es-ES"/>
        </w:rPr>
        <w:t xml:space="preserve"> </w:t>
      </w:r>
      <w:r w:rsidR="00DB75C9" w:rsidRPr="00CC1549">
        <w:rPr>
          <w:rStyle w:val="Textoennegrita"/>
          <w:rFonts w:ascii="Arial" w:hAnsi="Arial" w:cs="Arial"/>
          <w:b w:val="0"/>
          <w:bCs w:val="0"/>
          <w:color w:val="000000"/>
          <w:sz w:val="24"/>
          <w:szCs w:val="24"/>
          <w:lang w:val="pt-BR" w:eastAsia="es-ES" w:bidi="es-ES"/>
        </w:rPr>
        <w:t xml:space="preserve">Distrital </w:t>
      </w:r>
      <w:r w:rsidR="00DB75C9" w:rsidRPr="00CC1549">
        <w:rPr>
          <w:rStyle w:val="Textoennegrita"/>
          <w:rFonts w:ascii="Arial" w:hAnsi="Arial" w:cs="Arial"/>
          <w:b w:val="0"/>
          <w:color w:val="000000"/>
          <w:sz w:val="24"/>
          <w:szCs w:val="24"/>
          <w:lang w:val="pt-BR" w:eastAsia="es-ES" w:bidi="es-ES"/>
        </w:rPr>
        <w:t>de</w:t>
      </w:r>
      <w:r w:rsidR="00DB75C9" w:rsidRPr="00CC1549">
        <w:rPr>
          <w:rStyle w:val="Textoennegrita"/>
          <w:rFonts w:ascii="Arial" w:hAnsi="Arial" w:cs="Arial"/>
          <w:color w:val="000000"/>
          <w:sz w:val="24"/>
          <w:szCs w:val="24"/>
          <w:lang w:val="pt-BR" w:eastAsia="es-ES" w:bidi="es-ES"/>
        </w:rPr>
        <w:t xml:space="preserve"> </w:t>
      </w:r>
      <w:r w:rsidR="00DB75C9" w:rsidRPr="00CC1549">
        <w:rPr>
          <w:rStyle w:val="Textoennegrita"/>
          <w:rFonts w:ascii="Arial" w:hAnsi="Arial" w:cs="Arial"/>
          <w:b w:val="0"/>
          <w:bCs w:val="0"/>
          <w:color w:val="000000"/>
          <w:sz w:val="24"/>
          <w:szCs w:val="24"/>
          <w:lang w:val="pt-BR" w:eastAsia="es-ES" w:bidi="es-ES"/>
        </w:rPr>
        <w:t>Hacienda</w:t>
      </w:r>
    </w:p>
    <w:p w14:paraId="3D2886E5" w14:textId="56CBC7F2" w:rsidR="008E1ACB" w:rsidRDefault="008E1ACB" w:rsidP="00DB75C9">
      <w:pPr>
        <w:pStyle w:val="Sinespaciado1"/>
        <w:ind w:right="-340"/>
        <w:jc w:val="both"/>
        <w:rPr>
          <w:rStyle w:val="Textoennegrita"/>
          <w:rFonts w:ascii="Arial" w:hAnsi="Arial" w:cs="Arial"/>
          <w:b w:val="0"/>
          <w:bCs w:val="0"/>
          <w:color w:val="000000"/>
          <w:sz w:val="24"/>
          <w:szCs w:val="24"/>
          <w:lang w:val="pt-BR" w:eastAsia="es-ES" w:bidi="es-ES"/>
        </w:rPr>
      </w:pPr>
    </w:p>
    <w:tbl>
      <w:tblPr>
        <w:tblW w:w="4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6291"/>
      </w:tblGrid>
      <w:tr w:rsidR="008E1ACB" w14:paraId="740D6818" w14:textId="77777777" w:rsidTr="008E1ACB">
        <w:trPr>
          <w:cantSplit/>
        </w:trPr>
        <w:tc>
          <w:tcPr>
            <w:tcW w:w="1061" w:type="pct"/>
            <w:tcBorders>
              <w:top w:val="single" w:sz="4" w:space="0" w:color="auto"/>
              <w:left w:val="single" w:sz="4" w:space="0" w:color="auto"/>
              <w:bottom w:val="single" w:sz="4" w:space="0" w:color="auto"/>
              <w:right w:val="single" w:sz="4" w:space="0" w:color="auto"/>
            </w:tcBorders>
            <w:vAlign w:val="center"/>
            <w:hideMark/>
          </w:tcPr>
          <w:p w14:paraId="26CF7F3C" w14:textId="77777777" w:rsidR="008E1ACB" w:rsidRDefault="008E1ACB">
            <w:pPr>
              <w:rPr>
                <w:rFonts w:ascii="Arial" w:hAnsi="Arial" w:cs="Arial"/>
                <w:b/>
                <w:sz w:val="12"/>
                <w:szCs w:val="16"/>
                <w:lang w:eastAsia="zh-CN"/>
              </w:rPr>
            </w:pPr>
            <w:r>
              <w:rPr>
                <w:rFonts w:ascii="Arial" w:hAnsi="Arial" w:cs="Arial"/>
                <w:b/>
                <w:sz w:val="12"/>
                <w:szCs w:val="16"/>
              </w:rPr>
              <w:t xml:space="preserve">Aprobado por: </w:t>
            </w:r>
          </w:p>
        </w:tc>
        <w:tc>
          <w:tcPr>
            <w:tcW w:w="3939" w:type="pct"/>
            <w:tcBorders>
              <w:top w:val="single" w:sz="4" w:space="0" w:color="auto"/>
              <w:left w:val="single" w:sz="4" w:space="0" w:color="auto"/>
              <w:bottom w:val="single" w:sz="4" w:space="0" w:color="auto"/>
              <w:right w:val="single" w:sz="4" w:space="0" w:color="auto"/>
            </w:tcBorders>
            <w:vAlign w:val="center"/>
            <w:hideMark/>
          </w:tcPr>
          <w:p w14:paraId="17FA2FED" w14:textId="77777777" w:rsidR="008E1ACB" w:rsidRDefault="008E1ACB">
            <w:pPr>
              <w:rPr>
                <w:rFonts w:ascii="Arial" w:hAnsi="Arial" w:cs="Arial"/>
                <w:sz w:val="12"/>
                <w:szCs w:val="16"/>
              </w:rPr>
            </w:pPr>
            <w:r>
              <w:rPr>
                <w:rFonts w:ascii="Arial" w:hAnsi="Arial" w:cs="Arial"/>
                <w:iCs/>
                <w:sz w:val="12"/>
                <w:szCs w:val="16"/>
              </w:rPr>
              <w:t>José Alejandro Herrera Lozano    - Subsecretario Técnico  - Secretaria de Hacienda de Bogotá</w:t>
            </w:r>
          </w:p>
        </w:tc>
      </w:tr>
      <w:tr w:rsidR="008E1ACB" w14:paraId="4100192A" w14:textId="77777777" w:rsidTr="008E1ACB">
        <w:trPr>
          <w:cantSplit/>
        </w:trPr>
        <w:tc>
          <w:tcPr>
            <w:tcW w:w="1061" w:type="pct"/>
            <w:tcBorders>
              <w:top w:val="single" w:sz="4" w:space="0" w:color="auto"/>
              <w:left w:val="single" w:sz="4" w:space="0" w:color="auto"/>
              <w:bottom w:val="single" w:sz="4" w:space="0" w:color="auto"/>
              <w:right w:val="single" w:sz="4" w:space="0" w:color="auto"/>
            </w:tcBorders>
            <w:vAlign w:val="center"/>
            <w:hideMark/>
          </w:tcPr>
          <w:p w14:paraId="415F539F" w14:textId="77777777" w:rsidR="008E1ACB" w:rsidRDefault="008E1ACB">
            <w:pPr>
              <w:rPr>
                <w:rFonts w:ascii="Arial" w:hAnsi="Arial" w:cs="Arial"/>
                <w:b/>
                <w:sz w:val="12"/>
                <w:szCs w:val="16"/>
              </w:rPr>
            </w:pPr>
            <w:r>
              <w:rPr>
                <w:rFonts w:ascii="Arial" w:hAnsi="Arial" w:cs="Arial"/>
                <w:b/>
                <w:sz w:val="12"/>
                <w:szCs w:val="16"/>
              </w:rPr>
              <w:t>Revisado por:</w:t>
            </w:r>
          </w:p>
        </w:tc>
        <w:tc>
          <w:tcPr>
            <w:tcW w:w="3939" w:type="pct"/>
            <w:tcBorders>
              <w:top w:val="single" w:sz="4" w:space="0" w:color="auto"/>
              <w:left w:val="single" w:sz="4" w:space="0" w:color="auto"/>
              <w:bottom w:val="single" w:sz="4" w:space="0" w:color="auto"/>
              <w:right w:val="single" w:sz="4" w:space="0" w:color="auto"/>
            </w:tcBorders>
            <w:vAlign w:val="center"/>
            <w:hideMark/>
          </w:tcPr>
          <w:p w14:paraId="0117D667" w14:textId="77777777" w:rsidR="008E1ACB" w:rsidRPr="001F5AEA" w:rsidRDefault="008E1ACB">
            <w:pPr>
              <w:rPr>
                <w:rFonts w:ascii="Arial" w:hAnsi="Arial" w:cs="Arial"/>
                <w:iCs/>
                <w:sz w:val="12"/>
                <w:szCs w:val="16"/>
              </w:rPr>
            </w:pPr>
            <w:r w:rsidRPr="001F5AEA">
              <w:rPr>
                <w:rFonts w:ascii="Arial" w:hAnsi="Arial" w:cs="Arial"/>
                <w:sz w:val="12"/>
                <w:szCs w:val="16"/>
              </w:rPr>
              <w:t xml:space="preserve">Orlando Valbuena Gómez  - Director de Impuestos de Bogotá  -  </w:t>
            </w:r>
            <w:r w:rsidRPr="001F5AEA">
              <w:rPr>
                <w:rFonts w:ascii="Arial" w:hAnsi="Arial" w:cs="Arial"/>
                <w:iCs/>
                <w:sz w:val="12"/>
                <w:szCs w:val="16"/>
              </w:rPr>
              <w:t>Secretaria de Hacienda de Bogotá</w:t>
            </w:r>
          </w:p>
          <w:p w14:paraId="0A88E684" w14:textId="43CEBBA7" w:rsidR="008E1ACB" w:rsidRPr="001F5AEA" w:rsidRDefault="001F5AEA">
            <w:pPr>
              <w:rPr>
                <w:rFonts w:ascii="Arial" w:hAnsi="Arial" w:cs="Arial"/>
                <w:sz w:val="12"/>
                <w:szCs w:val="16"/>
              </w:rPr>
            </w:pPr>
            <w:r w:rsidRPr="001F5AEA">
              <w:rPr>
                <w:rFonts w:ascii="Arial" w:hAnsi="Arial" w:cs="Arial"/>
                <w:sz w:val="12"/>
                <w:szCs w:val="16"/>
              </w:rPr>
              <w:t>C</w:t>
            </w:r>
            <w:r w:rsidRPr="001F5AEA">
              <w:rPr>
                <w:rFonts w:cs="Arial"/>
                <w:sz w:val="12"/>
                <w:szCs w:val="16"/>
              </w:rPr>
              <w:t xml:space="preserve">lara Lucia Morales Posso  - </w:t>
            </w:r>
            <w:r w:rsidR="008E1ACB" w:rsidRPr="001F5AEA">
              <w:rPr>
                <w:rFonts w:ascii="Arial" w:hAnsi="Arial" w:cs="Arial"/>
                <w:sz w:val="12"/>
                <w:szCs w:val="16"/>
              </w:rPr>
              <w:t>Director</w:t>
            </w:r>
            <w:r w:rsidRPr="001F5AEA">
              <w:rPr>
                <w:rFonts w:ascii="Arial" w:hAnsi="Arial" w:cs="Arial"/>
                <w:sz w:val="12"/>
                <w:szCs w:val="16"/>
              </w:rPr>
              <w:t>a</w:t>
            </w:r>
            <w:r w:rsidR="008E1ACB" w:rsidRPr="001F5AEA">
              <w:rPr>
                <w:rFonts w:ascii="Arial" w:hAnsi="Arial" w:cs="Arial"/>
                <w:sz w:val="12"/>
                <w:szCs w:val="16"/>
              </w:rPr>
              <w:t xml:space="preserve"> Jurídico </w:t>
            </w:r>
            <w:r w:rsidRPr="001F5AEA">
              <w:rPr>
                <w:rFonts w:ascii="Arial" w:hAnsi="Arial" w:cs="Arial"/>
                <w:sz w:val="12"/>
                <w:szCs w:val="16"/>
              </w:rPr>
              <w:t xml:space="preserve"> ( E ) </w:t>
            </w:r>
            <w:r w:rsidR="008E1ACB" w:rsidRPr="001F5AEA">
              <w:rPr>
                <w:rFonts w:ascii="Arial" w:hAnsi="Arial" w:cs="Arial"/>
                <w:sz w:val="12"/>
                <w:szCs w:val="16"/>
              </w:rPr>
              <w:t xml:space="preserve">– Secretaria de Hacienda de Bogotá </w:t>
            </w:r>
          </w:p>
        </w:tc>
      </w:tr>
      <w:tr w:rsidR="008E1ACB" w14:paraId="5CF6D12B" w14:textId="77777777" w:rsidTr="008E1ACB">
        <w:trPr>
          <w:cantSplit/>
        </w:trPr>
        <w:tc>
          <w:tcPr>
            <w:tcW w:w="1061" w:type="pct"/>
            <w:tcBorders>
              <w:top w:val="single" w:sz="4" w:space="0" w:color="auto"/>
              <w:left w:val="single" w:sz="4" w:space="0" w:color="auto"/>
              <w:bottom w:val="single" w:sz="4" w:space="0" w:color="auto"/>
              <w:right w:val="single" w:sz="4" w:space="0" w:color="auto"/>
            </w:tcBorders>
            <w:vAlign w:val="center"/>
            <w:hideMark/>
          </w:tcPr>
          <w:p w14:paraId="3BD242FA" w14:textId="77777777" w:rsidR="008E1ACB" w:rsidRDefault="008E1ACB">
            <w:pPr>
              <w:rPr>
                <w:rFonts w:ascii="Arial" w:hAnsi="Arial" w:cs="Arial"/>
                <w:b/>
                <w:sz w:val="12"/>
                <w:szCs w:val="16"/>
              </w:rPr>
            </w:pPr>
            <w:r>
              <w:rPr>
                <w:rFonts w:ascii="Arial" w:hAnsi="Arial" w:cs="Arial"/>
                <w:b/>
                <w:sz w:val="12"/>
                <w:szCs w:val="16"/>
              </w:rPr>
              <w:t>Proyectado por:</w:t>
            </w:r>
          </w:p>
        </w:tc>
        <w:tc>
          <w:tcPr>
            <w:tcW w:w="3939" w:type="pct"/>
            <w:tcBorders>
              <w:top w:val="single" w:sz="4" w:space="0" w:color="auto"/>
              <w:left w:val="single" w:sz="4" w:space="0" w:color="auto"/>
              <w:bottom w:val="single" w:sz="4" w:space="0" w:color="auto"/>
              <w:right w:val="single" w:sz="4" w:space="0" w:color="auto"/>
            </w:tcBorders>
            <w:vAlign w:val="center"/>
            <w:hideMark/>
          </w:tcPr>
          <w:p w14:paraId="0C604365" w14:textId="77777777" w:rsidR="008E1ACB" w:rsidRDefault="008E1ACB">
            <w:pPr>
              <w:rPr>
                <w:rFonts w:ascii="Arial" w:hAnsi="Arial" w:cs="Arial"/>
                <w:iCs/>
                <w:sz w:val="12"/>
                <w:szCs w:val="16"/>
              </w:rPr>
            </w:pPr>
            <w:r>
              <w:rPr>
                <w:rFonts w:ascii="Arial" w:hAnsi="Arial" w:cs="Arial"/>
                <w:iCs/>
                <w:sz w:val="12"/>
                <w:szCs w:val="16"/>
              </w:rPr>
              <w:t>Cesar Figueroa Socarrás – Asesor Dirección de Impuestos de Bogotá -  Secretaria de Hacienda de Bogotá</w:t>
            </w:r>
          </w:p>
          <w:p w14:paraId="6406339C" w14:textId="77777777" w:rsidR="008E1ACB" w:rsidRDefault="008E1ACB">
            <w:pPr>
              <w:rPr>
                <w:rFonts w:ascii="Arial" w:hAnsi="Arial" w:cs="Arial"/>
                <w:sz w:val="12"/>
                <w:szCs w:val="16"/>
              </w:rPr>
            </w:pPr>
            <w:r>
              <w:rPr>
                <w:rFonts w:ascii="Arial" w:hAnsi="Arial" w:cs="Arial"/>
                <w:iCs/>
                <w:sz w:val="12"/>
                <w:szCs w:val="16"/>
              </w:rPr>
              <w:t xml:space="preserve">Saúl Camilo Guzmán Lozano  - Subdirector Jurídico Tributario – Secretaria de Hacienda de Bogotá </w:t>
            </w:r>
          </w:p>
        </w:tc>
      </w:tr>
    </w:tbl>
    <w:p w14:paraId="62C27710" w14:textId="77777777" w:rsidR="008E1ACB" w:rsidRPr="008E1ACB" w:rsidRDefault="008E1ACB" w:rsidP="00DB75C9">
      <w:pPr>
        <w:pStyle w:val="Sinespaciado1"/>
        <w:ind w:right="-340"/>
        <w:jc w:val="both"/>
        <w:rPr>
          <w:rFonts w:ascii="Arial" w:hAnsi="Arial" w:cs="Arial"/>
          <w:sz w:val="24"/>
          <w:szCs w:val="24"/>
          <w:lang w:val="es-ES_tradnl"/>
        </w:rPr>
      </w:pPr>
    </w:p>
    <w:sectPr w:rsidR="008E1ACB" w:rsidRPr="008E1ACB" w:rsidSect="002A71B1">
      <w:headerReference w:type="default" r:id="rId18"/>
      <w:footerReference w:type="even" r:id="rId19"/>
      <w:footerReference w:type="default" r:id="rId20"/>
      <w:pgSz w:w="12242" w:h="15842" w:code="1"/>
      <w:pgMar w:top="1985" w:right="1701" w:bottom="1985" w:left="1701" w:header="34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92D8D" w14:textId="77777777" w:rsidR="00521A50" w:rsidRDefault="00521A50">
      <w:r>
        <w:separator/>
      </w:r>
    </w:p>
  </w:endnote>
  <w:endnote w:type="continuationSeparator" w:id="0">
    <w:p w14:paraId="0EBAF14A" w14:textId="77777777" w:rsidR="00521A50" w:rsidRDefault="0052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Mono">
    <w:charset w:val="80"/>
    <w:family w:val="modern"/>
    <w:pitch w:val="fixed"/>
  </w:font>
  <w:font w:name="WenQuanYi Micro Hei">
    <w:altName w:val="MS Mincho"/>
    <w:charset w:val="80"/>
    <w:family w:val="auto"/>
    <w:pitch w:val="variable"/>
  </w:font>
  <w:font w:name="Lohit Hindi">
    <w:altName w:val="Times New Roman"/>
    <w:charset w:val="80"/>
    <w:family w:val="modern"/>
    <w:pitch w:val="fixed"/>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aramond-Bold">
    <w:altName w:val="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E4BD5" w14:textId="77777777" w:rsidR="00842E33" w:rsidRDefault="00842E33">
    <w:pPr>
      <w:pStyle w:val="Piedepgina"/>
    </w:pPr>
  </w:p>
  <w:p w14:paraId="547FE38C" w14:textId="77777777" w:rsidR="00842E33" w:rsidRDefault="00842E33">
    <w:r>
      <w:rPr>
        <w:noProof/>
        <w:lang w:val="es-CO" w:eastAsia="es-CO"/>
      </w:rPr>
      <mc:AlternateContent>
        <mc:Choice Requires="wps">
          <w:drawing>
            <wp:anchor distT="0" distB="0" distL="114300" distR="114300" simplePos="0" relativeHeight="251655680" behindDoc="0" locked="0" layoutInCell="1" allowOverlap="1" wp14:anchorId="5AA99BFE" wp14:editId="37D23C1C">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54372" w14:textId="77777777" w:rsidR="00842E33" w:rsidRPr="003533F0" w:rsidRDefault="00842E33"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1E993D44" w14:textId="77777777" w:rsidR="00842E33" w:rsidRPr="003533F0" w:rsidRDefault="00842E33"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7D00CCD" w14:textId="77777777" w:rsidR="00842E33" w:rsidRPr="003533F0" w:rsidRDefault="00842E33"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03881009" w14:textId="77777777" w:rsidR="00842E33" w:rsidRDefault="00842E33"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A99BFE"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VYtg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" filled="f" stroked="f">
              <v:textbox>
                <w:txbxContent>
                  <w:p w14:paraId="46254372" w14:textId="77777777" w:rsidR="0030233A" w:rsidRPr="003533F0" w:rsidRDefault="0030233A"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1E993D44" w14:textId="77777777" w:rsidR="0030233A" w:rsidRPr="003533F0" w:rsidRDefault="0030233A"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7D00CCD" w14:textId="77777777" w:rsidR="0030233A" w:rsidRPr="003533F0" w:rsidRDefault="0030233A"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03881009" w14:textId="77777777" w:rsidR="0030233A" w:rsidRDefault="0030233A" w:rsidP="005B322D"/>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C0D9" w14:textId="77777777" w:rsidR="00842E33" w:rsidRDefault="00842E33" w:rsidP="004F470D">
    <w:pPr>
      <w:suppressAutoHyphens/>
      <w:rPr>
        <w:lang w:eastAsia="zh-CN"/>
      </w:rPr>
    </w:pPr>
  </w:p>
  <w:p w14:paraId="684B98AE" w14:textId="16DACE01" w:rsidR="00842E33" w:rsidRPr="004F470D" w:rsidRDefault="00842E33" w:rsidP="004F470D">
    <w:pPr>
      <w:suppressAutoHyphens/>
      <w:rPr>
        <w:lang w:eastAsia="zh-CN"/>
      </w:rPr>
    </w:pPr>
    <w:r w:rsidRPr="004F470D">
      <w:rPr>
        <w:noProof/>
        <w:lang w:val="es-CO" w:eastAsia="es-CO"/>
      </w:rPr>
      <w:drawing>
        <wp:inline distT="0" distB="0" distL="0" distR="0" wp14:anchorId="01037262" wp14:editId="7098C1AC">
          <wp:extent cx="1209675" cy="8096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inline>
      </w:drawing>
    </w:r>
    <w:r w:rsidRPr="004F470D">
      <w:rPr>
        <w:lang w:eastAsia="zh-CN"/>
      </w:rPr>
      <w:t xml:space="preserve">                                                                                                        </w:t>
    </w:r>
    <w:r w:rsidRPr="004F470D">
      <w:rPr>
        <w:noProof/>
        <w:lang w:val="es-CO" w:eastAsia="es-CO"/>
      </w:rPr>
      <w:drawing>
        <wp:inline distT="0" distB="0" distL="0" distR="0" wp14:anchorId="7C47C488" wp14:editId="40A4FE35">
          <wp:extent cx="1047750" cy="7143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14375"/>
                  </a:xfrm>
                  <a:prstGeom prst="rect">
                    <a:avLst/>
                  </a:prstGeom>
                  <a:noFill/>
                  <a:ln>
                    <a:noFill/>
                  </a:ln>
                </pic:spPr>
              </pic:pic>
            </a:graphicData>
          </a:graphic>
        </wp:inline>
      </w:drawing>
    </w:r>
  </w:p>
  <w:p w14:paraId="372D3995" w14:textId="77777777" w:rsidR="00842E33" w:rsidRPr="004F470D" w:rsidRDefault="00842E33" w:rsidP="004F470D">
    <w:pPr>
      <w:suppressAutoHyphens/>
      <w:jc w:val="center"/>
      <w:rPr>
        <w:lang w:eastAsia="es-CO"/>
      </w:rPr>
    </w:pPr>
  </w:p>
  <w:p w14:paraId="7C287849" w14:textId="63E8CCE5" w:rsidR="00842E33" w:rsidRPr="004F470D" w:rsidRDefault="00842E33" w:rsidP="004F470D">
    <w:pPr>
      <w:tabs>
        <w:tab w:val="center" w:pos="4252"/>
        <w:tab w:val="right" w:pos="8504"/>
      </w:tabs>
      <w:suppressAutoHyphens/>
      <w:ind w:left="720"/>
      <w:jc w:val="center"/>
      <w:rPr>
        <w:rFonts w:ascii="Arial" w:hAnsi="Arial" w:cs="Arial"/>
        <w:sz w:val="16"/>
        <w:szCs w:val="16"/>
        <w:lang w:eastAsia="zh-CN"/>
      </w:rPr>
    </w:pPr>
    <w:r w:rsidRPr="004F470D">
      <w:rPr>
        <w:rFonts w:ascii="Arial" w:hAnsi="Arial" w:cs="Arial"/>
        <w:sz w:val="16"/>
        <w:szCs w:val="16"/>
        <w:lang w:eastAsia="zh-CN"/>
      </w:rPr>
      <w:t xml:space="preserve">              2310460-FT-080 Versión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71522" w14:textId="77777777" w:rsidR="00521A50" w:rsidRDefault="00521A50">
      <w:r>
        <w:separator/>
      </w:r>
    </w:p>
  </w:footnote>
  <w:footnote w:type="continuationSeparator" w:id="0">
    <w:p w14:paraId="2662343A" w14:textId="77777777" w:rsidR="00521A50" w:rsidRDefault="00521A50">
      <w:r>
        <w:continuationSeparator/>
      </w:r>
    </w:p>
  </w:footnote>
  <w:footnote w:id="1">
    <w:p w14:paraId="2634CA6B" w14:textId="77777777" w:rsidR="00842E33" w:rsidRPr="00C95045" w:rsidRDefault="00842E33" w:rsidP="001800D8">
      <w:pPr>
        <w:pStyle w:val="Textonotapie"/>
        <w:jc w:val="both"/>
        <w:rPr>
          <w:rFonts w:ascii="Arial" w:hAnsi="Arial" w:cs="Arial"/>
          <w:sz w:val="16"/>
          <w:szCs w:val="16"/>
        </w:rPr>
      </w:pPr>
      <w:r w:rsidRPr="00C95045">
        <w:rPr>
          <w:rStyle w:val="Refdenotaalpie"/>
          <w:rFonts w:ascii="Arial" w:hAnsi="Arial" w:cs="Arial"/>
          <w:sz w:val="16"/>
          <w:szCs w:val="16"/>
        </w:rPr>
        <w:footnoteRef/>
      </w:r>
      <w:r w:rsidRPr="00C95045">
        <w:rPr>
          <w:rFonts w:ascii="Arial" w:hAnsi="Arial" w:cs="Arial"/>
          <w:sz w:val="16"/>
          <w:szCs w:val="16"/>
        </w:rPr>
        <w:t xml:space="preserve"> Las principales reglas de territorialidad están consignadas en el artículo 345 de la Ley 1819 y son: a) en sí misma, la comercialización de productos no causa el impuesto; b) si la actividad se realiza en un establecimiento de comercio abierto al público o en puntos de venta, se entenderá realizada en el municipio en donde estos se encuentren; c) si la actividad se realiza en un municipio en donde no existe establecimiento de comercio ni puntos de venta, la actividad se entenderá realizada en el municipio en donde se perfecciona la venta; d) el impuesto se causa en la jurisdicción del municipio donde se acuerdan el precio y las características de la venta; e) las ventas directas al consumidor a través de correo, catálogos, compras en línea, tele ventas y ventas electrónicas se entenderán gravadas en el municipio que corresponda al lugar de despacho de la mercancía; f) en la actividad de inversionistas, los ingresos se entienden gravados en el municipio o distrito donde se encuentra ubicada la sede de la sociedad donde se poseen las inversiones; g) en la actividad de servicios, el ingreso se entenderá percibido en el lugar donde se ejecute la prestación del mismo, salvo en los siguientes casos: 1) en transporte el ingreso se entenderá percibido en el municipio o distrito desde donde se despacha el bien, mercancía o persona;  2) en los servicios de televisión e Internet por suscripción y telefonía fija, el ingreso se entiende percibido en el municipio en el que se encuentre el suscriptor del servicio, según el lugar informado en el respectivo contrato; </w:t>
      </w:r>
    </w:p>
    <w:p w14:paraId="52463B0B" w14:textId="77777777" w:rsidR="00842E33" w:rsidRPr="00C95045" w:rsidRDefault="00842E33" w:rsidP="001800D8">
      <w:pPr>
        <w:pStyle w:val="Textonotapie"/>
        <w:jc w:val="both"/>
        <w:rPr>
          <w:rFonts w:ascii="Arial" w:hAnsi="Arial" w:cs="Arial"/>
          <w:sz w:val="16"/>
          <w:szCs w:val="16"/>
        </w:rPr>
      </w:pPr>
      <w:r w:rsidRPr="00C95045">
        <w:rPr>
          <w:rFonts w:ascii="Arial" w:hAnsi="Arial" w:cs="Arial"/>
          <w:sz w:val="16"/>
          <w:szCs w:val="16"/>
        </w:rPr>
        <w:t xml:space="preserve">3) en el servicio de telefonía móvil, navegación móvil y servicio de datos, el ingreso se entiende percibido en el domicilio principal del usuario que registre al momento de la suscripción del contrato o en el documento de actualización; 4) en las actividades desarrolladas a través de patrimonios autónomos el impuesto se causa a favor del municipio donde se realicen. </w:t>
      </w:r>
    </w:p>
    <w:p w14:paraId="6B53FC78" w14:textId="77777777" w:rsidR="00842E33" w:rsidRPr="00C95045" w:rsidRDefault="00842E33" w:rsidP="001800D8">
      <w:pPr>
        <w:pStyle w:val="Textonotapie"/>
        <w:jc w:val="both"/>
        <w:rPr>
          <w:rFonts w:ascii="Arial" w:hAnsi="Arial" w:cs="Arial"/>
          <w:sz w:val="16"/>
          <w:szCs w:val="16"/>
        </w:rPr>
      </w:pPr>
    </w:p>
    <w:p w14:paraId="100981E1" w14:textId="77777777" w:rsidR="00842E33" w:rsidRPr="00C95045" w:rsidRDefault="00842E33" w:rsidP="001800D8">
      <w:pPr>
        <w:pStyle w:val="Textonotapie"/>
        <w:jc w:val="both"/>
        <w:rPr>
          <w:rFonts w:ascii="Arial" w:hAnsi="Arial" w:cs="Arial"/>
          <w:sz w:val="16"/>
          <w:szCs w:val="16"/>
        </w:rPr>
      </w:pPr>
      <w:r w:rsidRPr="00C95045">
        <w:rPr>
          <w:rFonts w:ascii="Arial" w:hAnsi="Arial" w:cs="Arial"/>
          <w:sz w:val="16"/>
          <w:szCs w:val="16"/>
        </w:rPr>
        <w:t>En general, para el cumplimiento de sus obligaciones tributarias ante cada municipio en donde realice su actividad comercial, el contribuyente debe determinar a partir de su forma de operación el municipio en donde se entiende perfeccionada cada venta.</w:t>
      </w:r>
    </w:p>
    <w:p w14:paraId="57C858FF" w14:textId="77777777" w:rsidR="00842E33" w:rsidRPr="00C95045" w:rsidRDefault="00842E33" w:rsidP="001800D8">
      <w:pPr>
        <w:pStyle w:val="Textonotapie"/>
        <w:rPr>
          <w:rFonts w:ascii="Arial" w:hAnsi="Arial" w:cs="Arial"/>
          <w:sz w:val="16"/>
          <w:szCs w:val="16"/>
        </w:rPr>
      </w:pPr>
      <w:r w:rsidRPr="00C95045">
        <w:rPr>
          <w:rFonts w:ascii="Arial" w:hAnsi="Arial" w:cs="Arial"/>
          <w:sz w:val="16"/>
          <w:szCs w:val="16"/>
        </w:rPr>
        <w:t xml:space="preserve"> </w:t>
      </w:r>
    </w:p>
  </w:footnote>
  <w:footnote w:id="2">
    <w:p w14:paraId="3C0B1AAF" w14:textId="77777777" w:rsidR="00842E33" w:rsidRPr="00C95045" w:rsidRDefault="00842E33" w:rsidP="001800D8">
      <w:pPr>
        <w:pStyle w:val="Textonotapie"/>
        <w:rPr>
          <w:rFonts w:ascii="Arial" w:hAnsi="Arial" w:cs="Arial"/>
          <w:sz w:val="16"/>
          <w:szCs w:val="16"/>
        </w:rPr>
      </w:pPr>
      <w:r w:rsidRPr="00C95045">
        <w:rPr>
          <w:rStyle w:val="Refdenotaalpie"/>
          <w:rFonts w:ascii="Arial" w:hAnsi="Arial" w:cs="Arial"/>
          <w:sz w:val="16"/>
          <w:szCs w:val="16"/>
        </w:rPr>
        <w:footnoteRef/>
      </w:r>
      <w:r w:rsidRPr="00C95045">
        <w:rPr>
          <w:rFonts w:ascii="Arial" w:hAnsi="Arial" w:cs="Arial"/>
          <w:sz w:val="16"/>
          <w:szCs w:val="16"/>
        </w:rPr>
        <w:t xml:space="preserve"> Esto suponiendo un crecimiento de 6.4% nominal, que corresponde al comportamiento observado en el primer semestre de 2018 para el total nacional. Ver, Ministerio de Hacienda y Crédito Público (2018),  </w:t>
      </w:r>
    </w:p>
  </w:footnote>
  <w:footnote w:id="3">
    <w:p w14:paraId="110B8292" w14:textId="77777777" w:rsidR="00842E33" w:rsidRPr="002D4144" w:rsidRDefault="00842E33" w:rsidP="001800D8">
      <w:pPr>
        <w:pStyle w:val="Textonotapie"/>
        <w:rPr>
          <w:lang w:val="es-ES"/>
        </w:rPr>
      </w:pPr>
      <w:r>
        <w:rPr>
          <w:rStyle w:val="Refdenotaalpie"/>
        </w:rPr>
        <w:footnoteRef/>
      </w:r>
      <w:r>
        <w:t xml:space="preserve"> </w:t>
      </w:r>
      <w:r>
        <w:rPr>
          <w:lang w:val="es-ES"/>
        </w:rPr>
        <w:t>Fernández y Fernández (2018). La informalidad empresarial, el pago de tributos locales y el monotributo: el caso de las microempresas en Bogotá. Fedesarrollo.</w:t>
      </w:r>
    </w:p>
  </w:footnote>
  <w:footnote w:id="4">
    <w:p w14:paraId="099F6F4B" w14:textId="77777777" w:rsidR="00842E33" w:rsidRDefault="00842E33" w:rsidP="008704E4">
      <w:pPr>
        <w:tabs>
          <w:tab w:val="left" w:pos="720"/>
        </w:tabs>
        <w:jc w:val="both"/>
      </w:pPr>
      <w:r>
        <w:rPr>
          <w:rStyle w:val="Caracteresdenotaalpie"/>
          <w:rFonts w:ascii="Arial" w:hAnsi="Arial"/>
        </w:rPr>
        <w:footnoteRef/>
      </w:r>
      <w:r>
        <w:rPr>
          <w:rFonts w:ascii="Arial" w:hAnsi="Arial"/>
          <w:bCs/>
          <w:iCs/>
          <w:color w:val="000000"/>
          <w:sz w:val="16"/>
          <w:szCs w:val="16"/>
        </w:rPr>
        <w:tab/>
        <w:t xml:space="preserve"> Consejo de Estado, Sala de lo Contencioso Administrativo, Sección Cuarta, Sentencia del 14 de agosto de 2008, Expediente </w:t>
      </w:r>
      <w:r>
        <w:rPr>
          <w:rFonts w:ascii="Arial" w:hAnsi="Arial" w:cs="Arial"/>
          <w:iCs/>
          <w:color w:val="000000"/>
          <w:sz w:val="16"/>
          <w:szCs w:val="16"/>
        </w:rPr>
        <w:t>16003, Magistrado Ponente Dr. Héctor J. Romero Díaz.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B0BA" w14:textId="77777777" w:rsidR="00842E33" w:rsidRDefault="00842E33">
    <w:pPr>
      <w:pStyle w:val="Encabezado"/>
      <w:jc w:val="center"/>
      <w:rPr>
        <w:lang w:val="es-CO"/>
      </w:rPr>
    </w:pPr>
  </w:p>
  <w:p w14:paraId="41D640E9" w14:textId="56841588" w:rsidR="00842E33" w:rsidRPr="002A71B1" w:rsidRDefault="00842E33" w:rsidP="002A71B1">
    <w:pPr>
      <w:tabs>
        <w:tab w:val="center" w:pos="4252"/>
        <w:tab w:val="right" w:pos="8504"/>
      </w:tabs>
      <w:suppressAutoHyphens/>
      <w:jc w:val="center"/>
      <w:rPr>
        <w:b/>
        <w:bCs/>
        <w:sz w:val="12"/>
        <w:szCs w:val="12"/>
        <w:lang w:eastAsia="zh-CN"/>
      </w:rPr>
    </w:pPr>
  </w:p>
  <w:p w14:paraId="04398ADE" w14:textId="769ABF2D" w:rsidR="00842E33" w:rsidRPr="004F470D" w:rsidRDefault="00842E33" w:rsidP="004F470D">
    <w:pPr>
      <w:tabs>
        <w:tab w:val="center" w:pos="4252"/>
        <w:tab w:val="right" w:pos="8504"/>
      </w:tabs>
      <w:suppressAutoHyphens/>
      <w:jc w:val="center"/>
      <w:rPr>
        <w:rFonts w:ascii="Arial" w:hAnsi="Arial" w:cs="Arial"/>
        <w:sz w:val="24"/>
        <w:szCs w:val="24"/>
        <w:lang w:val="es-CO" w:eastAsia="es-CO"/>
      </w:rPr>
    </w:pPr>
    <w:r w:rsidRPr="004F470D">
      <w:rPr>
        <w:noProof/>
        <w:lang w:val="es-CO" w:eastAsia="es-CO"/>
      </w:rPr>
      <w:drawing>
        <wp:anchor distT="0" distB="0" distL="114935" distR="114935" simplePos="0" relativeHeight="251659264" behindDoc="0" locked="0" layoutInCell="1" allowOverlap="1" wp14:anchorId="243AF0ED" wp14:editId="39D9E108">
          <wp:simplePos x="0" y="0"/>
          <wp:positionH relativeFrom="column">
            <wp:posOffset>2591435</wp:posOffset>
          </wp:positionH>
          <wp:positionV relativeFrom="paragraph">
            <wp:posOffset>-141605</wp:posOffset>
          </wp:positionV>
          <wp:extent cx="427355" cy="4991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 cy="4991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E91272A" w14:textId="77777777" w:rsidR="00842E33" w:rsidRPr="004F470D" w:rsidRDefault="00842E33" w:rsidP="004F470D">
    <w:pPr>
      <w:tabs>
        <w:tab w:val="center" w:pos="4252"/>
        <w:tab w:val="right" w:pos="8504"/>
      </w:tabs>
      <w:suppressAutoHyphens/>
      <w:jc w:val="center"/>
      <w:rPr>
        <w:rFonts w:ascii="Arial" w:hAnsi="Arial" w:cs="Arial"/>
        <w:sz w:val="24"/>
        <w:szCs w:val="24"/>
        <w:lang w:val="es-CO" w:eastAsia="es-CO"/>
      </w:rPr>
    </w:pPr>
  </w:p>
  <w:p w14:paraId="119838CC" w14:textId="77777777" w:rsidR="00842E33" w:rsidRPr="004F470D" w:rsidRDefault="00842E33" w:rsidP="004F470D">
    <w:pPr>
      <w:tabs>
        <w:tab w:val="center" w:pos="4252"/>
        <w:tab w:val="right" w:pos="8504"/>
      </w:tabs>
      <w:suppressAutoHyphens/>
      <w:jc w:val="center"/>
      <w:rPr>
        <w:rFonts w:ascii="Arial" w:hAnsi="Arial" w:cs="Arial"/>
        <w:b/>
        <w:bCs/>
        <w:sz w:val="12"/>
        <w:szCs w:val="12"/>
        <w:lang w:val="es-CO" w:eastAsia="es-CO"/>
      </w:rPr>
    </w:pPr>
  </w:p>
  <w:p w14:paraId="17C7A8FA" w14:textId="77777777" w:rsidR="00842E33" w:rsidRPr="004F470D" w:rsidRDefault="00842E33" w:rsidP="004F470D">
    <w:pPr>
      <w:tabs>
        <w:tab w:val="center" w:pos="4252"/>
        <w:tab w:val="right" w:pos="8504"/>
      </w:tabs>
      <w:suppressAutoHyphens/>
      <w:jc w:val="center"/>
      <w:rPr>
        <w:rFonts w:ascii="Calibri" w:eastAsia="Arial" w:hAnsi="Calibri" w:cs="Calibri"/>
        <w:b/>
        <w:bCs/>
        <w:sz w:val="12"/>
        <w:szCs w:val="12"/>
        <w:lang w:eastAsia="zh-CN"/>
      </w:rPr>
    </w:pPr>
    <w:r w:rsidRPr="004F470D">
      <w:rPr>
        <w:rFonts w:ascii="Calibri" w:hAnsi="Calibri" w:cs="Calibri"/>
        <w:b/>
        <w:bCs/>
        <w:sz w:val="12"/>
        <w:szCs w:val="12"/>
        <w:lang w:eastAsia="zh-CN"/>
      </w:rPr>
      <w:t>ALCALDÍA MAYOR</w:t>
    </w:r>
  </w:p>
  <w:p w14:paraId="4E7694D6" w14:textId="62214801" w:rsidR="00842E33" w:rsidRPr="00891E5D" w:rsidRDefault="00842E33" w:rsidP="00891E5D">
    <w:pPr>
      <w:tabs>
        <w:tab w:val="center" w:pos="4252"/>
        <w:tab w:val="right" w:pos="8504"/>
      </w:tabs>
      <w:suppressAutoHyphens/>
      <w:jc w:val="center"/>
      <w:rPr>
        <w:rFonts w:ascii="Calibri" w:hAnsi="Calibri" w:cs="Calibri"/>
        <w:lang w:eastAsia="zh-CN"/>
      </w:rPr>
    </w:pPr>
    <w:r w:rsidRPr="004F470D">
      <w:rPr>
        <w:rFonts w:ascii="Calibri" w:hAnsi="Calibri" w:cs="Calibri"/>
        <w:b/>
        <w:bCs/>
        <w:sz w:val="12"/>
        <w:szCs w:val="12"/>
        <w:lang w:eastAsia="zh-CN"/>
      </w:rPr>
      <w:t>DE BOGOTÀ, D.C.</w:t>
    </w:r>
  </w:p>
  <w:p w14:paraId="14F0D705" w14:textId="0DE7617B" w:rsidR="00842E33" w:rsidRPr="00B50543" w:rsidRDefault="00842E33" w:rsidP="00B61AC7">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00000003"/>
    <w:multiLevelType w:val="multilevel"/>
    <w:tmpl w:val="00000003"/>
    <w:name w:val="WW8Num2"/>
    <w:lvl w:ilvl="0">
      <w:start w:val="2"/>
      <w:numFmt w:val="decimal"/>
      <w:lvlText w:val="%1."/>
      <w:lvlJc w:val="left"/>
      <w:pPr>
        <w:tabs>
          <w:tab w:val="num" w:pos="900"/>
        </w:tabs>
        <w:ind w:left="900" w:hanging="360"/>
      </w:pPr>
    </w:lvl>
    <w:lvl w:ilvl="1">
      <w:start w:val="1"/>
      <w:numFmt w:val="decimal"/>
      <w:lvlText w:val="%1.%2."/>
      <w:lvlJc w:val="left"/>
      <w:pPr>
        <w:tabs>
          <w:tab w:val="num" w:pos="1260"/>
        </w:tabs>
        <w:ind w:left="1260" w:hanging="720"/>
      </w:pPr>
      <w:rPr>
        <w:i w:val="0"/>
        <w:color w:val="00000A"/>
      </w:rPr>
    </w:lvl>
    <w:lvl w:ilvl="2">
      <w:start w:val="1"/>
      <w:numFmt w:val="decimal"/>
      <w:lvlText w:val="%1.%2.%3."/>
      <w:lvlJc w:val="left"/>
      <w:pPr>
        <w:tabs>
          <w:tab w:val="num" w:pos="1260"/>
        </w:tabs>
        <w:ind w:left="1260" w:hanging="720"/>
      </w:pPr>
      <w:rPr>
        <w:i w:val="0"/>
        <w:color w:val="00000A"/>
      </w:rPr>
    </w:lvl>
    <w:lvl w:ilvl="3">
      <w:start w:val="1"/>
      <w:numFmt w:val="decimal"/>
      <w:lvlText w:val="%1.%2.%3.%4."/>
      <w:lvlJc w:val="left"/>
      <w:pPr>
        <w:tabs>
          <w:tab w:val="num" w:pos="1620"/>
        </w:tabs>
        <w:ind w:left="1620" w:hanging="1080"/>
      </w:pPr>
      <w:rPr>
        <w:i w:val="0"/>
        <w:color w:val="00000A"/>
      </w:rPr>
    </w:lvl>
    <w:lvl w:ilvl="4">
      <w:start w:val="1"/>
      <w:numFmt w:val="decimal"/>
      <w:lvlText w:val="%1.%2.%3.%4.%5."/>
      <w:lvlJc w:val="left"/>
      <w:pPr>
        <w:tabs>
          <w:tab w:val="num" w:pos="1620"/>
        </w:tabs>
        <w:ind w:left="1620" w:hanging="1080"/>
      </w:pPr>
      <w:rPr>
        <w:i w:val="0"/>
        <w:color w:val="00000A"/>
      </w:rPr>
    </w:lvl>
    <w:lvl w:ilvl="5">
      <w:start w:val="1"/>
      <w:numFmt w:val="decimal"/>
      <w:lvlText w:val="%1.%2.%3.%4.%5.%6."/>
      <w:lvlJc w:val="left"/>
      <w:pPr>
        <w:tabs>
          <w:tab w:val="num" w:pos="1980"/>
        </w:tabs>
        <w:ind w:left="1980" w:hanging="1440"/>
      </w:pPr>
      <w:rPr>
        <w:i w:val="0"/>
        <w:color w:val="00000A"/>
      </w:rPr>
    </w:lvl>
    <w:lvl w:ilvl="6">
      <w:start w:val="1"/>
      <w:numFmt w:val="decimal"/>
      <w:lvlText w:val="%1.%2.%3.%4.%5.%6.%7."/>
      <w:lvlJc w:val="left"/>
      <w:pPr>
        <w:tabs>
          <w:tab w:val="num" w:pos="1980"/>
        </w:tabs>
        <w:ind w:left="1980" w:hanging="1440"/>
      </w:pPr>
      <w:rPr>
        <w:i w:val="0"/>
        <w:color w:val="00000A"/>
      </w:rPr>
    </w:lvl>
    <w:lvl w:ilvl="7">
      <w:start w:val="1"/>
      <w:numFmt w:val="decimal"/>
      <w:lvlText w:val="%1.%2.%3.%4.%5.%6.%7.%8."/>
      <w:lvlJc w:val="left"/>
      <w:pPr>
        <w:tabs>
          <w:tab w:val="num" w:pos="2340"/>
        </w:tabs>
        <w:ind w:left="2340" w:hanging="1800"/>
      </w:pPr>
      <w:rPr>
        <w:i w:val="0"/>
        <w:color w:val="00000A"/>
      </w:rPr>
    </w:lvl>
    <w:lvl w:ilvl="8">
      <w:start w:val="1"/>
      <w:numFmt w:val="decimal"/>
      <w:lvlText w:val="%1.%2.%3.%4.%5.%6.%7.%8.%9."/>
      <w:lvlJc w:val="left"/>
      <w:pPr>
        <w:tabs>
          <w:tab w:val="num" w:pos="2700"/>
        </w:tabs>
        <w:ind w:left="2700" w:hanging="2160"/>
      </w:pPr>
      <w:rPr>
        <w:i w:val="0"/>
        <w:color w:val="00000A"/>
      </w:rPr>
    </w:lvl>
  </w:abstractNum>
  <w:abstractNum w:abstractNumId="2" w15:restartNumberingAfterBreak="0">
    <w:nsid w:val="00000004"/>
    <w:multiLevelType w:val="multilevel"/>
    <w:tmpl w:val="00000004"/>
    <w:name w:val="WW8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Num1"/>
    <w:lvl w:ilvl="0">
      <w:start w:val="2"/>
      <w:numFmt w:val="decimal"/>
      <w:lvlText w:val="%1."/>
      <w:lvlJc w:val="left"/>
      <w:pPr>
        <w:tabs>
          <w:tab w:val="num" w:pos="900"/>
        </w:tabs>
        <w:ind w:left="900" w:hanging="360"/>
      </w:pPr>
    </w:lvl>
    <w:lvl w:ilvl="1">
      <w:start w:val="1"/>
      <w:numFmt w:val="decimal"/>
      <w:lvlText w:val="%1.%2."/>
      <w:lvlJc w:val="left"/>
      <w:pPr>
        <w:tabs>
          <w:tab w:val="num" w:pos="1260"/>
        </w:tabs>
        <w:ind w:left="1260" w:hanging="720"/>
      </w:pPr>
      <w:rPr>
        <w:i w:val="0"/>
        <w:color w:val="00000A"/>
      </w:rPr>
    </w:lvl>
    <w:lvl w:ilvl="2">
      <w:start w:val="1"/>
      <w:numFmt w:val="decimal"/>
      <w:lvlText w:val="%1.%2.%3."/>
      <w:lvlJc w:val="left"/>
      <w:pPr>
        <w:tabs>
          <w:tab w:val="num" w:pos="1260"/>
        </w:tabs>
        <w:ind w:left="1260" w:hanging="720"/>
      </w:pPr>
      <w:rPr>
        <w:i w:val="0"/>
        <w:color w:val="00000A"/>
      </w:rPr>
    </w:lvl>
    <w:lvl w:ilvl="3">
      <w:start w:val="1"/>
      <w:numFmt w:val="decimal"/>
      <w:lvlText w:val="%1.%2.%3.%4."/>
      <w:lvlJc w:val="left"/>
      <w:pPr>
        <w:tabs>
          <w:tab w:val="num" w:pos="1620"/>
        </w:tabs>
        <w:ind w:left="1620" w:hanging="1080"/>
      </w:pPr>
      <w:rPr>
        <w:i w:val="0"/>
        <w:color w:val="00000A"/>
      </w:rPr>
    </w:lvl>
    <w:lvl w:ilvl="4">
      <w:start w:val="1"/>
      <w:numFmt w:val="decimal"/>
      <w:lvlText w:val="%1.%2.%3.%4.%5."/>
      <w:lvlJc w:val="left"/>
      <w:pPr>
        <w:tabs>
          <w:tab w:val="num" w:pos="1620"/>
        </w:tabs>
        <w:ind w:left="1620" w:hanging="1080"/>
      </w:pPr>
      <w:rPr>
        <w:i w:val="0"/>
        <w:color w:val="00000A"/>
      </w:rPr>
    </w:lvl>
    <w:lvl w:ilvl="5">
      <w:start w:val="1"/>
      <w:numFmt w:val="decimal"/>
      <w:lvlText w:val="%1.%2.%3.%4.%5.%6."/>
      <w:lvlJc w:val="left"/>
      <w:pPr>
        <w:tabs>
          <w:tab w:val="num" w:pos="1980"/>
        </w:tabs>
        <w:ind w:left="1980" w:hanging="1440"/>
      </w:pPr>
      <w:rPr>
        <w:i w:val="0"/>
        <w:color w:val="00000A"/>
      </w:rPr>
    </w:lvl>
    <w:lvl w:ilvl="6">
      <w:start w:val="1"/>
      <w:numFmt w:val="decimal"/>
      <w:lvlText w:val="%1.%2.%3.%4.%5.%6.%7."/>
      <w:lvlJc w:val="left"/>
      <w:pPr>
        <w:tabs>
          <w:tab w:val="num" w:pos="1980"/>
        </w:tabs>
        <w:ind w:left="1980" w:hanging="1440"/>
      </w:pPr>
      <w:rPr>
        <w:i w:val="0"/>
        <w:color w:val="00000A"/>
      </w:rPr>
    </w:lvl>
    <w:lvl w:ilvl="7">
      <w:start w:val="1"/>
      <w:numFmt w:val="decimal"/>
      <w:lvlText w:val="%1.%2.%3.%4.%5.%6.%7.%8."/>
      <w:lvlJc w:val="left"/>
      <w:pPr>
        <w:tabs>
          <w:tab w:val="num" w:pos="2340"/>
        </w:tabs>
        <w:ind w:left="2340" w:hanging="1800"/>
      </w:pPr>
      <w:rPr>
        <w:i w:val="0"/>
        <w:color w:val="00000A"/>
      </w:rPr>
    </w:lvl>
    <w:lvl w:ilvl="8">
      <w:start w:val="1"/>
      <w:numFmt w:val="decimal"/>
      <w:lvlText w:val="%1.%2.%3.%4.%5.%6.%7.%8.%9."/>
      <w:lvlJc w:val="left"/>
      <w:pPr>
        <w:tabs>
          <w:tab w:val="num" w:pos="2700"/>
        </w:tabs>
        <w:ind w:left="2700" w:hanging="2160"/>
      </w:pPr>
      <w:rPr>
        <w:i w:val="0"/>
        <w:color w:val="00000A"/>
      </w:rPr>
    </w:lvl>
  </w:abstractNum>
  <w:abstractNum w:abstractNumId="4" w15:restartNumberingAfterBreak="0">
    <w:nsid w:val="00000007"/>
    <w:multiLevelType w:val="multilevel"/>
    <w:tmpl w:val="00000007"/>
    <w:lvl w:ilvl="0">
      <w:start w:val="1"/>
      <w:numFmt w:val="bullet"/>
      <w:lvlText w:val=""/>
      <w:lvlJc w:val="left"/>
      <w:pPr>
        <w:tabs>
          <w:tab w:val="num" w:pos="900"/>
        </w:tabs>
        <w:ind w:left="900" w:hanging="360"/>
      </w:pPr>
      <w:rPr>
        <w:rFonts w:ascii="Symbol" w:hAnsi="Symbol" w:cs="OpenSymbol"/>
      </w:rPr>
    </w:lvl>
    <w:lvl w:ilvl="1">
      <w:start w:val="1"/>
      <w:numFmt w:val="bullet"/>
      <w:lvlText w:val="◦"/>
      <w:lvlJc w:val="left"/>
      <w:pPr>
        <w:tabs>
          <w:tab w:val="num" w:pos="1260"/>
        </w:tabs>
        <w:ind w:left="1260" w:hanging="360"/>
      </w:pPr>
      <w:rPr>
        <w:rFonts w:ascii="OpenSymbol" w:hAnsi="OpenSymbol" w:cs="OpenSymbol"/>
      </w:rPr>
    </w:lvl>
    <w:lvl w:ilvl="2">
      <w:start w:val="1"/>
      <w:numFmt w:val="bullet"/>
      <w:lvlText w:val="▪"/>
      <w:lvlJc w:val="left"/>
      <w:pPr>
        <w:tabs>
          <w:tab w:val="num" w:pos="1620"/>
        </w:tabs>
        <w:ind w:left="1620" w:hanging="360"/>
      </w:pPr>
      <w:rPr>
        <w:rFonts w:ascii="OpenSymbol" w:hAnsi="OpenSymbol" w:cs="OpenSymbol"/>
      </w:rPr>
    </w:lvl>
    <w:lvl w:ilvl="3">
      <w:start w:val="1"/>
      <w:numFmt w:val="bullet"/>
      <w:lvlText w:val=""/>
      <w:lvlJc w:val="left"/>
      <w:pPr>
        <w:tabs>
          <w:tab w:val="num" w:pos="1980"/>
        </w:tabs>
        <w:ind w:left="1980" w:hanging="360"/>
      </w:pPr>
      <w:rPr>
        <w:rFonts w:ascii="Symbol" w:hAnsi="Symbol" w:cs="OpenSymbol"/>
      </w:rPr>
    </w:lvl>
    <w:lvl w:ilvl="4">
      <w:start w:val="1"/>
      <w:numFmt w:val="bullet"/>
      <w:lvlText w:val="◦"/>
      <w:lvlJc w:val="left"/>
      <w:pPr>
        <w:tabs>
          <w:tab w:val="num" w:pos="2340"/>
        </w:tabs>
        <w:ind w:left="2340" w:hanging="360"/>
      </w:pPr>
      <w:rPr>
        <w:rFonts w:ascii="OpenSymbol" w:hAnsi="OpenSymbol" w:cs="OpenSymbol"/>
      </w:rPr>
    </w:lvl>
    <w:lvl w:ilvl="5">
      <w:start w:val="1"/>
      <w:numFmt w:val="bullet"/>
      <w:lvlText w:val="▪"/>
      <w:lvlJc w:val="left"/>
      <w:pPr>
        <w:tabs>
          <w:tab w:val="num" w:pos="2700"/>
        </w:tabs>
        <w:ind w:left="2700" w:hanging="360"/>
      </w:pPr>
      <w:rPr>
        <w:rFonts w:ascii="OpenSymbol" w:hAnsi="OpenSymbol" w:cs="OpenSymbol"/>
      </w:rPr>
    </w:lvl>
    <w:lvl w:ilvl="6">
      <w:start w:val="1"/>
      <w:numFmt w:val="bullet"/>
      <w:lvlText w:val=""/>
      <w:lvlJc w:val="left"/>
      <w:pPr>
        <w:tabs>
          <w:tab w:val="num" w:pos="3060"/>
        </w:tabs>
        <w:ind w:left="3060" w:hanging="360"/>
      </w:pPr>
      <w:rPr>
        <w:rFonts w:ascii="Symbol" w:hAnsi="Symbol" w:cs="OpenSymbol"/>
      </w:rPr>
    </w:lvl>
    <w:lvl w:ilvl="7">
      <w:start w:val="1"/>
      <w:numFmt w:val="bullet"/>
      <w:lvlText w:val="◦"/>
      <w:lvlJc w:val="left"/>
      <w:pPr>
        <w:tabs>
          <w:tab w:val="num" w:pos="3420"/>
        </w:tabs>
        <w:ind w:left="3420" w:hanging="360"/>
      </w:pPr>
      <w:rPr>
        <w:rFonts w:ascii="OpenSymbol" w:hAnsi="OpenSymbol" w:cs="OpenSymbol"/>
      </w:rPr>
    </w:lvl>
    <w:lvl w:ilvl="8">
      <w:start w:val="1"/>
      <w:numFmt w:val="bullet"/>
      <w:lvlText w:val="▪"/>
      <w:lvlJc w:val="left"/>
      <w:pPr>
        <w:tabs>
          <w:tab w:val="num" w:pos="3780"/>
        </w:tabs>
        <w:ind w:left="3780" w:hanging="360"/>
      </w:pPr>
      <w:rPr>
        <w:rFonts w:ascii="OpenSymbol" w:hAnsi="OpenSymbol" w:cs="OpenSymbol"/>
      </w:rPr>
    </w:lvl>
  </w:abstractNum>
  <w:abstractNum w:abstractNumId="5" w15:restartNumberingAfterBreak="0">
    <w:nsid w:val="0DB64030"/>
    <w:multiLevelType w:val="hybridMultilevel"/>
    <w:tmpl w:val="D682CE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9A44CC"/>
    <w:multiLevelType w:val="hybridMultilevel"/>
    <w:tmpl w:val="AC98C7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43C6689"/>
    <w:multiLevelType w:val="hybridMultilevel"/>
    <w:tmpl w:val="5EBCBD60"/>
    <w:lvl w:ilvl="0" w:tplc="8AD6ACEE">
      <w:start w:val="1"/>
      <w:numFmt w:val="lowerLetter"/>
      <w:lvlText w:val="%1."/>
      <w:lvlJc w:val="left"/>
      <w:pPr>
        <w:ind w:left="720" w:hanging="360"/>
      </w:pPr>
      <w:rPr>
        <w:rFonts w:asciiTheme="minorHAnsi" w:eastAsiaTheme="minorHAnsi" w:hAnsiTheme="minorHAnsi"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41761F"/>
    <w:multiLevelType w:val="hybridMultilevel"/>
    <w:tmpl w:val="DBFAA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C91E88"/>
    <w:multiLevelType w:val="hybridMultilevel"/>
    <w:tmpl w:val="C0F05124"/>
    <w:lvl w:ilvl="0" w:tplc="498A9510">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706C49"/>
    <w:multiLevelType w:val="hybridMultilevel"/>
    <w:tmpl w:val="BC1400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D045ED"/>
    <w:multiLevelType w:val="hybridMultilevel"/>
    <w:tmpl w:val="82BAB1F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3A1306"/>
    <w:multiLevelType w:val="hybridMultilevel"/>
    <w:tmpl w:val="E15C2AB4"/>
    <w:lvl w:ilvl="0" w:tplc="BEB6E520">
      <w:start w:val="1"/>
      <w:numFmt w:val="lowerLetter"/>
      <w:lvlText w:val="%1."/>
      <w:lvlJc w:val="left"/>
      <w:pPr>
        <w:ind w:left="720" w:hanging="360"/>
      </w:pPr>
      <w:rPr>
        <w:rFonts w:asciiTheme="minorHAnsi" w:eastAsiaTheme="minorHAnsi" w:hAnsiTheme="minorHAnsi"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8391D12"/>
    <w:multiLevelType w:val="hybridMultilevel"/>
    <w:tmpl w:val="712E5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BE188C"/>
    <w:multiLevelType w:val="hybridMultilevel"/>
    <w:tmpl w:val="F46ECE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B14E55"/>
    <w:multiLevelType w:val="hybridMultilevel"/>
    <w:tmpl w:val="C1A66E68"/>
    <w:lvl w:ilvl="0" w:tplc="5B7072B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A7D672C"/>
    <w:multiLevelType w:val="hybridMultilevel"/>
    <w:tmpl w:val="BC1400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6437E2A"/>
    <w:multiLevelType w:val="hybridMultilevel"/>
    <w:tmpl w:val="E15C2AB4"/>
    <w:lvl w:ilvl="0" w:tplc="BEB6E520">
      <w:start w:val="1"/>
      <w:numFmt w:val="lowerLetter"/>
      <w:lvlText w:val="%1."/>
      <w:lvlJc w:val="left"/>
      <w:pPr>
        <w:ind w:left="720" w:hanging="360"/>
      </w:pPr>
      <w:rPr>
        <w:rFonts w:asciiTheme="minorHAnsi" w:eastAsiaTheme="minorHAnsi" w:hAnsiTheme="minorHAnsi"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EB2F81"/>
    <w:multiLevelType w:val="hybridMultilevel"/>
    <w:tmpl w:val="495A50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EBE4C82"/>
    <w:multiLevelType w:val="hybridMultilevel"/>
    <w:tmpl w:val="BC1400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9701159"/>
    <w:multiLevelType w:val="hybridMultilevel"/>
    <w:tmpl w:val="AAF88A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17"/>
  </w:num>
  <w:num w:numId="3">
    <w:abstractNumId w:val="1"/>
  </w:num>
  <w:num w:numId="4">
    <w:abstractNumId w:val="2"/>
  </w:num>
  <w:num w:numId="5">
    <w:abstractNumId w:val="3"/>
  </w:num>
  <w:num w:numId="6">
    <w:abstractNumId w:val="4"/>
  </w:num>
  <w:num w:numId="7">
    <w:abstractNumId w:val="19"/>
  </w:num>
  <w:num w:numId="8">
    <w:abstractNumId w:val="7"/>
  </w:num>
  <w:num w:numId="9">
    <w:abstractNumId w:val="12"/>
  </w:num>
  <w:num w:numId="10">
    <w:abstractNumId w:val="11"/>
  </w:num>
  <w:num w:numId="11">
    <w:abstractNumId w:val="15"/>
  </w:num>
  <w:num w:numId="12">
    <w:abstractNumId w:val="6"/>
  </w:num>
  <w:num w:numId="13">
    <w:abstractNumId w:val="9"/>
  </w:num>
  <w:num w:numId="14">
    <w:abstractNumId w:val="18"/>
  </w:num>
  <w:num w:numId="15">
    <w:abstractNumId w:val="21"/>
  </w:num>
  <w:num w:numId="16">
    <w:abstractNumId w:val="8"/>
  </w:num>
  <w:num w:numId="17">
    <w:abstractNumId w:val="13"/>
  </w:num>
  <w:num w:numId="18">
    <w:abstractNumId w:val="16"/>
  </w:num>
  <w:num w:numId="19">
    <w:abstractNumId w:val="14"/>
  </w:num>
  <w:num w:numId="20">
    <w:abstractNumId w:val="1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D9"/>
    <w:rsid w:val="00004AA2"/>
    <w:rsid w:val="000204B1"/>
    <w:rsid w:val="00022CB6"/>
    <w:rsid w:val="00026D19"/>
    <w:rsid w:val="00030530"/>
    <w:rsid w:val="00030738"/>
    <w:rsid w:val="00030EE9"/>
    <w:rsid w:val="00032842"/>
    <w:rsid w:val="000400D6"/>
    <w:rsid w:val="0004540C"/>
    <w:rsid w:val="000454F2"/>
    <w:rsid w:val="00050505"/>
    <w:rsid w:val="00051B1E"/>
    <w:rsid w:val="000524AC"/>
    <w:rsid w:val="00053BE5"/>
    <w:rsid w:val="00055F18"/>
    <w:rsid w:val="00056F96"/>
    <w:rsid w:val="00062F91"/>
    <w:rsid w:val="00067314"/>
    <w:rsid w:val="000679E4"/>
    <w:rsid w:val="00071DBC"/>
    <w:rsid w:val="0007395D"/>
    <w:rsid w:val="00080BF8"/>
    <w:rsid w:val="0008374D"/>
    <w:rsid w:val="00084FD0"/>
    <w:rsid w:val="00086716"/>
    <w:rsid w:val="00097ABA"/>
    <w:rsid w:val="000A01B9"/>
    <w:rsid w:val="000A3F25"/>
    <w:rsid w:val="000A6096"/>
    <w:rsid w:val="000B0415"/>
    <w:rsid w:val="000B1003"/>
    <w:rsid w:val="000B4471"/>
    <w:rsid w:val="000B59B7"/>
    <w:rsid w:val="000B608C"/>
    <w:rsid w:val="000B798B"/>
    <w:rsid w:val="000C4D4B"/>
    <w:rsid w:val="000C7D93"/>
    <w:rsid w:val="000D1F0B"/>
    <w:rsid w:val="000D33C0"/>
    <w:rsid w:val="000D43CC"/>
    <w:rsid w:val="000D6B2C"/>
    <w:rsid w:val="000E1056"/>
    <w:rsid w:val="000E1255"/>
    <w:rsid w:val="000E1A64"/>
    <w:rsid w:val="000E2736"/>
    <w:rsid w:val="000E4678"/>
    <w:rsid w:val="0010144B"/>
    <w:rsid w:val="00102A25"/>
    <w:rsid w:val="00102F28"/>
    <w:rsid w:val="00103E82"/>
    <w:rsid w:val="00106231"/>
    <w:rsid w:val="001100B6"/>
    <w:rsid w:val="00112139"/>
    <w:rsid w:val="00113067"/>
    <w:rsid w:val="001150FC"/>
    <w:rsid w:val="00116A80"/>
    <w:rsid w:val="00125EC3"/>
    <w:rsid w:val="001320D9"/>
    <w:rsid w:val="00133460"/>
    <w:rsid w:val="00133F1A"/>
    <w:rsid w:val="00134C57"/>
    <w:rsid w:val="001379AA"/>
    <w:rsid w:val="0014180F"/>
    <w:rsid w:val="00144950"/>
    <w:rsid w:val="001475C5"/>
    <w:rsid w:val="0014791E"/>
    <w:rsid w:val="001511C1"/>
    <w:rsid w:val="00152641"/>
    <w:rsid w:val="00152F99"/>
    <w:rsid w:val="00155F6A"/>
    <w:rsid w:val="00157E7D"/>
    <w:rsid w:val="00157E8F"/>
    <w:rsid w:val="00162F54"/>
    <w:rsid w:val="001665F7"/>
    <w:rsid w:val="00173E59"/>
    <w:rsid w:val="00174C99"/>
    <w:rsid w:val="0017691F"/>
    <w:rsid w:val="001772FC"/>
    <w:rsid w:val="001800D8"/>
    <w:rsid w:val="0018183D"/>
    <w:rsid w:val="00184916"/>
    <w:rsid w:val="00185F19"/>
    <w:rsid w:val="00194DE4"/>
    <w:rsid w:val="00196806"/>
    <w:rsid w:val="001A2E43"/>
    <w:rsid w:val="001A37DD"/>
    <w:rsid w:val="001A5D4D"/>
    <w:rsid w:val="001B4DD7"/>
    <w:rsid w:val="001B6B9F"/>
    <w:rsid w:val="001C1114"/>
    <w:rsid w:val="001C1607"/>
    <w:rsid w:val="001C2CA1"/>
    <w:rsid w:val="001C32DC"/>
    <w:rsid w:val="001C39A1"/>
    <w:rsid w:val="001D7254"/>
    <w:rsid w:val="001E0F47"/>
    <w:rsid w:val="001E6194"/>
    <w:rsid w:val="001E737C"/>
    <w:rsid w:val="001F06EB"/>
    <w:rsid w:val="001F5AEA"/>
    <w:rsid w:val="00200CE9"/>
    <w:rsid w:val="00200EA3"/>
    <w:rsid w:val="0020169F"/>
    <w:rsid w:val="00203511"/>
    <w:rsid w:val="00205114"/>
    <w:rsid w:val="002121E8"/>
    <w:rsid w:val="002125D9"/>
    <w:rsid w:val="00214346"/>
    <w:rsid w:val="00220ACF"/>
    <w:rsid w:val="0022689F"/>
    <w:rsid w:val="00226B8A"/>
    <w:rsid w:val="00241D71"/>
    <w:rsid w:val="0024505A"/>
    <w:rsid w:val="00245AE3"/>
    <w:rsid w:val="00246BA7"/>
    <w:rsid w:val="00255EDC"/>
    <w:rsid w:val="002577F3"/>
    <w:rsid w:val="00263291"/>
    <w:rsid w:val="002665E6"/>
    <w:rsid w:val="00266655"/>
    <w:rsid w:val="0027128F"/>
    <w:rsid w:val="00271856"/>
    <w:rsid w:val="002730D9"/>
    <w:rsid w:val="00273521"/>
    <w:rsid w:val="00280700"/>
    <w:rsid w:val="002813BA"/>
    <w:rsid w:val="00281CFB"/>
    <w:rsid w:val="002839FC"/>
    <w:rsid w:val="00285BA5"/>
    <w:rsid w:val="00292D8E"/>
    <w:rsid w:val="002954BA"/>
    <w:rsid w:val="002969A5"/>
    <w:rsid w:val="002977D3"/>
    <w:rsid w:val="002A0074"/>
    <w:rsid w:val="002A00D8"/>
    <w:rsid w:val="002A6954"/>
    <w:rsid w:val="002A71B1"/>
    <w:rsid w:val="002B0BD4"/>
    <w:rsid w:val="002B1E4D"/>
    <w:rsid w:val="002B26FC"/>
    <w:rsid w:val="002B53DE"/>
    <w:rsid w:val="002B716A"/>
    <w:rsid w:val="002C23D9"/>
    <w:rsid w:val="002C2EEB"/>
    <w:rsid w:val="002C3BE2"/>
    <w:rsid w:val="002C5926"/>
    <w:rsid w:val="002C5C82"/>
    <w:rsid w:val="002D21AE"/>
    <w:rsid w:val="002E2B27"/>
    <w:rsid w:val="002E54CA"/>
    <w:rsid w:val="002F34B3"/>
    <w:rsid w:val="002F39CD"/>
    <w:rsid w:val="002F6420"/>
    <w:rsid w:val="002F791F"/>
    <w:rsid w:val="0030233A"/>
    <w:rsid w:val="00305E08"/>
    <w:rsid w:val="00307794"/>
    <w:rsid w:val="00307F5F"/>
    <w:rsid w:val="00312F17"/>
    <w:rsid w:val="00312F76"/>
    <w:rsid w:val="003162E1"/>
    <w:rsid w:val="0032183C"/>
    <w:rsid w:val="00321925"/>
    <w:rsid w:val="003221B9"/>
    <w:rsid w:val="00324AD9"/>
    <w:rsid w:val="00327D33"/>
    <w:rsid w:val="0033061B"/>
    <w:rsid w:val="00330E6E"/>
    <w:rsid w:val="00337C60"/>
    <w:rsid w:val="00344ABE"/>
    <w:rsid w:val="0036131C"/>
    <w:rsid w:val="00365B93"/>
    <w:rsid w:val="003670C6"/>
    <w:rsid w:val="00370290"/>
    <w:rsid w:val="00371930"/>
    <w:rsid w:val="0037222B"/>
    <w:rsid w:val="00380521"/>
    <w:rsid w:val="00387B70"/>
    <w:rsid w:val="00390995"/>
    <w:rsid w:val="0039227C"/>
    <w:rsid w:val="00392AD8"/>
    <w:rsid w:val="00395DC6"/>
    <w:rsid w:val="003A55A6"/>
    <w:rsid w:val="003B069E"/>
    <w:rsid w:val="003B39EA"/>
    <w:rsid w:val="003B540E"/>
    <w:rsid w:val="003B6039"/>
    <w:rsid w:val="003B75D8"/>
    <w:rsid w:val="003C50F7"/>
    <w:rsid w:val="003C7476"/>
    <w:rsid w:val="003D2F7C"/>
    <w:rsid w:val="003D7D8D"/>
    <w:rsid w:val="003E43F9"/>
    <w:rsid w:val="003E4E21"/>
    <w:rsid w:val="003F2513"/>
    <w:rsid w:val="00401C12"/>
    <w:rsid w:val="0040596F"/>
    <w:rsid w:val="00410472"/>
    <w:rsid w:val="004117D2"/>
    <w:rsid w:val="0041286A"/>
    <w:rsid w:val="004144F4"/>
    <w:rsid w:val="004163C6"/>
    <w:rsid w:val="00416A74"/>
    <w:rsid w:val="00417E9A"/>
    <w:rsid w:val="004238B4"/>
    <w:rsid w:val="00425D79"/>
    <w:rsid w:val="00426872"/>
    <w:rsid w:val="00427DA2"/>
    <w:rsid w:val="00430A53"/>
    <w:rsid w:val="00433591"/>
    <w:rsid w:val="00434621"/>
    <w:rsid w:val="00436467"/>
    <w:rsid w:val="004417BE"/>
    <w:rsid w:val="004426DD"/>
    <w:rsid w:val="00445549"/>
    <w:rsid w:val="0044768E"/>
    <w:rsid w:val="0045376A"/>
    <w:rsid w:val="00456594"/>
    <w:rsid w:val="00457F4C"/>
    <w:rsid w:val="00460652"/>
    <w:rsid w:val="00461893"/>
    <w:rsid w:val="004627A5"/>
    <w:rsid w:val="004632A8"/>
    <w:rsid w:val="00463338"/>
    <w:rsid w:val="004643B6"/>
    <w:rsid w:val="00465374"/>
    <w:rsid w:val="00471021"/>
    <w:rsid w:val="00472A1A"/>
    <w:rsid w:val="00473876"/>
    <w:rsid w:val="00476898"/>
    <w:rsid w:val="004818D8"/>
    <w:rsid w:val="00481999"/>
    <w:rsid w:val="00487928"/>
    <w:rsid w:val="00492BD6"/>
    <w:rsid w:val="00494365"/>
    <w:rsid w:val="00496F77"/>
    <w:rsid w:val="004A3D18"/>
    <w:rsid w:val="004A4886"/>
    <w:rsid w:val="004A6124"/>
    <w:rsid w:val="004A6563"/>
    <w:rsid w:val="004A6D2D"/>
    <w:rsid w:val="004B0299"/>
    <w:rsid w:val="004C17CA"/>
    <w:rsid w:val="004C6AFF"/>
    <w:rsid w:val="004C6D6E"/>
    <w:rsid w:val="004C7F63"/>
    <w:rsid w:val="004D0761"/>
    <w:rsid w:val="004E3281"/>
    <w:rsid w:val="004F470D"/>
    <w:rsid w:val="004F59DD"/>
    <w:rsid w:val="004F6812"/>
    <w:rsid w:val="004F7D3E"/>
    <w:rsid w:val="00501B5D"/>
    <w:rsid w:val="00513685"/>
    <w:rsid w:val="00520357"/>
    <w:rsid w:val="00521A50"/>
    <w:rsid w:val="00527BA0"/>
    <w:rsid w:val="00530937"/>
    <w:rsid w:val="00531FDC"/>
    <w:rsid w:val="00547B73"/>
    <w:rsid w:val="0055372E"/>
    <w:rsid w:val="005562ED"/>
    <w:rsid w:val="005646EE"/>
    <w:rsid w:val="0056543B"/>
    <w:rsid w:val="00576496"/>
    <w:rsid w:val="005815AD"/>
    <w:rsid w:val="00586450"/>
    <w:rsid w:val="005909CE"/>
    <w:rsid w:val="00591C18"/>
    <w:rsid w:val="005926EE"/>
    <w:rsid w:val="00593703"/>
    <w:rsid w:val="00595E2C"/>
    <w:rsid w:val="0059610A"/>
    <w:rsid w:val="005A0CBC"/>
    <w:rsid w:val="005A63CC"/>
    <w:rsid w:val="005B0F88"/>
    <w:rsid w:val="005B1716"/>
    <w:rsid w:val="005B322D"/>
    <w:rsid w:val="005B5589"/>
    <w:rsid w:val="005B725B"/>
    <w:rsid w:val="005B74EA"/>
    <w:rsid w:val="005C0417"/>
    <w:rsid w:val="005C1E9F"/>
    <w:rsid w:val="005C2544"/>
    <w:rsid w:val="005C3080"/>
    <w:rsid w:val="005C73F8"/>
    <w:rsid w:val="005D32FA"/>
    <w:rsid w:val="005D367C"/>
    <w:rsid w:val="005D471B"/>
    <w:rsid w:val="005D6789"/>
    <w:rsid w:val="005D7ED3"/>
    <w:rsid w:val="005E3F1D"/>
    <w:rsid w:val="005E5AAC"/>
    <w:rsid w:val="005E66AE"/>
    <w:rsid w:val="005E6D11"/>
    <w:rsid w:val="005F49DC"/>
    <w:rsid w:val="00601E36"/>
    <w:rsid w:val="00605C0C"/>
    <w:rsid w:val="0061231C"/>
    <w:rsid w:val="00616D69"/>
    <w:rsid w:val="006225B7"/>
    <w:rsid w:val="00625D47"/>
    <w:rsid w:val="00634B47"/>
    <w:rsid w:val="0064777E"/>
    <w:rsid w:val="0065047D"/>
    <w:rsid w:val="00656208"/>
    <w:rsid w:val="006653AD"/>
    <w:rsid w:val="006670EC"/>
    <w:rsid w:val="00667846"/>
    <w:rsid w:val="0068542B"/>
    <w:rsid w:val="00685455"/>
    <w:rsid w:val="006A1289"/>
    <w:rsid w:val="006A480B"/>
    <w:rsid w:val="006A5A67"/>
    <w:rsid w:val="006B0953"/>
    <w:rsid w:val="006B2196"/>
    <w:rsid w:val="006C2B58"/>
    <w:rsid w:val="006C2C4D"/>
    <w:rsid w:val="006C32DA"/>
    <w:rsid w:val="006C37B7"/>
    <w:rsid w:val="006C3B48"/>
    <w:rsid w:val="006C6A3D"/>
    <w:rsid w:val="006D2E49"/>
    <w:rsid w:val="006E01C5"/>
    <w:rsid w:val="006E03E4"/>
    <w:rsid w:val="006E3213"/>
    <w:rsid w:val="006E5EB2"/>
    <w:rsid w:val="00700088"/>
    <w:rsid w:val="00703343"/>
    <w:rsid w:val="00703B87"/>
    <w:rsid w:val="007048F0"/>
    <w:rsid w:val="00713EFB"/>
    <w:rsid w:val="00715062"/>
    <w:rsid w:val="00715241"/>
    <w:rsid w:val="00717820"/>
    <w:rsid w:val="007179CD"/>
    <w:rsid w:val="007257F7"/>
    <w:rsid w:val="007264C8"/>
    <w:rsid w:val="0072793B"/>
    <w:rsid w:val="00727C70"/>
    <w:rsid w:val="00737EEA"/>
    <w:rsid w:val="0074060E"/>
    <w:rsid w:val="0074474B"/>
    <w:rsid w:val="00747413"/>
    <w:rsid w:val="0074759F"/>
    <w:rsid w:val="00750432"/>
    <w:rsid w:val="007553B5"/>
    <w:rsid w:val="0076059E"/>
    <w:rsid w:val="00767E66"/>
    <w:rsid w:val="007730FB"/>
    <w:rsid w:val="00774BDC"/>
    <w:rsid w:val="00776C0E"/>
    <w:rsid w:val="00783F69"/>
    <w:rsid w:val="00783F7F"/>
    <w:rsid w:val="007874F7"/>
    <w:rsid w:val="007920B0"/>
    <w:rsid w:val="00797AF2"/>
    <w:rsid w:val="007A376F"/>
    <w:rsid w:val="007B562D"/>
    <w:rsid w:val="007C3842"/>
    <w:rsid w:val="007C60C4"/>
    <w:rsid w:val="007E761D"/>
    <w:rsid w:val="007F0D89"/>
    <w:rsid w:val="007F15CC"/>
    <w:rsid w:val="007F7A9B"/>
    <w:rsid w:val="008020E5"/>
    <w:rsid w:val="0080240E"/>
    <w:rsid w:val="00803A8A"/>
    <w:rsid w:val="008052F9"/>
    <w:rsid w:val="008105E2"/>
    <w:rsid w:val="0081099D"/>
    <w:rsid w:val="0081247A"/>
    <w:rsid w:val="00813CC7"/>
    <w:rsid w:val="008142DF"/>
    <w:rsid w:val="00815215"/>
    <w:rsid w:val="00815A5C"/>
    <w:rsid w:val="008303E2"/>
    <w:rsid w:val="00831D7E"/>
    <w:rsid w:val="0084147A"/>
    <w:rsid w:val="00841B9E"/>
    <w:rsid w:val="00842E33"/>
    <w:rsid w:val="00843823"/>
    <w:rsid w:val="00853365"/>
    <w:rsid w:val="00853D83"/>
    <w:rsid w:val="008541AD"/>
    <w:rsid w:val="00855A9D"/>
    <w:rsid w:val="008601CD"/>
    <w:rsid w:val="0086502A"/>
    <w:rsid w:val="00866C8E"/>
    <w:rsid w:val="008704E4"/>
    <w:rsid w:val="0087342A"/>
    <w:rsid w:val="008803B6"/>
    <w:rsid w:val="00882690"/>
    <w:rsid w:val="00891E5D"/>
    <w:rsid w:val="00895E77"/>
    <w:rsid w:val="00896FC8"/>
    <w:rsid w:val="008A00EB"/>
    <w:rsid w:val="008A2021"/>
    <w:rsid w:val="008A639D"/>
    <w:rsid w:val="008B25D0"/>
    <w:rsid w:val="008B2E3B"/>
    <w:rsid w:val="008B3CFC"/>
    <w:rsid w:val="008B5BFC"/>
    <w:rsid w:val="008B6848"/>
    <w:rsid w:val="008B7467"/>
    <w:rsid w:val="008C2097"/>
    <w:rsid w:val="008C5E35"/>
    <w:rsid w:val="008D7B07"/>
    <w:rsid w:val="008E0F87"/>
    <w:rsid w:val="008E1ACB"/>
    <w:rsid w:val="008E1D1A"/>
    <w:rsid w:val="008F69B2"/>
    <w:rsid w:val="008F7530"/>
    <w:rsid w:val="00911990"/>
    <w:rsid w:val="00920F1A"/>
    <w:rsid w:val="00923682"/>
    <w:rsid w:val="00923CA3"/>
    <w:rsid w:val="0092435C"/>
    <w:rsid w:val="00924DC1"/>
    <w:rsid w:val="0093452F"/>
    <w:rsid w:val="009378AE"/>
    <w:rsid w:val="0094064B"/>
    <w:rsid w:val="00943467"/>
    <w:rsid w:val="00944476"/>
    <w:rsid w:val="00956493"/>
    <w:rsid w:val="00957247"/>
    <w:rsid w:val="00962701"/>
    <w:rsid w:val="00971091"/>
    <w:rsid w:val="00973C2D"/>
    <w:rsid w:val="009755EA"/>
    <w:rsid w:val="0098480A"/>
    <w:rsid w:val="00985A39"/>
    <w:rsid w:val="00991422"/>
    <w:rsid w:val="009950B4"/>
    <w:rsid w:val="009A3FCD"/>
    <w:rsid w:val="009A4124"/>
    <w:rsid w:val="009A44E4"/>
    <w:rsid w:val="009A4901"/>
    <w:rsid w:val="009A715D"/>
    <w:rsid w:val="009A7A96"/>
    <w:rsid w:val="009B3F7B"/>
    <w:rsid w:val="009B4DE2"/>
    <w:rsid w:val="009C20F8"/>
    <w:rsid w:val="009C6CEF"/>
    <w:rsid w:val="009D32FF"/>
    <w:rsid w:val="009D359F"/>
    <w:rsid w:val="009E4298"/>
    <w:rsid w:val="009E6299"/>
    <w:rsid w:val="009E68DF"/>
    <w:rsid w:val="009E6FFE"/>
    <w:rsid w:val="009F5B8E"/>
    <w:rsid w:val="009F6881"/>
    <w:rsid w:val="00A0117A"/>
    <w:rsid w:val="00A01901"/>
    <w:rsid w:val="00A11ADD"/>
    <w:rsid w:val="00A14457"/>
    <w:rsid w:val="00A14C93"/>
    <w:rsid w:val="00A2089C"/>
    <w:rsid w:val="00A32612"/>
    <w:rsid w:val="00A327CF"/>
    <w:rsid w:val="00A33984"/>
    <w:rsid w:val="00A3443A"/>
    <w:rsid w:val="00A3645F"/>
    <w:rsid w:val="00A37FED"/>
    <w:rsid w:val="00A406F0"/>
    <w:rsid w:val="00A537BD"/>
    <w:rsid w:val="00A55691"/>
    <w:rsid w:val="00A60625"/>
    <w:rsid w:val="00A608AF"/>
    <w:rsid w:val="00A62121"/>
    <w:rsid w:val="00A62AA6"/>
    <w:rsid w:val="00A70208"/>
    <w:rsid w:val="00A72A4C"/>
    <w:rsid w:val="00A73E3A"/>
    <w:rsid w:val="00A87E6C"/>
    <w:rsid w:val="00A950FD"/>
    <w:rsid w:val="00A95D62"/>
    <w:rsid w:val="00A97024"/>
    <w:rsid w:val="00AB0AF5"/>
    <w:rsid w:val="00AC1365"/>
    <w:rsid w:val="00AC1B48"/>
    <w:rsid w:val="00AC2F17"/>
    <w:rsid w:val="00AC4239"/>
    <w:rsid w:val="00AD0CE4"/>
    <w:rsid w:val="00AD14BB"/>
    <w:rsid w:val="00AD1664"/>
    <w:rsid w:val="00AD1A14"/>
    <w:rsid w:val="00AD1DBB"/>
    <w:rsid w:val="00AD1E2B"/>
    <w:rsid w:val="00AD4524"/>
    <w:rsid w:val="00AD4BB5"/>
    <w:rsid w:val="00AE005E"/>
    <w:rsid w:val="00AE4BA1"/>
    <w:rsid w:val="00AE5020"/>
    <w:rsid w:val="00AE5521"/>
    <w:rsid w:val="00AE7543"/>
    <w:rsid w:val="00AE77BE"/>
    <w:rsid w:val="00AF041D"/>
    <w:rsid w:val="00AF2AA9"/>
    <w:rsid w:val="00AF3057"/>
    <w:rsid w:val="00AF3297"/>
    <w:rsid w:val="00AF7117"/>
    <w:rsid w:val="00B043FB"/>
    <w:rsid w:val="00B067EE"/>
    <w:rsid w:val="00B06C13"/>
    <w:rsid w:val="00B1155B"/>
    <w:rsid w:val="00B14439"/>
    <w:rsid w:val="00B146F8"/>
    <w:rsid w:val="00B2236C"/>
    <w:rsid w:val="00B227AA"/>
    <w:rsid w:val="00B22908"/>
    <w:rsid w:val="00B27A4D"/>
    <w:rsid w:val="00B32CAD"/>
    <w:rsid w:val="00B45243"/>
    <w:rsid w:val="00B50543"/>
    <w:rsid w:val="00B52066"/>
    <w:rsid w:val="00B53E5E"/>
    <w:rsid w:val="00B61AC7"/>
    <w:rsid w:val="00B647EE"/>
    <w:rsid w:val="00B7051F"/>
    <w:rsid w:val="00B809F1"/>
    <w:rsid w:val="00B8127F"/>
    <w:rsid w:val="00B829B8"/>
    <w:rsid w:val="00B9113F"/>
    <w:rsid w:val="00B97208"/>
    <w:rsid w:val="00BA07F5"/>
    <w:rsid w:val="00BA2FB8"/>
    <w:rsid w:val="00BA4D2B"/>
    <w:rsid w:val="00BA78F4"/>
    <w:rsid w:val="00BB7093"/>
    <w:rsid w:val="00BC35AA"/>
    <w:rsid w:val="00BC66F4"/>
    <w:rsid w:val="00BD042F"/>
    <w:rsid w:val="00BD07B9"/>
    <w:rsid w:val="00BD3274"/>
    <w:rsid w:val="00BD4DB3"/>
    <w:rsid w:val="00BD5D59"/>
    <w:rsid w:val="00BD6DC4"/>
    <w:rsid w:val="00BE0F8F"/>
    <w:rsid w:val="00BE605C"/>
    <w:rsid w:val="00BF160F"/>
    <w:rsid w:val="00BF463A"/>
    <w:rsid w:val="00C03F9C"/>
    <w:rsid w:val="00C056BF"/>
    <w:rsid w:val="00C130E0"/>
    <w:rsid w:val="00C13DC1"/>
    <w:rsid w:val="00C16C01"/>
    <w:rsid w:val="00C21201"/>
    <w:rsid w:val="00C2462F"/>
    <w:rsid w:val="00C2536A"/>
    <w:rsid w:val="00C31C9C"/>
    <w:rsid w:val="00C3592F"/>
    <w:rsid w:val="00C37E7D"/>
    <w:rsid w:val="00C42B01"/>
    <w:rsid w:val="00C46950"/>
    <w:rsid w:val="00C610FD"/>
    <w:rsid w:val="00C639B2"/>
    <w:rsid w:val="00C768CF"/>
    <w:rsid w:val="00C80159"/>
    <w:rsid w:val="00C80734"/>
    <w:rsid w:val="00C876FA"/>
    <w:rsid w:val="00C921E7"/>
    <w:rsid w:val="00CA06A5"/>
    <w:rsid w:val="00CA7A00"/>
    <w:rsid w:val="00CB146C"/>
    <w:rsid w:val="00CB1E4E"/>
    <w:rsid w:val="00CB6A7A"/>
    <w:rsid w:val="00CB71E9"/>
    <w:rsid w:val="00CB7902"/>
    <w:rsid w:val="00CC1549"/>
    <w:rsid w:val="00CD006F"/>
    <w:rsid w:val="00CD4998"/>
    <w:rsid w:val="00CD684B"/>
    <w:rsid w:val="00CD7A8E"/>
    <w:rsid w:val="00CE701E"/>
    <w:rsid w:val="00CF1437"/>
    <w:rsid w:val="00CF1F74"/>
    <w:rsid w:val="00D026EB"/>
    <w:rsid w:val="00D06626"/>
    <w:rsid w:val="00D112C6"/>
    <w:rsid w:val="00D11421"/>
    <w:rsid w:val="00D1303E"/>
    <w:rsid w:val="00D1318D"/>
    <w:rsid w:val="00D13BCF"/>
    <w:rsid w:val="00D14D30"/>
    <w:rsid w:val="00D16790"/>
    <w:rsid w:val="00D167B7"/>
    <w:rsid w:val="00D17406"/>
    <w:rsid w:val="00D17FB9"/>
    <w:rsid w:val="00D22EE8"/>
    <w:rsid w:val="00D25FD3"/>
    <w:rsid w:val="00D306AD"/>
    <w:rsid w:val="00D36793"/>
    <w:rsid w:val="00D462B1"/>
    <w:rsid w:val="00D52EA9"/>
    <w:rsid w:val="00D6446E"/>
    <w:rsid w:val="00D65B6C"/>
    <w:rsid w:val="00D66963"/>
    <w:rsid w:val="00D774B6"/>
    <w:rsid w:val="00D805EA"/>
    <w:rsid w:val="00D85015"/>
    <w:rsid w:val="00D90BBA"/>
    <w:rsid w:val="00D95078"/>
    <w:rsid w:val="00D964EE"/>
    <w:rsid w:val="00DA1486"/>
    <w:rsid w:val="00DA524D"/>
    <w:rsid w:val="00DB3ECB"/>
    <w:rsid w:val="00DB5C64"/>
    <w:rsid w:val="00DB67F7"/>
    <w:rsid w:val="00DB75C9"/>
    <w:rsid w:val="00DD07EC"/>
    <w:rsid w:val="00DD0B1D"/>
    <w:rsid w:val="00DD0F0F"/>
    <w:rsid w:val="00DD213E"/>
    <w:rsid w:val="00DD3507"/>
    <w:rsid w:val="00DD4999"/>
    <w:rsid w:val="00DD49A0"/>
    <w:rsid w:val="00DD750E"/>
    <w:rsid w:val="00DE0F1A"/>
    <w:rsid w:val="00DE2B7B"/>
    <w:rsid w:val="00DE2CA6"/>
    <w:rsid w:val="00DE3F70"/>
    <w:rsid w:val="00DF75FF"/>
    <w:rsid w:val="00E06F21"/>
    <w:rsid w:val="00E138FD"/>
    <w:rsid w:val="00E13BC9"/>
    <w:rsid w:val="00E16982"/>
    <w:rsid w:val="00E16CEE"/>
    <w:rsid w:val="00E16DB8"/>
    <w:rsid w:val="00E22785"/>
    <w:rsid w:val="00E23592"/>
    <w:rsid w:val="00E303B2"/>
    <w:rsid w:val="00E321FB"/>
    <w:rsid w:val="00E33295"/>
    <w:rsid w:val="00E36830"/>
    <w:rsid w:val="00E418FB"/>
    <w:rsid w:val="00E500C4"/>
    <w:rsid w:val="00E50B13"/>
    <w:rsid w:val="00E53299"/>
    <w:rsid w:val="00E53E01"/>
    <w:rsid w:val="00E54A2C"/>
    <w:rsid w:val="00E54CC5"/>
    <w:rsid w:val="00E55849"/>
    <w:rsid w:val="00E56D41"/>
    <w:rsid w:val="00E56E0A"/>
    <w:rsid w:val="00E57D83"/>
    <w:rsid w:val="00E60657"/>
    <w:rsid w:val="00E609B9"/>
    <w:rsid w:val="00E61DCA"/>
    <w:rsid w:val="00E638FF"/>
    <w:rsid w:val="00E66C22"/>
    <w:rsid w:val="00E6745C"/>
    <w:rsid w:val="00E70F91"/>
    <w:rsid w:val="00E732D1"/>
    <w:rsid w:val="00E745DF"/>
    <w:rsid w:val="00E7609B"/>
    <w:rsid w:val="00E779D2"/>
    <w:rsid w:val="00E8090B"/>
    <w:rsid w:val="00E81DBE"/>
    <w:rsid w:val="00E8458F"/>
    <w:rsid w:val="00E85000"/>
    <w:rsid w:val="00E85A7A"/>
    <w:rsid w:val="00E91FE8"/>
    <w:rsid w:val="00E9328F"/>
    <w:rsid w:val="00E97764"/>
    <w:rsid w:val="00EB5137"/>
    <w:rsid w:val="00EC0B78"/>
    <w:rsid w:val="00EC42A1"/>
    <w:rsid w:val="00EC68B7"/>
    <w:rsid w:val="00ED3F23"/>
    <w:rsid w:val="00ED7558"/>
    <w:rsid w:val="00ED7BD9"/>
    <w:rsid w:val="00EE017B"/>
    <w:rsid w:val="00EE045A"/>
    <w:rsid w:val="00EE30BB"/>
    <w:rsid w:val="00EE4290"/>
    <w:rsid w:val="00EE4BB9"/>
    <w:rsid w:val="00EF44AA"/>
    <w:rsid w:val="00EF7F1C"/>
    <w:rsid w:val="00F055DB"/>
    <w:rsid w:val="00F05617"/>
    <w:rsid w:val="00F06876"/>
    <w:rsid w:val="00F10CEF"/>
    <w:rsid w:val="00F121B3"/>
    <w:rsid w:val="00F14962"/>
    <w:rsid w:val="00F20DC5"/>
    <w:rsid w:val="00F21AEE"/>
    <w:rsid w:val="00F2220F"/>
    <w:rsid w:val="00F276D3"/>
    <w:rsid w:val="00F3719B"/>
    <w:rsid w:val="00F412DB"/>
    <w:rsid w:val="00F47379"/>
    <w:rsid w:val="00F47964"/>
    <w:rsid w:val="00F54AD0"/>
    <w:rsid w:val="00F57F7B"/>
    <w:rsid w:val="00F608C1"/>
    <w:rsid w:val="00F61430"/>
    <w:rsid w:val="00F622B2"/>
    <w:rsid w:val="00F65199"/>
    <w:rsid w:val="00F73C89"/>
    <w:rsid w:val="00F75EE3"/>
    <w:rsid w:val="00F77847"/>
    <w:rsid w:val="00F80700"/>
    <w:rsid w:val="00F824B7"/>
    <w:rsid w:val="00F876ED"/>
    <w:rsid w:val="00F92A84"/>
    <w:rsid w:val="00F94FEB"/>
    <w:rsid w:val="00F96154"/>
    <w:rsid w:val="00FA5EE7"/>
    <w:rsid w:val="00FB683B"/>
    <w:rsid w:val="00FB71FB"/>
    <w:rsid w:val="00FC3235"/>
    <w:rsid w:val="00FD3B9C"/>
    <w:rsid w:val="00FE13DE"/>
    <w:rsid w:val="00FF3AE1"/>
    <w:rsid w:val="00FF4086"/>
    <w:rsid w:val="00FF6C29"/>
    <w:rsid w:val="00FF7D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FEA25C"/>
  <w15:docId w15:val="{9C38E9E4-8954-4A7D-8759-1ADA51E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semiHidden/>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paragraph" w:styleId="Textonotapie">
    <w:name w:val="footnote text"/>
    <w:basedOn w:val="Normal"/>
    <w:link w:val="TextonotapieCar"/>
    <w:uiPriority w:val="99"/>
    <w:unhideWhenUsed/>
    <w:rsid w:val="00C2462F"/>
  </w:style>
  <w:style w:type="character" w:customStyle="1" w:styleId="TextonotapieCar">
    <w:name w:val="Texto nota pie Car"/>
    <w:basedOn w:val="Fuentedeprrafopredeter"/>
    <w:link w:val="Textonotapie"/>
    <w:uiPriority w:val="99"/>
    <w:rsid w:val="00C2462F"/>
    <w:rPr>
      <w:lang w:val="es-ES_tradnl" w:eastAsia="es-ES"/>
    </w:rPr>
  </w:style>
  <w:style w:type="character" w:styleId="Refdenotaalpie">
    <w:name w:val="footnote reference"/>
    <w:basedOn w:val="Fuentedeprrafopredeter"/>
    <w:uiPriority w:val="99"/>
    <w:unhideWhenUsed/>
    <w:rsid w:val="00C2462F"/>
    <w:rPr>
      <w:vertAlign w:val="superscript"/>
    </w:rPr>
  </w:style>
  <w:style w:type="character" w:styleId="Textoennegrita">
    <w:name w:val="Strong"/>
    <w:basedOn w:val="Fuentedeprrafopredeter"/>
    <w:uiPriority w:val="22"/>
    <w:qFormat/>
    <w:rsid w:val="00C2462F"/>
    <w:rPr>
      <w:b/>
      <w:bCs/>
    </w:rPr>
  </w:style>
  <w:style w:type="character" w:customStyle="1" w:styleId="Caracteresdenotaalpie">
    <w:name w:val="Caracteres de nota al pie"/>
    <w:rsid w:val="00C2462F"/>
    <w:rPr>
      <w:vertAlign w:val="superscript"/>
    </w:rPr>
  </w:style>
  <w:style w:type="character" w:customStyle="1" w:styleId="Refdenotaalpie1">
    <w:name w:val="Ref. de nota al pie1"/>
    <w:rsid w:val="00C2462F"/>
    <w:rPr>
      <w:vertAlign w:val="superscript"/>
    </w:rPr>
  </w:style>
  <w:style w:type="character" w:customStyle="1" w:styleId="Teletipo">
    <w:name w:val="Teletipo"/>
    <w:rsid w:val="00C2462F"/>
    <w:rPr>
      <w:rFonts w:ascii="DejaVu Sans Mono" w:eastAsia="WenQuanYi Micro Hei" w:hAnsi="DejaVu Sans Mono" w:cs="Lohit Hindi"/>
    </w:rPr>
  </w:style>
  <w:style w:type="paragraph" w:styleId="Textoindependiente">
    <w:name w:val="Body Text"/>
    <w:basedOn w:val="Normal"/>
    <w:link w:val="TextoindependienteCar"/>
    <w:rsid w:val="00C2462F"/>
    <w:pPr>
      <w:widowControl w:val="0"/>
      <w:suppressAutoHyphens/>
      <w:spacing w:after="120"/>
    </w:pPr>
    <w:rPr>
      <w:lang w:val="es-ES" w:bidi="es-ES"/>
    </w:rPr>
  </w:style>
  <w:style w:type="character" w:customStyle="1" w:styleId="TextoindependienteCar">
    <w:name w:val="Texto independiente Car"/>
    <w:basedOn w:val="Fuentedeprrafopredeter"/>
    <w:link w:val="Textoindependiente"/>
    <w:rsid w:val="00C2462F"/>
    <w:rPr>
      <w:lang w:val="es-ES" w:eastAsia="es-ES" w:bidi="es-ES"/>
    </w:rPr>
  </w:style>
  <w:style w:type="paragraph" w:customStyle="1" w:styleId="Textonotapie1">
    <w:name w:val="Texto nota pie1"/>
    <w:basedOn w:val="Normal"/>
    <w:rsid w:val="00C2462F"/>
    <w:pPr>
      <w:widowControl w:val="0"/>
      <w:suppressAutoHyphens/>
    </w:pPr>
    <w:rPr>
      <w:lang w:val="es-ES" w:bidi="es-ES"/>
    </w:rPr>
  </w:style>
  <w:style w:type="paragraph" w:customStyle="1" w:styleId="Prrafodelista1">
    <w:name w:val="Párrafo de lista1"/>
    <w:basedOn w:val="Normal"/>
    <w:rsid w:val="00C2462F"/>
    <w:pPr>
      <w:widowControl w:val="0"/>
      <w:suppressAutoHyphens/>
      <w:spacing w:after="200" w:line="276" w:lineRule="auto"/>
      <w:ind w:left="720"/>
    </w:pPr>
    <w:rPr>
      <w:rFonts w:ascii="Calibri" w:eastAsia="Calibri" w:hAnsi="Calibri"/>
      <w:color w:val="00000A"/>
      <w:sz w:val="22"/>
      <w:szCs w:val="22"/>
      <w:lang w:val="es-CO" w:eastAsia="en-US" w:bidi="es-ES"/>
    </w:rPr>
  </w:style>
  <w:style w:type="paragraph" w:customStyle="1" w:styleId="cuerpotexto">
    <w:name w:val="cuerpotexto"/>
    <w:basedOn w:val="Normal"/>
    <w:rsid w:val="00C2462F"/>
    <w:pPr>
      <w:widowControl w:val="0"/>
      <w:suppressAutoHyphens/>
      <w:spacing w:before="28" w:after="28" w:line="210" w:lineRule="atLeast"/>
      <w:ind w:firstLine="283"/>
      <w:jc w:val="both"/>
    </w:pPr>
    <w:rPr>
      <w:color w:val="000000"/>
      <w:sz w:val="19"/>
      <w:szCs w:val="19"/>
      <w:lang w:val="es-ES" w:bidi="es-ES"/>
    </w:rPr>
  </w:style>
  <w:style w:type="paragraph" w:customStyle="1" w:styleId="Sinespaciado1">
    <w:name w:val="Sin espaciado1"/>
    <w:rsid w:val="00C2462F"/>
    <w:pPr>
      <w:widowControl w:val="0"/>
      <w:suppressAutoHyphens/>
    </w:pPr>
    <w:rPr>
      <w:rFonts w:ascii="Calibri" w:hAnsi="Calibri"/>
      <w:sz w:val="22"/>
      <w:szCs w:val="22"/>
      <w:lang w:val="es-ES" w:eastAsia="zh-CN"/>
    </w:rPr>
  </w:style>
  <w:style w:type="paragraph" w:customStyle="1" w:styleId="Prrafodelista2">
    <w:name w:val="Párrafo de lista2"/>
    <w:basedOn w:val="Normal"/>
    <w:rsid w:val="00C2462F"/>
    <w:pPr>
      <w:suppressAutoHyphens/>
      <w:spacing w:after="200" w:line="276" w:lineRule="auto"/>
      <w:ind w:left="720"/>
      <w:textAlignment w:val="baseline"/>
    </w:pPr>
    <w:rPr>
      <w:rFonts w:ascii="Calibri" w:hAnsi="Calibri" w:cs="Calibri"/>
      <w:kern w:val="1"/>
      <w:sz w:val="22"/>
      <w:szCs w:val="22"/>
      <w:lang w:val="es-CO" w:eastAsia="ar-SA"/>
    </w:rPr>
  </w:style>
  <w:style w:type="paragraph" w:styleId="Prrafodelista">
    <w:name w:val="List Paragraph"/>
    <w:basedOn w:val="Normal"/>
    <w:uiPriority w:val="34"/>
    <w:qFormat/>
    <w:rsid w:val="00B53E5E"/>
    <w:pPr>
      <w:ind w:left="720"/>
      <w:contextualSpacing/>
    </w:pPr>
  </w:style>
  <w:style w:type="paragraph" w:customStyle="1" w:styleId="unico">
    <w:name w:val="unico"/>
    <w:basedOn w:val="Normal"/>
    <w:rsid w:val="008E0F87"/>
    <w:pPr>
      <w:spacing w:before="100" w:beforeAutospacing="1" w:after="100" w:afterAutospacing="1"/>
    </w:pPr>
    <w:rPr>
      <w:sz w:val="24"/>
      <w:szCs w:val="24"/>
      <w:lang w:val="es-CO" w:eastAsia="es-CO"/>
    </w:rPr>
  </w:style>
  <w:style w:type="table" w:customStyle="1" w:styleId="TableNormal">
    <w:name w:val="Table Normal"/>
    <w:rsid w:val="001665F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inguno">
    <w:name w:val="Ninguno"/>
    <w:rsid w:val="001665F7"/>
    <w:rPr>
      <w:lang w:val="es-ES_tradnl"/>
    </w:rPr>
  </w:style>
  <w:style w:type="character" w:styleId="Textodelmarcadordeposicin">
    <w:name w:val="Placeholder Text"/>
    <w:basedOn w:val="Fuentedeprrafopredeter"/>
    <w:uiPriority w:val="99"/>
    <w:semiHidden/>
    <w:rsid w:val="00B647EE"/>
    <w:rPr>
      <w:color w:val="808080"/>
    </w:rPr>
  </w:style>
  <w:style w:type="table" w:styleId="Tabladecuadrcula6concolores-nfasis1">
    <w:name w:val="Grid Table 6 Colorful Accent 1"/>
    <w:basedOn w:val="Tablanormal"/>
    <w:uiPriority w:val="51"/>
    <w:rsid w:val="005A0CB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ueve">
    <w:name w:val="nueve"/>
    <w:basedOn w:val="Normal"/>
    <w:rsid w:val="00A2089C"/>
    <w:pPr>
      <w:spacing w:before="100" w:beforeAutospacing="1" w:after="100" w:afterAutospacing="1"/>
    </w:pPr>
    <w:rPr>
      <w:sz w:val="24"/>
      <w:szCs w:val="24"/>
      <w:lang w:val="es-CO" w:eastAsia="es-CO"/>
    </w:rPr>
  </w:style>
  <w:style w:type="character" w:customStyle="1" w:styleId="plxtitulo">
    <w:name w:val="plxtitulo"/>
    <w:basedOn w:val="Fuentedeprrafopredeter"/>
    <w:rsid w:val="00A2089C"/>
  </w:style>
  <w:style w:type="character" w:customStyle="1" w:styleId="resaltadoseleccion">
    <w:name w:val="resaltado_seleccion"/>
    <w:basedOn w:val="Fuentedeprrafopredeter"/>
    <w:rsid w:val="00472A1A"/>
  </w:style>
  <w:style w:type="character" w:customStyle="1" w:styleId="lphit">
    <w:name w:val="lphit"/>
    <w:basedOn w:val="Fuentedeprrafopredeter"/>
    <w:rsid w:val="00F47964"/>
  </w:style>
  <w:style w:type="paragraph" w:customStyle="1" w:styleId="xmsonormal">
    <w:name w:val="x_msonormal"/>
    <w:basedOn w:val="Normal"/>
    <w:rsid w:val="008704E4"/>
    <w:pPr>
      <w:spacing w:before="100" w:beforeAutospacing="1" w:after="100" w:afterAutospacing="1"/>
    </w:pPr>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705">
      <w:bodyDiv w:val="1"/>
      <w:marLeft w:val="0"/>
      <w:marRight w:val="0"/>
      <w:marTop w:val="0"/>
      <w:marBottom w:val="0"/>
      <w:divBdr>
        <w:top w:val="none" w:sz="0" w:space="0" w:color="auto"/>
        <w:left w:val="none" w:sz="0" w:space="0" w:color="auto"/>
        <w:bottom w:val="none" w:sz="0" w:space="0" w:color="auto"/>
        <w:right w:val="none" w:sz="0" w:space="0" w:color="auto"/>
      </w:divBdr>
    </w:div>
    <w:div w:id="26294447">
      <w:bodyDiv w:val="1"/>
      <w:marLeft w:val="0"/>
      <w:marRight w:val="0"/>
      <w:marTop w:val="0"/>
      <w:marBottom w:val="0"/>
      <w:divBdr>
        <w:top w:val="none" w:sz="0" w:space="0" w:color="auto"/>
        <w:left w:val="none" w:sz="0" w:space="0" w:color="auto"/>
        <w:bottom w:val="none" w:sz="0" w:space="0" w:color="auto"/>
        <w:right w:val="none" w:sz="0" w:space="0" w:color="auto"/>
      </w:divBdr>
    </w:div>
    <w:div w:id="315769828">
      <w:bodyDiv w:val="1"/>
      <w:marLeft w:val="0"/>
      <w:marRight w:val="0"/>
      <w:marTop w:val="0"/>
      <w:marBottom w:val="0"/>
      <w:divBdr>
        <w:top w:val="none" w:sz="0" w:space="0" w:color="auto"/>
        <w:left w:val="none" w:sz="0" w:space="0" w:color="auto"/>
        <w:bottom w:val="none" w:sz="0" w:space="0" w:color="auto"/>
        <w:right w:val="none" w:sz="0" w:space="0" w:color="auto"/>
      </w:divBdr>
    </w:div>
    <w:div w:id="328022484">
      <w:bodyDiv w:val="1"/>
      <w:marLeft w:val="0"/>
      <w:marRight w:val="0"/>
      <w:marTop w:val="0"/>
      <w:marBottom w:val="0"/>
      <w:divBdr>
        <w:top w:val="none" w:sz="0" w:space="0" w:color="auto"/>
        <w:left w:val="none" w:sz="0" w:space="0" w:color="auto"/>
        <w:bottom w:val="none" w:sz="0" w:space="0" w:color="auto"/>
        <w:right w:val="none" w:sz="0" w:space="0" w:color="auto"/>
      </w:divBdr>
    </w:div>
    <w:div w:id="608898276">
      <w:bodyDiv w:val="1"/>
      <w:marLeft w:val="0"/>
      <w:marRight w:val="0"/>
      <w:marTop w:val="0"/>
      <w:marBottom w:val="0"/>
      <w:divBdr>
        <w:top w:val="none" w:sz="0" w:space="0" w:color="auto"/>
        <w:left w:val="none" w:sz="0" w:space="0" w:color="auto"/>
        <w:bottom w:val="none" w:sz="0" w:space="0" w:color="auto"/>
        <w:right w:val="none" w:sz="0" w:space="0" w:color="auto"/>
      </w:divBdr>
    </w:div>
    <w:div w:id="747849011">
      <w:bodyDiv w:val="1"/>
      <w:marLeft w:val="0"/>
      <w:marRight w:val="0"/>
      <w:marTop w:val="0"/>
      <w:marBottom w:val="0"/>
      <w:divBdr>
        <w:top w:val="none" w:sz="0" w:space="0" w:color="auto"/>
        <w:left w:val="none" w:sz="0" w:space="0" w:color="auto"/>
        <w:bottom w:val="none" w:sz="0" w:space="0" w:color="auto"/>
        <w:right w:val="none" w:sz="0" w:space="0" w:color="auto"/>
      </w:divBdr>
    </w:div>
    <w:div w:id="955866023">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180970325">
      <w:bodyDiv w:val="1"/>
      <w:marLeft w:val="0"/>
      <w:marRight w:val="0"/>
      <w:marTop w:val="0"/>
      <w:marBottom w:val="0"/>
      <w:divBdr>
        <w:top w:val="none" w:sz="0" w:space="0" w:color="auto"/>
        <w:left w:val="none" w:sz="0" w:space="0" w:color="auto"/>
        <w:bottom w:val="none" w:sz="0" w:space="0" w:color="auto"/>
        <w:right w:val="none" w:sz="0" w:space="0" w:color="auto"/>
      </w:divBdr>
    </w:div>
    <w:div w:id="1789659329">
      <w:bodyDiv w:val="1"/>
      <w:marLeft w:val="0"/>
      <w:marRight w:val="0"/>
      <w:marTop w:val="0"/>
      <w:marBottom w:val="0"/>
      <w:divBdr>
        <w:top w:val="none" w:sz="0" w:space="0" w:color="auto"/>
        <w:left w:val="none" w:sz="0" w:space="0" w:color="auto"/>
        <w:bottom w:val="none" w:sz="0" w:space="0" w:color="auto"/>
        <w:right w:val="none" w:sz="0" w:space="0" w:color="auto"/>
      </w:divBdr>
    </w:div>
    <w:div w:id="1852454650">
      <w:bodyDiv w:val="1"/>
      <w:marLeft w:val="0"/>
      <w:marRight w:val="0"/>
      <w:marTop w:val="0"/>
      <w:marBottom w:val="0"/>
      <w:divBdr>
        <w:top w:val="none" w:sz="0" w:space="0" w:color="auto"/>
        <w:left w:val="none" w:sz="0" w:space="0" w:color="auto"/>
        <w:bottom w:val="none" w:sz="0" w:space="0" w:color="auto"/>
        <w:right w:val="none" w:sz="0" w:space="0" w:color="auto"/>
      </w:divBdr>
    </w:div>
    <w:div w:id="1897744291">
      <w:bodyDiv w:val="1"/>
      <w:marLeft w:val="0"/>
      <w:marRight w:val="0"/>
      <w:marTop w:val="0"/>
      <w:marBottom w:val="0"/>
      <w:divBdr>
        <w:top w:val="none" w:sz="0" w:space="0" w:color="auto"/>
        <w:left w:val="none" w:sz="0" w:space="0" w:color="auto"/>
        <w:bottom w:val="none" w:sz="0" w:space="0" w:color="auto"/>
        <w:right w:val="none" w:sz="0" w:space="0" w:color="auto"/>
      </w:divBdr>
    </w:div>
    <w:div w:id="1991325185">
      <w:bodyDiv w:val="1"/>
      <w:marLeft w:val="0"/>
      <w:marRight w:val="0"/>
      <w:marTop w:val="0"/>
      <w:marBottom w:val="0"/>
      <w:divBdr>
        <w:top w:val="none" w:sz="0" w:space="0" w:color="auto"/>
        <w:left w:val="none" w:sz="0" w:space="0" w:color="auto"/>
        <w:bottom w:val="none" w:sz="0" w:space="0" w:color="auto"/>
        <w:right w:val="none" w:sz="0" w:space="0" w:color="auto"/>
      </w:divBdr>
    </w:div>
    <w:div w:id="2029482149">
      <w:bodyDiv w:val="1"/>
      <w:marLeft w:val="0"/>
      <w:marRight w:val="0"/>
      <w:marTop w:val="0"/>
      <w:marBottom w:val="0"/>
      <w:divBdr>
        <w:top w:val="none" w:sz="0" w:space="0" w:color="auto"/>
        <w:left w:val="none" w:sz="0" w:space="0" w:color="auto"/>
        <w:bottom w:val="none" w:sz="0" w:space="0" w:color="auto"/>
        <w:right w:val="none" w:sz="0" w:space="0" w:color="auto"/>
      </w:divBdr>
    </w:div>
    <w:div w:id="21301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funcionpublica.gov.co/eva/gestornormativo/norma.php?i=772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figueroa\AppData\Local\Microsoft\Windows\INetCache\Content.Outlook\JH27TCGS\PIB%20departament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xlsx"/></Relationships>
</file>

<file path=word/charts/_rels/chart3.xml.rels><?xml version="1.0" encoding="UTF-8" standalone="yes"?>
<Relationships xmlns="http://schemas.openxmlformats.org/package/2006/relationships"><Relationship Id="rId3" Type="http://schemas.openxmlformats.org/officeDocument/2006/relationships/oleObject" Target="file:///C:\SHD\REVENUES\Taxes\ICA\ICA%202000-20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4"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2"/>
              <c:layout>
                <c:manualLayout>
                  <c:x val="-2.1423842592592598E-2"/>
                  <c:y val="-0.10341388205295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58E-4DDD-8C84-CEACC2E815AD}"/>
                </c:ext>
              </c:extLst>
            </c:dLbl>
            <c:dLbl>
              <c:idx val="3"/>
              <c:layout>
                <c:manualLayout>
                  <c:x val="-5.0821990740740702E-2"/>
                  <c:y val="-8.83517656477006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58E-4DDD-8C84-CEACC2E815AD}"/>
                </c:ext>
              </c:extLst>
            </c:dLbl>
            <c:dLbl>
              <c:idx val="4"/>
              <c:layout>
                <c:manualLayout>
                  <c:x val="-6.8460879629629601E-2"/>
                  <c:y val="-6.82689437740287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58E-4DDD-8C84-CEACC2E815AD}"/>
                </c:ext>
              </c:extLst>
            </c:dLbl>
            <c:dLbl>
              <c:idx val="6"/>
              <c:layout>
                <c:manualLayout>
                  <c:x val="-0.100798842592593"/>
                  <c:y val="-4.31654164319388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58E-4DDD-8C84-CEACC2E815AD}"/>
                </c:ext>
              </c:extLst>
            </c:dLbl>
            <c:dLbl>
              <c:idx val="10"/>
              <c:layout>
                <c:manualLayout>
                  <c:x val="-3.6122916666666803E-2"/>
                  <c:y val="-8.33310601792826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58E-4DDD-8C84-CEACC2E815AD}"/>
                </c:ext>
              </c:extLst>
            </c:dLbl>
            <c:dLbl>
              <c:idx val="11"/>
              <c:layout>
                <c:manualLayout>
                  <c:x val="-2.1423842592592598E-2"/>
                  <c:y val="3.214516559433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58E-4DDD-8C84-CEACC2E815A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'\\shd.gov.co\fs\EFiscales\ANALISIS SECTORIAL\Actividad_economica\[Semaforo 2019.xlsx]PIB departamental'!$Q$20:$Q$32</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'\\shd.gov.co\fs\EFiscales\ANALISIS SECTORIAL\Actividad_economica\[Semaforo 2019.xlsx]PIB departamental'!$AE$20:$AE$32</c:f>
              <c:numCache>
                <c:formatCode>General</c:formatCode>
                <c:ptCount val="13"/>
                <c:pt idx="0">
                  <c:v>6.6016909865560081</c:v>
                </c:pt>
                <c:pt idx="1">
                  <c:v>6.3253916482879333</c:v>
                </c:pt>
                <c:pt idx="2">
                  <c:v>3.2847070738547761</c:v>
                </c:pt>
                <c:pt idx="3">
                  <c:v>2.0950207899227862</c:v>
                </c:pt>
                <c:pt idx="4">
                  <c:v>3.5887443088942872</c:v>
                </c:pt>
                <c:pt idx="5">
                  <c:v>5.6512940295446956</c:v>
                </c:pt>
                <c:pt idx="6">
                  <c:v>3.52465656326999</c:v>
                </c:pt>
                <c:pt idx="7">
                  <c:v>3.8537718547499771</c:v>
                </c:pt>
                <c:pt idx="8">
                  <c:v>4.6463076766107134</c:v>
                </c:pt>
                <c:pt idx="9">
                  <c:v>3.7602911627571798</c:v>
                </c:pt>
                <c:pt idx="10">
                  <c:v>2.03631945686258</c:v>
                </c:pt>
                <c:pt idx="11">
                  <c:v>1.9297886965994531</c:v>
                </c:pt>
                <c:pt idx="12">
                  <c:v>2.9631150671302962</c:v>
                </c:pt>
              </c:numCache>
            </c:numRef>
          </c:val>
          <c:smooth val="0"/>
          <c:extLst>
            <c:ext xmlns:c16="http://schemas.microsoft.com/office/drawing/2014/chart" uri="{C3380CC4-5D6E-409C-BE32-E72D297353CC}">
              <c16:uniqueId val="{00000006-E58E-4DDD-8C84-CEACC2E815AD}"/>
            </c:ext>
          </c:extLst>
        </c:ser>
        <c:dLbls>
          <c:showLegendKey val="0"/>
          <c:showVal val="0"/>
          <c:showCatName val="0"/>
          <c:showSerName val="0"/>
          <c:showPercent val="0"/>
          <c:showBubbleSize val="0"/>
        </c:dLbls>
        <c:smooth val="0"/>
        <c:axId val="-2096281328"/>
        <c:axId val="-2124588752"/>
      </c:lineChart>
      <c:catAx>
        <c:axId val="-209628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124588752"/>
        <c:crosses val="autoZero"/>
        <c:auto val="1"/>
        <c:lblAlgn val="ctr"/>
        <c:lblOffset val="100"/>
        <c:noMultiLvlLbl val="0"/>
      </c:catAx>
      <c:valAx>
        <c:axId val="-21245887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0962813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628748348136"/>
          <c:y val="3.67969723756673E-2"/>
          <c:w val="0.82183247052543595"/>
          <c:h val="0.80907929075877105"/>
        </c:manualLayout>
      </c:layout>
      <c:barChart>
        <c:barDir val="col"/>
        <c:grouping val="clustered"/>
        <c:varyColors val="0"/>
        <c:ser>
          <c:idx val="3"/>
          <c:order val="0"/>
          <c:tx>
            <c:v>ICA </c:v>
          </c:tx>
          <c:spPr>
            <a:solidFill>
              <a:schemeClr val="accent4"/>
            </a:solidFill>
            <a:ln w="25400">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A0F8-43F4-905A-AA9BFC0DA056}"/>
                </c:ext>
              </c:extLst>
            </c:dLbl>
            <c:dLbl>
              <c:idx val="4"/>
              <c:delete val="1"/>
              <c:extLst>
                <c:ext xmlns:c15="http://schemas.microsoft.com/office/drawing/2012/chart" uri="{CE6537A1-D6FC-4f65-9D91-7224C49458BB}"/>
                <c:ext xmlns:c16="http://schemas.microsoft.com/office/drawing/2014/chart" uri="{C3380CC4-5D6E-409C-BE32-E72D297353CC}">
                  <c16:uniqueId val="{00000001-A0F8-43F4-905A-AA9BFC0DA056}"/>
                </c:ext>
              </c:extLst>
            </c:dLbl>
            <c:dLbl>
              <c:idx val="6"/>
              <c:delete val="1"/>
              <c:extLst>
                <c:ext xmlns:c15="http://schemas.microsoft.com/office/drawing/2012/chart" uri="{CE6537A1-D6FC-4f65-9D91-7224C49458BB}"/>
                <c:ext xmlns:c16="http://schemas.microsoft.com/office/drawing/2014/chart" uri="{C3380CC4-5D6E-409C-BE32-E72D297353CC}">
                  <c16:uniqueId val="{00000002-A0F8-43F4-905A-AA9BFC0DA056}"/>
                </c:ext>
              </c:extLst>
            </c:dLbl>
            <c:dLbl>
              <c:idx val="8"/>
              <c:delete val="1"/>
              <c:extLst>
                <c:ext xmlns:c15="http://schemas.microsoft.com/office/drawing/2012/chart" uri="{CE6537A1-D6FC-4f65-9D91-7224C49458BB}"/>
                <c:ext xmlns:c16="http://schemas.microsoft.com/office/drawing/2014/chart" uri="{C3380CC4-5D6E-409C-BE32-E72D297353CC}">
                  <c16:uniqueId val="{00000003-A0F8-43F4-905A-AA9BFC0DA056}"/>
                </c:ext>
              </c:extLst>
            </c:dLbl>
            <c:dLbl>
              <c:idx val="9"/>
              <c:delete val="1"/>
              <c:extLst>
                <c:ext xmlns:c15="http://schemas.microsoft.com/office/drawing/2012/chart" uri="{CE6537A1-D6FC-4f65-9D91-7224C49458BB}"/>
                <c:ext xmlns:c16="http://schemas.microsoft.com/office/drawing/2014/chart" uri="{C3380CC4-5D6E-409C-BE32-E72D297353CC}">
                  <c16:uniqueId val="{00000004-A0F8-43F4-905A-AA9BFC0DA056}"/>
                </c:ext>
              </c:extLst>
            </c:dLbl>
            <c:dLbl>
              <c:idx val="11"/>
              <c:layout>
                <c:manualLayout>
                  <c:x val="2.33236108769568E-3"/>
                  <c:y val="-0.10900830103457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0F8-43F4-905A-AA9BFC0DA056}"/>
                </c:ext>
              </c:extLst>
            </c:dLbl>
            <c:dLbl>
              <c:idx val="12"/>
              <c:delete val="1"/>
              <c:extLst>
                <c:ext xmlns:c15="http://schemas.microsoft.com/office/drawing/2012/chart" uri="{CE6537A1-D6FC-4f65-9D91-7224C49458BB}"/>
                <c:ext xmlns:c16="http://schemas.microsoft.com/office/drawing/2014/chart" uri="{C3380CC4-5D6E-409C-BE32-E72D297353CC}">
                  <c16:uniqueId val="{00000006-A0F8-43F4-905A-AA9BFC0DA056}"/>
                </c:ext>
              </c:extLst>
            </c:dLbl>
            <c:dLbl>
              <c:idx val="13"/>
              <c:delete val="1"/>
              <c:extLst>
                <c:ext xmlns:c15="http://schemas.microsoft.com/office/drawing/2012/chart" uri="{CE6537A1-D6FC-4f65-9D91-7224C49458BB}"/>
                <c:ext xmlns:c16="http://schemas.microsoft.com/office/drawing/2014/chart" uri="{C3380CC4-5D6E-409C-BE32-E72D297353CC}">
                  <c16:uniqueId val="{00000007-A0F8-43F4-905A-AA9BFC0DA056}"/>
                </c:ext>
              </c:extLst>
            </c:dLbl>
            <c:dLbl>
              <c:idx val="14"/>
              <c:layout>
                <c:manualLayout>
                  <c:x val="-1.1661805438478501E-2"/>
                  <c:y val="-3.22987558620970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0F8-43F4-905A-AA9BFC0DA056}"/>
                </c:ext>
              </c:extLst>
            </c:dLbl>
            <c:dLbl>
              <c:idx val="15"/>
              <c:delete val="1"/>
              <c:extLst>
                <c:ext xmlns:c15="http://schemas.microsoft.com/office/drawing/2012/chart" uri="{CE6537A1-D6FC-4f65-9D91-7224C49458BB}"/>
                <c:ext xmlns:c16="http://schemas.microsoft.com/office/drawing/2014/chart" uri="{C3380CC4-5D6E-409C-BE32-E72D297353CC}">
                  <c16:uniqueId val="{00000009-A0F8-43F4-905A-AA9BFC0DA056}"/>
                </c:ext>
              </c:extLst>
            </c:dLbl>
            <c:dLbl>
              <c:idx val="16"/>
              <c:delete val="1"/>
              <c:extLst>
                <c:ext xmlns:c15="http://schemas.microsoft.com/office/drawing/2012/chart" uri="{CE6537A1-D6FC-4f65-9D91-7224C49458BB}"/>
                <c:ext xmlns:c16="http://schemas.microsoft.com/office/drawing/2014/chart" uri="{C3380CC4-5D6E-409C-BE32-E72D297353CC}">
                  <c16:uniqueId val="{0000000A-A0F8-43F4-905A-AA9BFC0DA056}"/>
                </c:ext>
              </c:extLst>
            </c:dLbl>
            <c:dLbl>
              <c:idx val="17"/>
              <c:layout>
                <c:manualLayout>
                  <c:x val="-1.8658888701565401E-2"/>
                  <c:y val="-4.44107893103833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0F8-43F4-905A-AA9BFC0DA056}"/>
                </c:ext>
              </c:extLst>
            </c:dLbl>
            <c:dLbl>
              <c:idx val="18"/>
              <c:layout>
                <c:manualLayout>
                  <c:x val="9.3294443507825307E-3"/>
                  <c:y val="-2.826141137933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A0F8-43F4-905A-AA9BFC0DA0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'G1'!$M$3:$AE$3</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'G1'!$M$7:$AE$7</c:f>
              <c:numCache>
                <c:formatCode>_-* #,##0.00_-;\-* #,##0.00_-;_-* "-"_-;_-@_-</c:formatCode>
                <c:ptCount val="19"/>
                <c:pt idx="0">
                  <c:v>1.202384653667792</c:v>
                </c:pt>
                <c:pt idx="1">
                  <c:v>1.2297328416733</c:v>
                </c:pt>
                <c:pt idx="2">
                  <c:v>1.3770558202733929</c:v>
                </c:pt>
                <c:pt idx="3">
                  <c:v>1.886169234328241</c:v>
                </c:pt>
                <c:pt idx="4">
                  <c:v>2.0864672816698411</c:v>
                </c:pt>
                <c:pt idx="5">
                  <c:v>2.272814645607975</c:v>
                </c:pt>
                <c:pt idx="6">
                  <c:v>2.5365094877971921</c:v>
                </c:pt>
                <c:pt idx="7">
                  <c:v>2.7676768414162201</c:v>
                </c:pt>
                <c:pt idx="8">
                  <c:v>2.8882906769145311</c:v>
                </c:pt>
                <c:pt idx="9">
                  <c:v>2.9523784873059671</c:v>
                </c:pt>
                <c:pt idx="10">
                  <c:v>2.8989086566565452</c:v>
                </c:pt>
                <c:pt idx="11">
                  <c:v>3.1148244984704281</c:v>
                </c:pt>
                <c:pt idx="12">
                  <c:v>3.3566665106232749</c:v>
                </c:pt>
                <c:pt idx="13">
                  <c:v>3.4232338731134102</c:v>
                </c:pt>
                <c:pt idx="14">
                  <c:v>3.573345079233968</c:v>
                </c:pt>
                <c:pt idx="15">
                  <c:v>3.6558395732291169</c:v>
                </c:pt>
                <c:pt idx="16">
                  <c:v>3.687934615588714</c:v>
                </c:pt>
                <c:pt idx="17">
                  <c:v>3.6199382332086421</c:v>
                </c:pt>
                <c:pt idx="18">
                  <c:v>3.7028677640850001</c:v>
                </c:pt>
              </c:numCache>
            </c:numRef>
          </c:val>
          <c:extLst>
            <c:ext xmlns:c16="http://schemas.microsoft.com/office/drawing/2014/chart" uri="{C3380CC4-5D6E-409C-BE32-E72D297353CC}">
              <c16:uniqueId val="{0000000D-A0F8-43F4-905A-AA9BFC0DA056}"/>
            </c:ext>
          </c:extLst>
        </c:ser>
        <c:dLbls>
          <c:showLegendKey val="0"/>
          <c:showVal val="0"/>
          <c:showCatName val="0"/>
          <c:showSerName val="0"/>
          <c:showPercent val="0"/>
          <c:showBubbleSize val="0"/>
        </c:dLbls>
        <c:gapWidth val="219"/>
        <c:axId val="-2094488896"/>
        <c:axId val="-2094597856"/>
      </c:barChart>
      <c:lineChart>
        <c:grouping val="standard"/>
        <c:varyColors val="0"/>
        <c:ser>
          <c:idx val="6"/>
          <c:order val="1"/>
          <c:tx>
            <c:v>% PIB Bogotá</c:v>
          </c:tx>
          <c:spPr>
            <a:ln w="28575" cap="rnd">
              <a:solidFill>
                <a:schemeClr val="accent1">
                  <a:lumMod val="60000"/>
                </a:schemeClr>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E-A0F8-43F4-905A-AA9BFC0DA056}"/>
                </c:ext>
              </c:extLst>
            </c:dLbl>
            <c:dLbl>
              <c:idx val="3"/>
              <c:delete val="1"/>
              <c:extLst>
                <c:ext xmlns:c15="http://schemas.microsoft.com/office/drawing/2012/chart" uri="{CE6537A1-D6FC-4f65-9D91-7224C49458BB}"/>
                <c:ext xmlns:c16="http://schemas.microsoft.com/office/drawing/2014/chart" uri="{C3380CC4-5D6E-409C-BE32-E72D297353CC}">
                  <c16:uniqueId val="{0000000F-A0F8-43F4-905A-AA9BFC0DA056}"/>
                </c:ext>
              </c:extLst>
            </c:dLbl>
            <c:dLbl>
              <c:idx val="5"/>
              <c:delete val="1"/>
              <c:extLst>
                <c:ext xmlns:c15="http://schemas.microsoft.com/office/drawing/2012/chart" uri="{CE6537A1-D6FC-4f65-9D91-7224C49458BB}"/>
                <c:ext xmlns:c16="http://schemas.microsoft.com/office/drawing/2014/chart" uri="{C3380CC4-5D6E-409C-BE32-E72D297353CC}">
                  <c16:uniqueId val="{00000010-A0F8-43F4-905A-AA9BFC0DA056}"/>
                </c:ext>
              </c:extLst>
            </c:dLbl>
            <c:dLbl>
              <c:idx val="7"/>
              <c:delete val="1"/>
              <c:extLst>
                <c:ext xmlns:c15="http://schemas.microsoft.com/office/drawing/2012/chart" uri="{CE6537A1-D6FC-4f65-9D91-7224C49458BB}"/>
                <c:ext xmlns:c16="http://schemas.microsoft.com/office/drawing/2014/chart" uri="{C3380CC4-5D6E-409C-BE32-E72D297353CC}">
                  <c16:uniqueId val="{00000011-A0F8-43F4-905A-AA9BFC0DA056}"/>
                </c:ext>
              </c:extLst>
            </c:dLbl>
            <c:dLbl>
              <c:idx val="9"/>
              <c:delete val="1"/>
              <c:extLst>
                <c:ext xmlns:c15="http://schemas.microsoft.com/office/drawing/2012/chart" uri="{CE6537A1-D6FC-4f65-9D91-7224C49458BB}"/>
                <c:ext xmlns:c16="http://schemas.microsoft.com/office/drawing/2014/chart" uri="{C3380CC4-5D6E-409C-BE32-E72D297353CC}">
                  <c16:uniqueId val="{00000012-A0F8-43F4-905A-AA9BFC0DA056}"/>
                </c:ext>
              </c:extLst>
            </c:dLbl>
            <c:dLbl>
              <c:idx val="10"/>
              <c:layout>
                <c:manualLayout>
                  <c:x val="-3.4650423650787097E-2"/>
                  <c:y val="-3.62874125140111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A0F8-43F4-905A-AA9BFC0DA056}"/>
                </c:ext>
              </c:extLst>
            </c:dLbl>
            <c:dLbl>
              <c:idx val="12"/>
              <c:delete val="1"/>
              <c:extLst>
                <c:ext xmlns:c15="http://schemas.microsoft.com/office/drawing/2012/chart" uri="{CE6537A1-D6FC-4f65-9D91-7224C49458BB}"/>
                <c:ext xmlns:c16="http://schemas.microsoft.com/office/drawing/2014/chart" uri="{C3380CC4-5D6E-409C-BE32-E72D297353CC}">
                  <c16:uniqueId val="{00000014-A0F8-43F4-905A-AA9BFC0DA056}"/>
                </c:ext>
              </c:extLst>
            </c:dLbl>
            <c:dLbl>
              <c:idx val="14"/>
              <c:delete val="1"/>
              <c:extLst>
                <c:ext xmlns:c15="http://schemas.microsoft.com/office/drawing/2012/chart" uri="{CE6537A1-D6FC-4f65-9D91-7224C49458BB}"/>
                <c:ext xmlns:c16="http://schemas.microsoft.com/office/drawing/2014/chart" uri="{C3380CC4-5D6E-409C-BE32-E72D297353CC}">
                  <c16:uniqueId val="{00000015-A0F8-43F4-905A-AA9BFC0DA056}"/>
                </c:ext>
              </c:extLst>
            </c:dLbl>
            <c:dLbl>
              <c:idx val="16"/>
              <c:delete val="1"/>
              <c:extLst>
                <c:ext xmlns:c15="http://schemas.microsoft.com/office/drawing/2012/chart" uri="{CE6537A1-D6FC-4f65-9D91-7224C49458BB}"/>
                <c:ext xmlns:c16="http://schemas.microsoft.com/office/drawing/2014/chart" uri="{C3380CC4-5D6E-409C-BE32-E72D297353CC}">
                  <c16:uniqueId val="{00000016-A0F8-43F4-905A-AA9BFC0DA056}"/>
                </c:ext>
              </c:extLst>
            </c:dLbl>
            <c:dLbl>
              <c:idx val="18"/>
              <c:layout>
                <c:manualLayout>
                  <c:x val="4.2874539950340899E-4"/>
                  <c:y val="6.38636162162544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A0F8-43F4-905A-AA9BFC0DA0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'G1'!$M$3:$AE$3</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'G1'!$M$10:$AE$10</c:f>
              <c:numCache>
                <c:formatCode>0.00%</c:formatCode>
                <c:ptCount val="19"/>
                <c:pt idx="0">
                  <c:v>9.5590479800792497E-3</c:v>
                </c:pt>
                <c:pt idx="1">
                  <c:v>9.5493773498881197E-3</c:v>
                </c:pt>
                <c:pt idx="2">
                  <c:v>1.04188000932177E-2</c:v>
                </c:pt>
                <c:pt idx="3">
                  <c:v>1.37757829820629E-2</c:v>
                </c:pt>
                <c:pt idx="4">
                  <c:v>1.4305872157764099E-2</c:v>
                </c:pt>
                <c:pt idx="5">
                  <c:v>1.47814421158774E-2</c:v>
                </c:pt>
                <c:pt idx="6">
                  <c:v>1.5396944963637299E-2</c:v>
                </c:pt>
                <c:pt idx="7">
                  <c:v>1.5863511778528201E-2</c:v>
                </c:pt>
                <c:pt idx="8">
                  <c:v>1.6313943662004299E-2</c:v>
                </c:pt>
                <c:pt idx="9">
                  <c:v>1.58473762471876E-2</c:v>
                </c:pt>
                <c:pt idx="10">
                  <c:v>1.5142780522443401E-2</c:v>
                </c:pt>
                <c:pt idx="11">
                  <c:v>1.5416013488209E-2</c:v>
                </c:pt>
                <c:pt idx="12">
                  <c:v>1.58885038089801E-2</c:v>
                </c:pt>
                <c:pt idx="13">
                  <c:v>1.5481968353145401E-2</c:v>
                </c:pt>
                <c:pt idx="14">
                  <c:v>1.5627264778326402E-2</c:v>
                </c:pt>
                <c:pt idx="15">
                  <c:v>1.5698877396359601E-2</c:v>
                </c:pt>
                <c:pt idx="16">
                  <c:v>1.5547469391452001E-2</c:v>
                </c:pt>
                <c:pt idx="17">
                  <c:v>1.4879804657813699E-2</c:v>
                </c:pt>
                <c:pt idx="18">
                  <c:v>1.47495329089134E-2</c:v>
                </c:pt>
              </c:numCache>
            </c:numRef>
          </c:val>
          <c:smooth val="0"/>
          <c:extLst>
            <c:ext xmlns:c16="http://schemas.microsoft.com/office/drawing/2014/chart" uri="{C3380CC4-5D6E-409C-BE32-E72D297353CC}">
              <c16:uniqueId val="{00000018-A0F8-43F4-905A-AA9BFC0DA056}"/>
            </c:ext>
          </c:extLst>
        </c:ser>
        <c:dLbls>
          <c:showLegendKey val="0"/>
          <c:showVal val="0"/>
          <c:showCatName val="0"/>
          <c:showSerName val="0"/>
          <c:showPercent val="0"/>
          <c:showBubbleSize val="0"/>
        </c:dLbls>
        <c:marker val="1"/>
        <c:smooth val="0"/>
        <c:axId val="-2094934800"/>
        <c:axId val="-2094846176"/>
      </c:lineChart>
      <c:catAx>
        <c:axId val="-209448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2094597856"/>
        <c:crossesAt val="0"/>
        <c:auto val="1"/>
        <c:lblAlgn val="ctr"/>
        <c:lblOffset val="100"/>
        <c:noMultiLvlLbl val="0"/>
      </c:catAx>
      <c:valAx>
        <c:axId val="-2094597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2094488896"/>
        <c:crosses val="autoZero"/>
        <c:crossBetween val="between"/>
      </c:valAx>
      <c:valAx>
        <c:axId val="-209484617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2094934800"/>
        <c:crosses val="max"/>
        <c:crossBetween val="between"/>
      </c:valAx>
      <c:catAx>
        <c:axId val="-2094934800"/>
        <c:scaling>
          <c:orientation val="minMax"/>
        </c:scaling>
        <c:delete val="1"/>
        <c:axPos val="b"/>
        <c:numFmt formatCode="General" sourceLinked="1"/>
        <c:majorTickMark val="out"/>
        <c:minorTickMark val="none"/>
        <c:tickLblPos val="nextTo"/>
        <c:crossAx val="-209484617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628748348136"/>
          <c:y val="3.67969723756673E-2"/>
          <c:w val="0.82183247052543595"/>
          <c:h val="0.80907929075877105"/>
        </c:manualLayout>
      </c:layout>
      <c:barChart>
        <c:barDir val="col"/>
        <c:grouping val="clustered"/>
        <c:varyColors val="0"/>
        <c:ser>
          <c:idx val="6"/>
          <c:order val="1"/>
          <c:tx>
            <c:v>% PIB Nacional</c:v>
          </c:tx>
          <c:spPr>
            <a:noFill/>
            <a:ln>
              <a:solidFill>
                <a:schemeClr val="tx2"/>
              </a:solid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C814-47B7-9A52-89857F9D73F7}"/>
                </c:ext>
              </c:extLst>
            </c:dLbl>
            <c:dLbl>
              <c:idx val="3"/>
              <c:delete val="1"/>
              <c:extLst>
                <c:ext xmlns:c15="http://schemas.microsoft.com/office/drawing/2012/chart" uri="{CE6537A1-D6FC-4f65-9D91-7224C49458BB}"/>
                <c:ext xmlns:c16="http://schemas.microsoft.com/office/drawing/2014/chart" uri="{C3380CC4-5D6E-409C-BE32-E72D297353CC}">
                  <c16:uniqueId val="{00000001-C814-47B7-9A52-89857F9D73F7}"/>
                </c:ext>
              </c:extLst>
            </c:dLbl>
            <c:dLbl>
              <c:idx val="5"/>
              <c:delete val="1"/>
              <c:extLst>
                <c:ext xmlns:c15="http://schemas.microsoft.com/office/drawing/2012/chart" uri="{CE6537A1-D6FC-4f65-9D91-7224C49458BB}"/>
                <c:ext xmlns:c16="http://schemas.microsoft.com/office/drawing/2014/chart" uri="{C3380CC4-5D6E-409C-BE32-E72D297353CC}">
                  <c16:uniqueId val="{00000002-C814-47B7-9A52-89857F9D73F7}"/>
                </c:ext>
              </c:extLst>
            </c:dLbl>
            <c:dLbl>
              <c:idx val="7"/>
              <c:delete val="1"/>
              <c:extLst>
                <c:ext xmlns:c15="http://schemas.microsoft.com/office/drawing/2012/chart" uri="{CE6537A1-D6FC-4f65-9D91-7224C49458BB}"/>
                <c:ext xmlns:c16="http://schemas.microsoft.com/office/drawing/2014/chart" uri="{C3380CC4-5D6E-409C-BE32-E72D297353CC}">
                  <c16:uniqueId val="{00000003-C814-47B7-9A52-89857F9D73F7}"/>
                </c:ext>
              </c:extLst>
            </c:dLbl>
            <c:dLbl>
              <c:idx val="9"/>
              <c:delete val="1"/>
              <c:extLst>
                <c:ext xmlns:c15="http://schemas.microsoft.com/office/drawing/2012/chart" uri="{CE6537A1-D6FC-4f65-9D91-7224C49458BB}"/>
                <c:ext xmlns:c16="http://schemas.microsoft.com/office/drawing/2014/chart" uri="{C3380CC4-5D6E-409C-BE32-E72D297353CC}">
                  <c16:uniqueId val="{00000004-C814-47B7-9A52-89857F9D73F7}"/>
                </c:ext>
              </c:extLst>
            </c:dLbl>
            <c:dLbl>
              <c:idx val="11"/>
              <c:delete val="1"/>
              <c:extLst>
                <c:ext xmlns:c15="http://schemas.microsoft.com/office/drawing/2012/chart" uri="{CE6537A1-D6FC-4f65-9D91-7224C49458BB}"/>
                <c:ext xmlns:c16="http://schemas.microsoft.com/office/drawing/2014/chart" uri="{C3380CC4-5D6E-409C-BE32-E72D297353CC}">
                  <c16:uniqueId val="{00000005-C814-47B7-9A52-89857F9D73F7}"/>
                </c:ext>
              </c:extLst>
            </c:dLbl>
            <c:dLbl>
              <c:idx val="13"/>
              <c:delete val="1"/>
              <c:extLst>
                <c:ext xmlns:c15="http://schemas.microsoft.com/office/drawing/2012/chart" uri="{CE6537A1-D6FC-4f65-9D91-7224C49458BB}"/>
                <c:ext xmlns:c16="http://schemas.microsoft.com/office/drawing/2014/chart" uri="{C3380CC4-5D6E-409C-BE32-E72D297353CC}">
                  <c16:uniqueId val="{00000006-C814-47B7-9A52-89857F9D73F7}"/>
                </c:ext>
              </c:extLst>
            </c:dLbl>
            <c:dLbl>
              <c:idx val="15"/>
              <c:delete val="1"/>
              <c:extLst>
                <c:ext xmlns:c15="http://schemas.microsoft.com/office/drawing/2012/chart" uri="{CE6537A1-D6FC-4f65-9D91-7224C49458BB}"/>
                <c:ext xmlns:c16="http://schemas.microsoft.com/office/drawing/2014/chart" uri="{C3380CC4-5D6E-409C-BE32-E72D297353CC}">
                  <c16:uniqueId val="{00000007-C814-47B7-9A52-89857F9D73F7}"/>
                </c:ext>
              </c:extLst>
            </c:dLbl>
            <c:dLbl>
              <c:idx val="17"/>
              <c:delete val="1"/>
              <c:extLst>
                <c:ext xmlns:c15="http://schemas.microsoft.com/office/drawing/2012/chart" uri="{CE6537A1-D6FC-4f65-9D91-7224C49458BB}"/>
                <c:ext xmlns:c16="http://schemas.microsoft.com/office/drawing/2014/chart" uri="{C3380CC4-5D6E-409C-BE32-E72D297353CC}">
                  <c16:uniqueId val="{00000008-C814-47B7-9A52-89857F9D73F7}"/>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'Bgt90-19'!$M$3:$AE$3</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'ICA Ncnl '!$M$11:$AE$11</c:f>
              <c:numCache>
                <c:formatCode>0.00%</c:formatCode>
                <c:ptCount val="19"/>
                <c:pt idx="0">
                  <c:v>2.9617116339286601E-3</c:v>
                </c:pt>
                <c:pt idx="1">
                  <c:v>3.1626298236807899E-3</c:v>
                </c:pt>
                <c:pt idx="2">
                  <c:v>3.1808136324025299E-3</c:v>
                </c:pt>
                <c:pt idx="3">
                  <c:v>3.2647134562194201E-3</c:v>
                </c:pt>
                <c:pt idx="4">
                  <c:v>3.2700358045702998E-3</c:v>
                </c:pt>
                <c:pt idx="5">
                  <c:v>3.4643545172401398E-3</c:v>
                </c:pt>
                <c:pt idx="6">
                  <c:v>3.9076026242165704E-3</c:v>
                </c:pt>
                <c:pt idx="7">
                  <c:v>4.0702995699800999E-3</c:v>
                </c:pt>
                <c:pt idx="8">
                  <c:v>4.1995961620175598E-3</c:v>
                </c:pt>
                <c:pt idx="9">
                  <c:v>4.34702251553944E-3</c:v>
                </c:pt>
                <c:pt idx="10">
                  <c:v>4.4172965302948898E-3</c:v>
                </c:pt>
                <c:pt idx="11">
                  <c:v>4.3474306944309904E-3</c:v>
                </c:pt>
                <c:pt idx="12">
                  <c:v>4.6067060634531797E-3</c:v>
                </c:pt>
                <c:pt idx="13">
                  <c:v>4.7354550817362596E-3</c:v>
                </c:pt>
                <c:pt idx="14">
                  <c:v>4.9737684956960302E-3</c:v>
                </c:pt>
                <c:pt idx="15">
                  <c:v>5.1211309851980297E-3</c:v>
                </c:pt>
                <c:pt idx="16">
                  <c:v>5.0745395069112702E-3</c:v>
                </c:pt>
                <c:pt idx="17">
                  <c:v>5.1636819068852204E-3</c:v>
                </c:pt>
                <c:pt idx="18">
                  <c:v>5.2081837995310897E-3</c:v>
                </c:pt>
              </c:numCache>
            </c:numRef>
          </c:val>
          <c:extLst>
            <c:ext xmlns:c16="http://schemas.microsoft.com/office/drawing/2014/chart" uri="{C3380CC4-5D6E-409C-BE32-E72D297353CC}">
              <c16:uniqueId val="{00000009-C814-47B7-9A52-89857F9D73F7}"/>
            </c:ext>
          </c:extLst>
        </c:ser>
        <c:dLbls>
          <c:showLegendKey val="0"/>
          <c:showVal val="0"/>
          <c:showCatName val="0"/>
          <c:showSerName val="0"/>
          <c:showPercent val="0"/>
          <c:showBubbleSize val="0"/>
        </c:dLbls>
        <c:gapWidth val="219"/>
        <c:axId val="-2094360448"/>
        <c:axId val="-2094890624"/>
      </c:barChart>
      <c:lineChart>
        <c:grouping val="standard"/>
        <c:varyColors val="0"/>
        <c:ser>
          <c:idx val="3"/>
          <c:order val="0"/>
          <c:tx>
            <c:v>ICA </c:v>
          </c:tx>
          <c:spPr>
            <a:ln w="28575" cap="rnd">
              <a:solidFill>
                <a:schemeClr val="accent4"/>
              </a:solidFill>
              <a:round/>
            </a:ln>
            <a:effectLst/>
          </c:spPr>
          <c:marker>
            <c:symbol val="none"/>
          </c:marker>
          <c:dLbls>
            <c:numFmt formatCode="#,##0.00" sourceLinked="0"/>
            <c:spPr>
              <a:noFill/>
              <a:ln>
                <a:noFill/>
              </a:ln>
              <a:effectLst/>
            </c:spPr>
            <c:txPr>
              <a:bodyPr rot="0" spcFirstLastPara="1" vertOverflow="ellipsis" vert="horz" wrap="square" lIns="38100" tIns="19050" rIns="38100" bIns="19050" anchor="b" anchorCtr="0">
                <a:spAutoFit/>
              </a:bodyPr>
              <a:lstStyle/>
              <a:p>
                <a:pPr>
                  <a:defRPr sz="800" b="1" i="0" u="none" strike="noStrike" kern="1200" baseline="0">
                    <a:solidFill>
                      <a:sysClr val="windowText" lastClr="000000"/>
                    </a:solidFill>
                    <a:latin typeface="+mn-lt"/>
                    <a:ea typeface="+mn-ea"/>
                    <a:cs typeface="+mn-cs"/>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'Bgt90-19'!$M$3:$AE$3</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'ICA Ncnl '!$M$8:$AE$8</c:f>
              <c:numCache>
                <c:formatCode>_-* #,##0.00_-;\-* #,##0.00_-;_-* "-"_-;_-@_-</c:formatCode>
                <c:ptCount val="19"/>
                <c:pt idx="0">
                  <c:v>1.3940107904043599</c:v>
                </c:pt>
                <c:pt idx="1">
                  <c:v>1.505370539025126</c:v>
                </c:pt>
                <c:pt idx="2">
                  <c:v>1.5380769917549011</c:v>
                </c:pt>
                <c:pt idx="3">
                  <c:v>1.653695080945075</c:v>
                </c:pt>
                <c:pt idx="4">
                  <c:v>1.7760381054980601</c:v>
                </c:pt>
                <c:pt idx="5">
                  <c:v>1.983556328035444</c:v>
                </c:pt>
                <c:pt idx="6">
                  <c:v>2.4271127980843001</c:v>
                </c:pt>
                <c:pt idx="7">
                  <c:v>2.6900233945588861</c:v>
                </c:pt>
                <c:pt idx="8">
                  <c:v>2.872826209163005</c:v>
                </c:pt>
                <c:pt idx="9">
                  <c:v>3.0793707079951709</c:v>
                </c:pt>
                <c:pt idx="10">
                  <c:v>3.2810843156262131</c:v>
                </c:pt>
                <c:pt idx="11">
                  <c:v>3.56030835541126</c:v>
                </c:pt>
                <c:pt idx="12">
                  <c:v>3.9673417298838878</c:v>
                </c:pt>
                <c:pt idx="13">
                  <c:v>4.2659888844071716</c:v>
                </c:pt>
                <c:pt idx="14">
                  <c:v>4.6169352544291762</c:v>
                </c:pt>
                <c:pt idx="15">
                  <c:v>4.7020131817759916</c:v>
                </c:pt>
                <c:pt idx="16">
                  <c:v>4.732405869107053</c:v>
                </c:pt>
                <c:pt idx="17">
                  <c:v>4.9446378894305418</c:v>
                </c:pt>
                <c:pt idx="18">
                  <c:v>5.1252859753110869</c:v>
                </c:pt>
              </c:numCache>
            </c:numRef>
          </c:val>
          <c:smooth val="0"/>
          <c:extLst>
            <c:ext xmlns:c16="http://schemas.microsoft.com/office/drawing/2014/chart" uri="{C3380CC4-5D6E-409C-BE32-E72D297353CC}">
              <c16:uniqueId val="{0000000A-C814-47B7-9A52-89857F9D73F7}"/>
            </c:ext>
          </c:extLst>
        </c:ser>
        <c:dLbls>
          <c:showLegendKey val="0"/>
          <c:showVal val="0"/>
          <c:showCatName val="0"/>
          <c:showSerName val="0"/>
          <c:showPercent val="0"/>
          <c:showBubbleSize val="0"/>
        </c:dLbls>
        <c:marker val="1"/>
        <c:smooth val="0"/>
        <c:axId val="-2094559776"/>
        <c:axId val="-2094915936"/>
      </c:lineChart>
      <c:catAx>
        <c:axId val="-209455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CO"/>
          </a:p>
        </c:txPr>
        <c:crossAx val="-2094915936"/>
        <c:crossesAt val="0"/>
        <c:auto val="1"/>
        <c:lblAlgn val="ctr"/>
        <c:lblOffset val="100"/>
        <c:noMultiLvlLbl val="0"/>
      </c:catAx>
      <c:valAx>
        <c:axId val="-2094915936"/>
        <c:scaling>
          <c:orientation val="minMax"/>
        </c:scaling>
        <c:delete val="0"/>
        <c:axPos val="l"/>
        <c:numFmt formatCode="#,##0.00"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CO"/>
          </a:p>
        </c:txPr>
        <c:crossAx val="-2094559776"/>
        <c:crosses val="autoZero"/>
        <c:crossBetween val="between"/>
      </c:valAx>
      <c:valAx>
        <c:axId val="-209489062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CO"/>
          </a:p>
        </c:txPr>
        <c:crossAx val="-2094360448"/>
        <c:crosses val="max"/>
        <c:crossBetween val="between"/>
      </c:valAx>
      <c:catAx>
        <c:axId val="-2094360448"/>
        <c:scaling>
          <c:orientation val="minMax"/>
        </c:scaling>
        <c:delete val="1"/>
        <c:axPos val="b"/>
        <c:numFmt formatCode="General" sourceLinked="1"/>
        <c:majorTickMark val="out"/>
        <c:minorTickMark val="none"/>
        <c:tickLblPos val="nextTo"/>
        <c:crossAx val="-209489062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Hoja1!$A$2</c:f>
              <c:strCache>
                <c:ptCount val="1"/>
                <c:pt idx="0">
                  <c:v>VIS</c:v>
                </c:pt>
              </c:strCache>
            </c:strRef>
          </c:tx>
          <c:spPr>
            <a:solidFill>
              <a:schemeClr val="accent1"/>
            </a:solidFill>
            <a:ln>
              <a:noFill/>
            </a:ln>
            <a:effectLst/>
          </c:spPr>
          <c:invertIfNegative val="0"/>
          <c:cat>
            <c:strRef>
              <c:f>Hoja1!$B$1:$D$1</c:f>
              <c:strCache>
                <c:ptCount val="3"/>
                <c:pt idx="0">
                  <c:v>2000-2009</c:v>
                </c:pt>
                <c:pt idx="1">
                  <c:v>2010-2019</c:v>
                </c:pt>
                <c:pt idx="2">
                  <c:v>2020-2029</c:v>
                </c:pt>
              </c:strCache>
            </c:strRef>
          </c:cat>
          <c:val>
            <c:numRef>
              <c:f>Hoja1!$B$2:$D$2</c:f>
              <c:numCache>
                <c:formatCode>_(* #,##0_);_(* \(#,##0\);_(* "-"_);_(@_)</c:formatCode>
                <c:ptCount val="3"/>
                <c:pt idx="0">
                  <c:v>7859364</c:v>
                </c:pt>
                <c:pt idx="1">
                  <c:v>11189227</c:v>
                </c:pt>
                <c:pt idx="2">
                  <c:v>10924011</c:v>
                </c:pt>
              </c:numCache>
            </c:numRef>
          </c:val>
          <c:extLst>
            <c:ext xmlns:c16="http://schemas.microsoft.com/office/drawing/2014/chart" uri="{C3380CC4-5D6E-409C-BE32-E72D297353CC}">
              <c16:uniqueId val="{00000000-51D0-46F9-84D2-2F3BD17D6980}"/>
            </c:ext>
          </c:extLst>
        </c:ser>
        <c:ser>
          <c:idx val="1"/>
          <c:order val="1"/>
          <c:tx>
            <c:strRef>
              <c:f>Hoja1!$A$3</c:f>
              <c:strCache>
                <c:ptCount val="1"/>
                <c:pt idx="0">
                  <c:v>No Vis</c:v>
                </c:pt>
              </c:strCache>
            </c:strRef>
          </c:tx>
          <c:spPr>
            <a:solidFill>
              <a:schemeClr val="accent2"/>
            </a:solidFill>
            <a:ln>
              <a:noFill/>
            </a:ln>
            <a:effectLst/>
          </c:spPr>
          <c:invertIfNegative val="0"/>
          <c:cat>
            <c:strRef>
              <c:f>Hoja1!$B$1:$D$1</c:f>
              <c:strCache>
                <c:ptCount val="3"/>
                <c:pt idx="0">
                  <c:v>2000-2009</c:v>
                </c:pt>
                <c:pt idx="1">
                  <c:v>2010-2019</c:v>
                </c:pt>
                <c:pt idx="2">
                  <c:v>2020-2029</c:v>
                </c:pt>
              </c:strCache>
            </c:strRef>
          </c:cat>
          <c:val>
            <c:numRef>
              <c:f>Hoja1!$B$3:$D$3</c:f>
              <c:numCache>
                <c:formatCode>_(* #,##0_);_(* \(#,##0\);_(* "-"_);_(@_)</c:formatCode>
                <c:ptCount val="3"/>
                <c:pt idx="0">
                  <c:v>23266759</c:v>
                </c:pt>
                <c:pt idx="1">
                  <c:v>24590200</c:v>
                </c:pt>
                <c:pt idx="2">
                  <c:v>22665779</c:v>
                </c:pt>
              </c:numCache>
            </c:numRef>
          </c:val>
          <c:extLst>
            <c:ext xmlns:c16="http://schemas.microsoft.com/office/drawing/2014/chart" uri="{C3380CC4-5D6E-409C-BE32-E72D297353CC}">
              <c16:uniqueId val="{00000001-51D0-46F9-84D2-2F3BD17D6980}"/>
            </c:ext>
          </c:extLst>
        </c:ser>
        <c:ser>
          <c:idx val="2"/>
          <c:order val="2"/>
          <c:tx>
            <c:strRef>
              <c:f>Hoja1!$A$4</c:f>
              <c:strCache>
                <c:ptCount val="1"/>
                <c:pt idx="0">
                  <c:v>Planes parciales No VIS</c:v>
                </c:pt>
              </c:strCache>
            </c:strRef>
          </c:tx>
          <c:spPr>
            <a:solidFill>
              <a:schemeClr val="accent3"/>
            </a:solidFill>
            <a:ln>
              <a:noFill/>
            </a:ln>
            <a:effectLst/>
          </c:spPr>
          <c:invertIfNegative val="0"/>
          <c:cat>
            <c:strRef>
              <c:f>Hoja1!$B$1:$D$1</c:f>
              <c:strCache>
                <c:ptCount val="3"/>
                <c:pt idx="0">
                  <c:v>2000-2009</c:v>
                </c:pt>
                <c:pt idx="1">
                  <c:v>2010-2019</c:v>
                </c:pt>
                <c:pt idx="2">
                  <c:v>2020-2029</c:v>
                </c:pt>
              </c:strCache>
            </c:strRef>
          </c:cat>
          <c:val>
            <c:numRef>
              <c:f>Hoja1!$B$4:$D$4</c:f>
              <c:numCache>
                <c:formatCode>General</c:formatCode>
                <c:ptCount val="3"/>
                <c:pt idx="2" formatCode="_(* #,##0_);_(* \(#,##0\);_(* &quot;-&quot;_);_(@_)">
                  <c:v>3665185</c:v>
                </c:pt>
              </c:numCache>
            </c:numRef>
          </c:val>
          <c:extLst>
            <c:ext xmlns:c16="http://schemas.microsoft.com/office/drawing/2014/chart" uri="{C3380CC4-5D6E-409C-BE32-E72D297353CC}">
              <c16:uniqueId val="{00000002-51D0-46F9-84D2-2F3BD17D6980}"/>
            </c:ext>
          </c:extLst>
        </c:ser>
        <c:ser>
          <c:idx val="3"/>
          <c:order val="3"/>
          <c:tx>
            <c:strRef>
              <c:f>Hoja1!$A$5</c:f>
              <c:strCache>
                <c:ptCount val="1"/>
                <c:pt idx="0">
                  <c:v>Planes parciales VIS</c:v>
                </c:pt>
              </c:strCache>
            </c:strRef>
          </c:tx>
          <c:spPr>
            <a:solidFill>
              <a:schemeClr val="accent4"/>
            </a:solidFill>
            <a:ln>
              <a:noFill/>
            </a:ln>
            <a:effectLst/>
          </c:spPr>
          <c:invertIfNegative val="0"/>
          <c:cat>
            <c:strRef>
              <c:f>Hoja1!$B$1:$D$1</c:f>
              <c:strCache>
                <c:ptCount val="3"/>
                <c:pt idx="0">
                  <c:v>2000-2009</c:v>
                </c:pt>
                <c:pt idx="1">
                  <c:v>2010-2019</c:v>
                </c:pt>
                <c:pt idx="2">
                  <c:v>2020-2029</c:v>
                </c:pt>
              </c:strCache>
            </c:strRef>
          </c:cat>
          <c:val>
            <c:numRef>
              <c:f>Hoja1!$B$5:$D$5</c:f>
              <c:numCache>
                <c:formatCode>General</c:formatCode>
                <c:ptCount val="3"/>
                <c:pt idx="2" formatCode="_(* #,##0_);_(* \(#,##0\);_(* &quot;-&quot;_);_(@_)">
                  <c:v>2096622</c:v>
                </c:pt>
              </c:numCache>
            </c:numRef>
          </c:val>
          <c:extLst>
            <c:ext xmlns:c16="http://schemas.microsoft.com/office/drawing/2014/chart" uri="{C3380CC4-5D6E-409C-BE32-E72D297353CC}">
              <c16:uniqueId val="{00000003-51D0-46F9-84D2-2F3BD17D6980}"/>
            </c:ext>
          </c:extLst>
        </c:ser>
        <c:ser>
          <c:idx val="4"/>
          <c:order val="4"/>
          <c:tx>
            <c:strRef>
              <c:f>Hoja1!$A$6</c:f>
              <c:strCache>
                <c:ptCount val="1"/>
                <c:pt idx="0">
                  <c:v>Lagos de Torca No VIS</c:v>
                </c:pt>
              </c:strCache>
            </c:strRef>
          </c:tx>
          <c:spPr>
            <a:solidFill>
              <a:schemeClr val="accent5"/>
            </a:solidFill>
            <a:ln>
              <a:noFill/>
            </a:ln>
            <a:effectLst/>
          </c:spPr>
          <c:invertIfNegative val="0"/>
          <c:cat>
            <c:strRef>
              <c:f>Hoja1!$B$1:$D$1</c:f>
              <c:strCache>
                <c:ptCount val="3"/>
                <c:pt idx="0">
                  <c:v>2000-2009</c:v>
                </c:pt>
                <c:pt idx="1">
                  <c:v>2010-2019</c:v>
                </c:pt>
                <c:pt idx="2">
                  <c:v>2020-2029</c:v>
                </c:pt>
              </c:strCache>
            </c:strRef>
          </c:cat>
          <c:val>
            <c:numRef>
              <c:f>Hoja1!$B$6:$D$6</c:f>
              <c:numCache>
                <c:formatCode>General</c:formatCode>
                <c:ptCount val="3"/>
                <c:pt idx="2" formatCode="_(* #,##0_);_(* \(#,##0\);_(* &quot;-&quot;_);_(@_)">
                  <c:v>5233287</c:v>
                </c:pt>
              </c:numCache>
            </c:numRef>
          </c:val>
          <c:extLst>
            <c:ext xmlns:c16="http://schemas.microsoft.com/office/drawing/2014/chart" uri="{C3380CC4-5D6E-409C-BE32-E72D297353CC}">
              <c16:uniqueId val="{00000004-51D0-46F9-84D2-2F3BD17D6980}"/>
            </c:ext>
          </c:extLst>
        </c:ser>
        <c:ser>
          <c:idx val="5"/>
          <c:order val="5"/>
          <c:tx>
            <c:strRef>
              <c:f>Hoja1!$A$7</c:f>
              <c:strCache>
                <c:ptCount val="1"/>
                <c:pt idx="0">
                  <c:v>Lagos de Torca VIS</c:v>
                </c:pt>
              </c:strCache>
            </c:strRef>
          </c:tx>
          <c:spPr>
            <a:solidFill>
              <a:schemeClr val="accent6"/>
            </a:solidFill>
            <a:ln>
              <a:noFill/>
            </a:ln>
            <a:effectLst/>
          </c:spPr>
          <c:invertIfNegative val="0"/>
          <c:cat>
            <c:strRef>
              <c:f>Hoja1!$B$1:$D$1</c:f>
              <c:strCache>
                <c:ptCount val="3"/>
                <c:pt idx="0">
                  <c:v>2000-2009</c:v>
                </c:pt>
                <c:pt idx="1">
                  <c:v>2010-2019</c:v>
                </c:pt>
                <c:pt idx="2">
                  <c:v>2020-2029</c:v>
                </c:pt>
              </c:strCache>
            </c:strRef>
          </c:cat>
          <c:val>
            <c:numRef>
              <c:f>Hoja1!$B$7:$D$7</c:f>
              <c:numCache>
                <c:formatCode>General</c:formatCode>
                <c:ptCount val="3"/>
                <c:pt idx="2" formatCode="_(* #,##0_);_(* \(#,##0\);_(* &quot;-&quot;_);_(@_)">
                  <c:v>2196703</c:v>
                </c:pt>
              </c:numCache>
            </c:numRef>
          </c:val>
          <c:extLst>
            <c:ext xmlns:c16="http://schemas.microsoft.com/office/drawing/2014/chart" uri="{C3380CC4-5D6E-409C-BE32-E72D297353CC}">
              <c16:uniqueId val="{00000005-51D0-46F9-84D2-2F3BD17D6980}"/>
            </c:ext>
          </c:extLst>
        </c:ser>
        <c:dLbls>
          <c:showLegendKey val="0"/>
          <c:showVal val="0"/>
          <c:showCatName val="0"/>
          <c:showSerName val="0"/>
          <c:showPercent val="0"/>
          <c:showBubbleSize val="0"/>
        </c:dLbls>
        <c:gapWidth val="150"/>
        <c:overlap val="100"/>
        <c:axId val="-2094044848"/>
        <c:axId val="-2094043440"/>
      </c:barChart>
      <c:catAx>
        <c:axId val="-209404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94043440"/>
        <c:crosses val="autoZero"/>
        <c:auto val="1"/>
        <c:lblAlgn val="ctr"/>
        <c:lblOffset val="100"/>
        <c:noMultiLvlLbl val="0"/>
      </c:catAx>
      <c:valAx>
        <c:axId val="-2094043440"/>
        <c:scaling>
          <c:orientation val="minMax"/>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9404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B1FDDC6CEBA24EBA179CD8DD1F164B" ma:contentTypeVersion="11" ma:contentTypeDescription="Crear nuevo documento." ma:contentTypeScope="" ma:versionID="37cd8209f499ac1ded662ebd7cd52dd3">
  <xsd:schema xmlns:xsd="http://www.w3.org/2001/XMLSchema" xmlns:xs="http://www.w3.org/2001/XMLSchema" xmlns:p="http://schemas.microsoft.com/office/2006/metadata/properties" xmlns:ns3="126d94f6-108b-4c72-a5a9-ae3218e71a8b" xmlns:ns4="5071727f-06dc-4116-a8bc-a959dd566972" targetNamespace="http://schemas.microsoft.com/office/2006/metadata/properties" ma:root="true" ma:fieldsID="e2ab5e9631542c60e86f64544127cf32" ns3:_="" ns4:_="">
    <xsd:import namespace="126d94f6-108b-4c72-a5a9-ae3218e71a8b"/>
    <xsd:import namespace="5071727f-06dc-4116-a8bc-a959dd566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94f6-108b-4c72-a5a9-ae3218e71a8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1727f-06dc-4116-a8bc-a959dd5669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E6ED6-36A6-43C1-9896-E508CF729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94f6-108b-4c72-a5a9-ae3218e71a8b"/>
    <ds:schemaRef ds:uri="5071727f-06dc-4116-a8bc-a959dd566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B4B2D-0E41-4071-93E5-CDECD853F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03B104-42D9-4E68-94E4-7116457ADFBE}">
  <ds:schemaRefs>
    <ds:schemaRef ds:uri="http://schemas.microsoft.com/sharepoint/v3/contenttype/forms"/>
  </ds:schemaRefs>
</ds:datastoreItem>
</file>

<file path=customXml/itemProps4.xml><?xml version="1.0" encoding="utf-8"?>
<ds:datastoreItem xmlns:ds="http://schemas.openxmlformats.org/officeDocument/2006/customXml" ds:itemID="{BBE940A9-E7FB-4ABA-85E8-19BAEEEF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12100</Words>
  <Characters>66553</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Modelo plantilla SDH - Julio 2012</vt:lpstr>
    </vt:vector>
  </TitlesOfParts>
  <Company>LG  Electronics Inc.</Company>
  <LinksUpToDate>false</LinksUpToDate>
  <CharactersWithSpaces>78497</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Juan Guillermo Acosta Rada</dc:creator>
  <cp:keywords>Plantillas</cp:keywords>
  <dc:description/>
  <cp:lastModifiedBy>JOHANNA MARCELA CUELLAR BAEZ</cp:lastModifiedBy>
  <cp:revision>3</cp:revision>
  <cp:lastPrinted>2009-09-01T20:25:00Z</cp:lastPrinted>
  <dcterms:created xsi:type="dcterms:W3CDTF">2019-09-10T21:36:00Z</dcterms:created>
  <dcterms:modified xsi:type="dcterms:W3CDTF">2019-09-16T20:51:00Z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0x0101004CB1FDDC6CEBA24EBA179CD8DD1F164B</vt:lpwstr>
  </property>
</Properties>
</file>