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69E2B" w14:textId="77777777" w:rsidR="007F00D4" w:rsidRPr="0076381E" w:rsidRDefault="007F00D4" w:rsidP="009267BA">
      <w:pPr>
        <w:jc w:val="both"/>
        <w:rPr>
          <w:rFonts w:cs="Arial"/>
          <w:b/>
          <w:iCs/>
          <w:sz w:val="22"/>
          <w:szCs w:val="22"/>
        </w:rPr>
      </w:pPr>
    </w:p>
    <w:p w14:paraId="2F7776DE" w14:textId="2D05C1C0" w:rsidR="00E47E2C" w:rsidRPr="0076381E" w:rsidRDefault="00E47E2C" w:rsidP="009267BA">
      <w:pPr>
        <w:jc w:val="center"/>
        <w:rPr>
          <w:rFonts w:cs="Arial"/>
          <w:b/>
          <w:iCs/>
          <w:szCs w:val="22"/>
        </w:rPr>
      </w:pPr>
      <w:r w:rsidRPr="0076381E">
        <w:rPr>
          <w:rFonts w:cs="Arial"/>
          <w:b/>
          <w:iCs/>
          <w:szCs w:val="22"/>
        </w:rPr>
        <w:t>TEXTO DEFINITIVO APROBADO EN LA SESIÓN DE LA COMISIÓN TERCERA PERMANENTE DE HACIENDA Y CRÉDITO PÚBLICO</w:t>
      </w:r>
    </w:p>
    <w:p w14:paraId="1517FD51" w14:textId="05CE3A0E" w:rsidR="00E47E2C" w:rsidRPr="0076381E" w:rsidRDefault="00E47E2C" w:rsidP="009267BA">
      <w:pPr>
        <w:jc w:val="center"/>
        <w:rPr>
          <w:rFonts w:cs="Arial"/>
          <w:b/>
          <w:iCs/>
          <w:szCs w:val="22"/>
        </w:rPr>
      </w:pPr>
      <w:r w:rsidRPr="0076381E">
        <w:rPr>
          <w:rFonts w:cs="Arial"/>
          <w:b/>
          <w:iCs/>
          <w:szCs w:val="22"/>
        </w:rPr>
        <w:t xml:space="preserve">REALIZADA EL DÍA </w:t>
      </w:r>
      <w:r w:rsidR="009267BA" w:rsidRPr="0076381E">
        <w:rPr>
          <w:rFonts w:cs="Arial"/>
          <w:b/>
          <w:iCs/>
          <w:szCs w:val="22"/>
        </w:rPr>
        <w:t>VIERNES</w:t>
      </w:r>
      <w:r w:rsidR="00F33E5E" w:rsidRPr="0076381E">
        <w:rPr>
          <w:rFonts w:cs="Arial"/>
          <w:b/>
          <w:iCs/>
          <w:szCs w:val="22"/>
        </w:rPr>
        <w:t xml:space="preserve"> </w:t>
      </w:r>
      <w:r w:rsidR="00217ED6" w:rsidRPr="0076381E">
        <w:rPr>
          <w:rFonts w:cs="Arial"/>
          <w:b/>
          <w:iCs/>
          <w:szCs w:val="22"/>
        </w:rPr>
        <w:t>0</w:t>
      </w:r>
      <w:r w:rsidR="009267BA" w:rsidRPr="0076381E">
        <w:rPr>
          <w:rFonts w:cs="Arial"/>
          <w:b/>
          <w:iCs/>
          <w:szCs w:val="22"/>
        </w:rPr>
        <w:t>6</w:t>
      </w:r>
      <w:r w:rsidR="00F33E5E" w:rsidRPr="0076381E">
        <w:rPr>
          <w:rFonts w:cs="Arial"/>
          <w:b/>
          <w:iCs/>
          <w:szCs w:val="22"/>
        </w:rPr>
        <w:t xml:space="preserve"> </w:t>
      </w:r>
      <w:r w:rsidR="00A87820" w:rsidRPr="0076381E">
        <w:rPr>
          <w:rFonts w:cs="Arial"/>
          <w:b/>
          <w:iCs/>
          <w:szCs w:val="22"/>
        </w:rPr>
        <w:t xml:space="preserve">SEPTIEMBRE </w:t>
      </w:r>
      <w:r w:rsidRPr="0076381E">
        <w:rPr>
          <w:rFonts w:cs="Arial"/>
          <w:b/>
          <w:iCs/>
          <w:szCs w:val="22"/>
        </w:rPr>
        <w:t>DE 202</w:t>
      </w:r>
      <w:r w:rsidR="00217ED6" w:rsidRPr="0076381E">
        <w:rPr>
          <w:rFonts w:cs="Arial"/>
          <w:b/>
          <w:iCs/>
          <w:szCs w:val="22"/>
        </w:rPr>
        <w:t>4</w:t>
      </w:r>
    </w:p>
    <w:p w14:paraId="545DB7A9" w14:textId="77777777" w:rsidR="00E47E2C" w:rsidRPr="0076381E" w:rsidRDefault="00E47E2C" w:rsidP="009267BA">
      <w:pPr>
        <w:tabs>
          <w:tab w:val="left" w:pos="3119"/>
        </w:tabs>
        <w:jc w:val="center"/>
        <w:rPr>
          <w:rFonts w:eastAsia="Arial" w:cs="Arial"/>
          <w:b/>
          <w:sz w:val="22"/>
          <w:szCs w:val="22"/>
          <w:lang w:val="es-CO"/>
        </w:rPr>
      </w:pPr>
    </w:p>
    <w:p w14:paraId="18354446" w14:textId="77777777" w:rsidR="00E47E2C" w:rsidRPr="0076381E" w:rsidRDefault="00E47E2C" w:rsidP="009267BA">
      <w:pPr>
        <w:tabs>
          <w:tab w:val="left" w:pos="3119"/>
        </w:tabs>
        <w:jc w:val="center"/>
        <w:rPr>
          <w:rFonts w:eastAsia="Arial" w:cs="Arial"/>
          <w:b/>
          <w:sz w:val="22"/>
          <w:szCs w:val="22"/>
          <w:lang w:val="es-CO"/>
        </w:rPr>
      </w:pPr>
    </w:p>
    <w:p w14:paraId="7F2CE60A" w14:textId="05E63269" w:rsidR="00F33E5E" w:rsidRPr="0076381E" w:rsidRDefault="00F33E5E" w:rsidP="00582E67">
      <w:pPr>
        <w:pStyle w:val="Ttulo1"/>
        <w:ind w:left="919" w:right="576"/>
        <w:rPr>
          <w:rFonts w:ascii="Arial" w:hAnsi="Arial" w:cs="Arial"/>
          <w:b/>
          <w:sz w:val="22"/>
          <w:szCs w:val="22"/>
        </w:rPr>
      </w:pPr>
      <w:r w:rsidRPr="0076381E">
        <w:rPr>
          <w:rFonts w:ascii="Arial" w:hAnsi="Arial" w:cs="Arial"/>
          <w:b/>
          <w:sz w:val="22"/>
          <w:szCs w:val="22"/>
        </w:rPr>
        <w:t xml:space="preserve">PROYECTO DE ACUERDO </w:t>
      </w:r>
      <w:r w:rsidR="009267BA" w:rsidRPr="0076381E">
        <w:rPr>
          <w:rFonts w:ascii="Arial" w:hAnsi="Arial" w:cs="Arial"/>
          <w:b/>
          <w:sz w:val="22"/>
          <w:szCs w:val="22"/>
        </w:rPr>
        <w:t>5</w:t>
      </w:r>
      <w:r w:rsidR="00582E67">
        <w:rPr>
          <w:rFonts w:ascii="Arial" w:hAnsi="Arial" w:cs="Arial"/>
          <w:b/>
          <w:sz w:val="22"/>
          <w:szCs w:val="22"/>
        </w:rPr>
        <w:t>77</w:t>
      </w:r>
      <w:r w:rsidRPr="0076381E">
        <w:rPr>
          <w:rFonts w:ascii="Arial" w:hAnsi="Arial" w:cs="Arial"/>
          <w:b/>
          <w:sz w:val="22"/>
          <w:szCs w:val="22"/>
        </w:rPr>
        <w:t xml:space="preserve"> DE 202</w:t>
      </w:r>
      <w:r w:rsidR="00217ED6" w:rsidRPr="0076381E">
        <w:rPr>
          <w:rFonts w:ascii="Arial" w:hAnsi="Arial" w:cs="Arial"/>
          <w:b/>
          <w:sz w:val="22"/>
          <w:szCs w:val="22"/>
        </w:rPr>
        <w:t>4</w:t>
      </w:r>
    </w:p>
    <w:p w14:paraId="0BBAA64F" w14:textId="4368405E" w:rsidR="007F00D4" w:rsidRPr="0076381E" w:rsidRDefault="007F00D4" w:rsidP="009267BA">
      <w:pPr>
        <w:jc w:val="center"/>
        <w:rPr>
          <w:rFonts w:cs="Arial"/>
          <w:sz w:val="22"/>
          <w:szCs w:val="22"/>
          <w:lang w:val="es-MX"/>
        </w:rPr>
      </w:pPr>
    </w:p>
    <w:p w14:paraId="46F6AB53" w14:textId="77777777" w:rsidR="001037CD" w:rsidRPr="0076381E" w:rsidRDefault="001037CD" w:rsidP="009267BA">
      <w:pPr>
        <w:pStyle w:val="Default"/>
        <w:jc w:val="center"/>
        <w:rPr>
          <w:sz w:val="22"/>
          <w:szCs w:val="22"/>
        </w:rPr>
      </w:pPr>
    </w:p>
    <w:p w14:paraId="6948543E" w14:textId="2465DE57" w:rsidR="00704D61" w:rsidRPr="0076381E" w:rsidRDefault="00582E67" w:rsidP="00582E67">
      <w:pPr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>
        <w:rPr>
          <w:rFonts w:ascii="Arial-BoldItalicMT" w:hAnsi="Arial-BoldItalicMT" w:cs="Arial-BoldItalicMT"/>
          <w:b/>
          <w:bCs/>
          <w:i/>
          <w:iCs/>
          <w:color w:val="auto"/>
          <w:szCs w:val="24"/>
          <w:lang w:val="es-CO" w:eastAsia="es-CO"/>
        </w:rPr>
        <w:t>“</w:t>
      </w:r>
      <w:r w:rsidRPr="00582E67">
        <w:rPr>
          <w:rFonts w:ascii="Arial-BoldItalicMT" w:hAnsi="Arial-BoldItalicMT" w:cs="Arial-BoldItalicMT"/>
          <w:b/>
          <w:bCs/>
          <w:iCs/>
          <w:color w:val="auto"/>
          <w:szCs w:val="24"/>
          <w:lang w:val="es-CO" w:eastAsia="es-CO"/>
        </w:rPr>
        <w:t xml:space="preserve">POR MEDIO DEL CUAL SE PROMUEVE Y RECONOCE EL EMPRENDIMIENTO SOCIAL EN </w:t>
      </w:r>
      <w:r w:rsidRPr="00582E67">
        <w:rPr>
          <w:rFonts w:ascii="Arial-BoldItalicMT" w:hAnsi="Arial-BoldItalicMT" w:cs="Arial-BoldItalicMT"/>
          <w:b/>
          <w:bCs/>
          <w:iCs/>
          <w:color w:val="auto"/>
        </w:rPr>
        <w:t>BOGOTÁ D.C Y SE DICTAN OTRAS DISPOSICIONES</w:t>
      </w:r>
      <w:r w:rsidRPr="0076381E">
        <w:rPr>
          <w:b/>
          <w:bCs/>
          <w:iCs/>
          <w:sz w:val="22"/>
          <w:szCs w:val="22"/>
        </w:rPr>
        <w:t>”</w:t>
      </w:r>
    </w:p>
    <w:p w14:paraId="29B64F89" w14:textId="77777777" w:rsidR="001037CD" w:rsidRPr="0076381E" w:rsidRDefault="001037CD" w:rsidP="009267BA">
      <w:pPr>
        <w:pStyle w:val="Default"/>
        <w:jc w:val="center"/>
        <w:rPr>
          <w:sz w:val="22"/>
          <w:szCs w:val="22"/>
        </w:rPr>
      </w:pPr>
    </w:p>
    <w:p w14:paraId="1B8E5C2F" w14:textId="1E6B8C1F" w:rsidR="001037CD" w:rsidRPr="0076381E" w:rsidRDefault="001037CD" w:rsidP="009267BA">
      <w:pPr>
        <w:pStyle w:val="Default"/>
        <w:jc w:val="center"/>
        <w:rPr>
          <w:sz w:val="22"/>
          <w:szCs w:val="22"/>
        </w:rPr>
      </w:pPr>
      <w:r w:rsidRPr="0076381E">
        <w:rPr>
          <w:sz w:val="22"/>
          <w:szCs w:val="22"/>
        </w:rPr>
        <w:t>EL CONCEJO DE BOGOTÁ D.C.,</w:t>
      </w:r>
    </w:p>
    <w:p w14:paraId="1EEB436D" w14:textId="77777777" w:rsidR="001037CD" w:rsidRPr="0076381E" w:rsidRDefault="001037CD" w:rsidP="009267BA">
      <w:pPr>
        <w:pStyle w:val="Default"/>
        <w:jc w:val="center"/>
        <w:rPr>
          <w:sz w:val="22"/>
          <w:szCs w:val="22"/>
        </w:rPr>
      </w:pPr>
    </w:p>
    <w:p w14:paraId="7B65E249" w14:textId="39568B2D" w:rsidR="00704D61" w:rsidRDefault="00582E67" w:rsidP="00582E67">
      <w:pPr>
        <w:pStyle w:val="Default"/>
        <w:jc w:val="center"/>
        <w:rPr>
          <w:sz w:val="22"/>
          <w:szCs w:val="22"/>
          <w:lang w:val="es-ES"/>
        </w:rPr>
      </w:pPr>
      <w:r w:rsidRPr="00582E67">
        <w:rPr>
          <w:sz w:val="22"/>
          <w:szCs w:val="22"/>
          <w:lang w:val="es-ES"/>
        </w:rPr>
        <w:t>En ejercicio de sus atribuciones Constitucionales y Legales, en especial las</w:t>
      </w:r>
      <w:r>
        <w:rPr>
          <w:sz w:val="22"/>
          <w:szCs w:val="22"/>
          <w:lang w:val="es-ES"/>
        </w:rPr>
        <w:t xml:space="preserve"> </w:t>
      </w:r>
      <w:r w:rsidRPr="00582E67">
        <w:rPr>
          <w:sz w:val="22"/>
          <w:szCs w:val="22"/>
          <w:lang w:val="es-ES"/>
        </w:rPr>
        <w:t>conferidas por el numeral 1, del artículo 12 del Decreto Ley 1421 de 1993,</w:t>
      </w:r>
    </w:p>
    <w:p w14:paraId="482620ED" w14:textId="77777777" w:rsidR="00582E67" w:rsidRPr="00582E67" w:rsidRDefault="00582E67" w:rsidP="00582E67">
      <w:pPr>
        <w:pStyle w:val="Default"/>
        <w:jc w:val="center"/>
        <w:rPr>
          <w:bCs/>
          <w:sz w:val="22"/>
          <w:szCs w:val="22"/>
        </w:rPr>
      </w:pPr>
    </w:p>
    <w:p w14:paraId="40FA999C" w14:textId="09902EF3" w:rsidR="001037CD" w:rsidRPr="00582E67" w:rsidRDefault="001037CD" w:rsidP="009267BA">
      <w:pPr>
        <w:pStyle w:val="Default"/>
        <w:jc w:val="center"/>
        <w:rPr>
          <w:bCs/>
          <w:sz w:val="22"/>
          <w:szCs w:val="22"/>
        </w:rPr>
      </w:pPr>
      <w:r w:rsidRPr="00582E67">
        <w:rPr>
          <w:bCs/>
          <w:sz w:val="22"/>
          <w:szCs w:val="22"/>
        </w:rPr>
        <w:t>ACUERDA:</w:t>
      </w:r>
    </w:p>
    <w:p w14:paraId="31100BB1" w14:textId="561D2786" w:rsidR="00704D61" w:rsidRPr="0076381E" w:rsidRDefault="00704D61" w:rsidP="009267BA">
      <w:pPr>
        <w:pStyle w:val="Default"/>
        <w:jc w:val="both"/>
        <w:rPr>
          <w:sz w:val="22"/>
          <w:szCs w:val="22"/>
        </w:rPr>
      </w:pPr>
    </w:p>
    <w:p w14:paraId="641ACCC9" w14:textId="11C01F75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Artículo 1. Objeto. </w:t>
      </w:r>
      <w:r>
        <w:rPr>
          <w:rFonts w:ascii="ArialMT" w:hAnsi="ArialMT" w:cs="ArialMT"/>
          <w:color w:val="auto"/>
          <w:szCs w:val="24"/>
          <w:lang w:val="es-CO" w:eastAsia="es-CO"/>
        </w:rPr>
        <w:t>El presente acu</w:t>
      </w:r>
      <w:bookmarkStart w:id="0" w:name="_GoBack"/>
      <w:bookmarkEnd w:id="0"/>
      <w:r>
        <w:rPr>
          <w:rFonts w:ascii="ArialMT" w:hAnsi="ArialMT" w:cs="ArialMT"/>
          <w:color w:val="auto"/>
          <w:szCs w:val="24"/>
          <w:lang w:val="es-CO" w:eastAsia="es-CO"/>
        </w:rPr>
        <w:t>erdo tiene como objeto reconocer y promover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ecosistema para el desarrollo de los emprendimientos sociales en el Distrito Capital,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conforme a lo planteado en la legislación, a partir de una mayor incidencia por parte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de la Administración Distrital en la formulación de iniciativas que promulguen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creación, incubación y aceleración de los emprendimientos sociales, persiguiendo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una articulación constante entre todas las entidades públicas y privadas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competentes, propendiendo a desarrollar economías más sostenibles.</w:t>
      </w:r>
    </w:p>
    <w:p w14:paraId="12839610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7DCA9D14" w14:textId="7245194F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Artículo 2. Definiciones. </w:t>
      </w:r>
      <w:r>
        <w:rPr>
          <w:rFonts w:ascii="ArialMT" w:hAnsi="ArialMT" w:cs="ArialMT"/>
          <w:color w:val="auto"/>
          <w:szCs w:val="24"/>
          <w:lang w:val="es-CO" w:eastAsia="es-CO"/>
        </w:rPr>
        <w:t>De conformidad con lo dispuesto en el artículo 3 de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Ley 2234 de 2022 “Por la cual se Promueve la Política de Emprendimiento Social”,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se presentan las siguientes definiciones:</w:t>
      </w:r>
    </w:p>
    <w:p w14:paraId="63348E54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53A66B4A" w14:textId="0F523412" w:rsidR="009267BA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>A. Emprendimiento Social</w:t>
      </w:r>
      <w:r>
        <w:rPr>
          <w:rFonts w:ascii="ArialMT" w:hAnsi="ArialMT" w:cs="ArialMT"/>
          <w:color w:val="auto"/>
          <w:szCs w:val="24"/>
          <w:lang w:val="es-CO" w:eastAsia="es-CO"/>
        </w:rPr>
        <w:t>. Es una clase de emprendimiento adelantado por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personas naturales o jurídicas con o sin ánimo de lucro que mediante 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empleo de técnicas empresariales y de mercado, busca solucionar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problemáticas, así como atender y/o fortalecer procesos que afectan diversos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ámbitos de las comunidades, beneficiando principalmente, aunque no de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manera exclusiva a comunidades y/o poblaciones en condición de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vulnerabilidad. El Emprendimiento Social contribuye al desarrollo sostenible,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al fortalecimiento económico de las comunidades, a la generación de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oportunidades, así como a la creación de valor económico y/o social y al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crecimiento económico sostenible, en muchos casos mediando para ello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innovación.</w:t>
      </w:r>
    </w:p>
    <w:p w14:paraId="5FA4436B" w14:textId="5BC008D5" w:rsidR="00582E67" w:rsidRDefault="00582E67" w:rsidP="00582E6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11FAC04" w14:textId="0C96F400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lastRenderedPageBreak/>
        <w:t xml:space="preserve">B. Valor Social. </w:t>
      </w:r>
      <w:r>
        <w:rPr>
          <w:rFonts w:ascii="ArialMT" w:hAnsi="ArialMT" w:cs="ArialMT"/>
          <w:color w:val="auto"/>
          <w:szCs w:val="24"/>
          <w:lang w:val="es-CO" w:eastAsia="es-CO"/>
        </w:rPr>
        <w:t>Es un valor agregado para la sociedad en su conjunto y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entorno, resultante de una actividad encaminada a resolver problemáticas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sociales, y fortalecer procesos que afectan diversos ámbitos de las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comunidades a través de nuevos modos de relación social involucrando a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comunidad beneficiada. El valor social generado en el marco del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Emprendimiento Social, fortalece las condiciones de las comunidades,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contribuye a la resolver problemáticas sociales, económicas y ambientales,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a la vez que fortalece el desarrollo local. También se entenderá como 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resultado generado cuando los recursos, procesos y políticas se combinan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para generar mejoras en la vida de las personas o de la sociedad en su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conjunto.</w:t>
      </w:r>
    </w:p>
    <w:p w14:paraId="161B5FDF" w14:textId="3339A682" w:rsidR="00582E67" w:rsidRDefault="00582E67" w:rsidP="00582E6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CA80AF4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C. Innovación social. </w:t>
      </w:r>
      <w:r>
        <w:rPr>
          <w:rFonts w:ascii="ArialMT" w:hAnsi="ArialMT" w:cs="ArialMT"/>
          <w:color w:val="auto"/>
          <w:szCs w:val="24"/>
          <w:lang w:val="es-CO" w:eastAsia="es-CO"/>
        </w:rPr>
        <w:t>Es el proceso a través del cual se crea valor para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sociedad mediante prácticas, modelos de gestión, productos o servicios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novedosos que satisfacen una necesidad, aprovechan una oportunidad y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resuelven un problema social de forma más eficiente y eficaz que las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soluciones existentes, produciendo un cambio favorable en el sistema en 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cual opera. La Innovación Social se caracteriza por tener potencial de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escalabilidad, replicabilidad, ser sostenible, sustentable, promover mayores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niveles de empoderamiento de la comunidad, generar alianzas entre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diferentes actores de la sociedad y aportar al desarrollo sostenible.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</w:p>
    <w:p w14:paraId="07A79E4D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</w:pPr>
    </w:p>
    <w:p w14:paraId="26DFE444" w14:textId="6F5FD023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D. Valor compartido. </w:t>
      </w:r>
      <w:r>
        <w:rPr>
          <w:rFonts w:ascii="ArialMT" w:hAnsi="ArialMT" w:cs="ArialMT"/>
          <w:color w:val="auto"/>
          <w:szCs w:val="24"/>
          <w:lang w:val="es-CO" w:eastAsia="es-CO"/>
        </w:rPr>
        <w:t>Son prácticas que desde una perspectiva de equidad y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responsabilidad conjunta aumentan la competitividad, a la vez que buscan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obtención de impactos positivos en las condiciones sociales, ambientales y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económicas de las comunidades en las que opera. Así, la generación de valor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económico empresarial está estrechamente relacionada con la creación de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valor para la sociedad.</w:t>
      </w:r>
    </w:p>
    <w:p w14:paraId="49C0CFAB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68CD2D11" w14:textId="32B2AF76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E. Comercio justo. </w:t>
      </w:r>
      <w:r>
        <w:rPr>
          <w:rFonts w:ascii="ArialMT" w:hAnsi="ArialMT" w:cs="ArialMT"/>
          <w:color w:val="auto"/>
          <w:szCs w:val="24"/>
          <w:lang w:val="es-CO" w:eastAsia="es-CO"/>
        </w:rPr>
        <w:t>Es la relación comercial basada en el diálogo,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transparencia y el respeto que busca mayor equidad en el comercio.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Contribuye al desarrollo sostenible ofreciendo mejores condiciones en 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comercio y garantiza los derechos de la </w:t>
      </w:r>
      <w:r w:rsidRPr="000E4E8A">
        <w:rPr>
          <w:rFonts w:ascii="ArialMT" w:hAnsi="ArialMT" w:cs="ArialMT"/>
          <w:color w:val="auto"/>
          <w:szCs w:val="24"/>
          <w:lang w:val="es-CO" w:eastAsia="es-CO"/>
        </w:rPr>
        <w:t>población de que trata la presente</w:t>
      </w:r>
      <w:r w:rsidRPr="000E4E8A"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 w:rsidRPr="000E4E8A">
        <w:rPr>
          <w:rFonts w:ascii="ArialMT" w:hAnsi="ArialMT" w:cs="ArialMT"/>
          <w:color w:val="auto"/>
          <w:szCs w:val="24"/>
          <w:lang w:val="es-CO" w:eastAsia="es-CO"/>
        </w:rPr>
        <w:t>Ley, a la eliminación de desigualdades e inequidades en la relación</w:t>
      </w:r>
      <w:r w:rsidRPr="000E4E8A"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 w:rsidRPr="000E4E8A">
        <w:rPr>
          <w:rFonts w:ascii="ArialMT" w:hAnsi="ArialMT" w:cs="ArialMT"/>
          <w:color w:val="auto"/>
          <w:szCs w:val="24"/>
          <w:lang w:val="es-CO" w:eastAsia="es-CO"/>
        </w:rPr>
        <w:t xml:space="preserve">comercial, y a asegurar </w:t>
      </w:r>
      <w:r>
        <w:rPr>
          <w:rFonts w:ascii="ArialMT" w:hAnsi="ArialMT" w:cs="ArialMT"/>
          <w:color w:val="auto"/>
          <w:szCs w:val="24"/>
          <w:lang w:val="es-CO" w:eastAsia="es-CO"/>
        </w:rPr>
        <w:t>los derechos de productores/as y trabajadores/as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desfavorecidos.</w:t>
      </w:r>
    </w:p>
    <w:p w14:paraId="0C020DA0" w14:textId="45D158BD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73FF9627" w14:textId="40BE00A6" w:rsidR="00582E67" w:rsidRDefault="00582E67" w:rsidP="000E4E8A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F. Comercio sostenible. </w:t>
      </w:r>
      <w:r>
        <w:rPr>
          <w:rFonts w:ascii="ArialMT" w:hAnsi="ArialMT" w:cs="ArialMT"/>
          <w:color w:val="auto"/>
          <w:szCs w:val="24"/>
          <w:lang w:val="es-CO" w:eastAsia="es-CO"/>
        </w:rPr>
        <w:t>Se trata de un intercambio comercial que teniendo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como base una relación de equidad entre los actores que en él intervienen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genera ventajas sociales, económicas y ambientales sostenibles en el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tiempo, a la vez que aporta al desarrollo sostenible.</w:t>
      </w:r>
    </w:p>
    <w:p w14:paraId="542BAF94" w14:textId="77777777" w:rsidR="00582E67" w:rsidRDefault="00582E67" w:rsidP="000E4E8A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0B462B8C" w14:textId="705D9B99" w:rsidR="00582E67" w:rsidRDefault="00582E67" w:rsidP="000E4E8A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auto"/>
          <w:szCs w:val="24"/>
          <w:lang w:val="es-CO" w:eastAsia="es-CO"/>
        </w:rPr>
        <w:t xml:space="preserve">G. Prácticas justas. </w:t>
      </w:r>
      <w:r>
        <w:rPr>
          <w:rFonts w:ascii="ArialMT" w:hAnsi="ArialMT" w:cs="ArialMT"/>
          <w:color w:val="auto"/>
          <w:szCs w:val="24"/>
          <w:lang w:val="es-CO" w:eastAsia="es-CO"/>
        </w:rPr>
        <w:t>Relaciones comerciales estables donde se garantice la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libertad sindical, la democracia en la toma de decisiones, el trabajo digno y</w:t>
      </w:r>
      <w:r>
        <w:rPr>
          <w:rFonts w:ascii="ArialMT" w:hAnsi="ArialMT" w:cs="ArialMT"/>
          <w:color w:val="auto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auto"/>
          <w:szCs w:val="24"/>
          <w:lang w:val="es-CO" w:eastAsia="es-CO"/>
        </w:rPr>
        <w:t>decente y la protección de los derechos humanos.</w:t>
      </w:r>
    </w:p>
    <w:p w14:paraId="2967C49E" w14:textId="0309FC71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lastRenderedPageBreak/>
        <w:t xml:space="preserve">Artículo 3. Identificación de Actores. </w:t>
      </w:r>
      <w:r>
        <w:rPr>
          <w:rFonts w:ascii="ArialMT" w:hAnsi="ArialMT" w:cs="ArialMT"/>
          <w:szCs w:val="24"/>
          <w:lang w:val="es-CO" w:eastAsia="es-CO"/>
        </w:rPr>
        <w:t>La Administración Distrital, a través de la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Secretaría Distrital de Desarrollo Económico y en colaboración con organizaciones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sin ánimo de lucro, podrá llevar a cabo diversas acciones para identificar y registrar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a los actores involucrados en los emprendimientos sociales de Bogotá D.C.</w:t>
      </w:r>
    </w:p>
    <w:p w14:paraId="31262ED4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</w:p>
    <w:p w14:paraId="3C2A9500" w14:textId="2FFB7E70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Parágrafo. </w:t>
      </w:r>
      <w:r>
        <w:rPr>
          <w:rFonts w:ascii="ArialMT" w:hAnsi="ArialMT" w:cs="ArialMT"/>
          <w:szCs w:val="24"/>
          <w:lang w:val="es-CO" w:eastAsia="es-CO"/>
        </w:rPr>
        <w:t>Se priorizará la identificación de actores en estado de vulnerabilidad o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condición especial.</w:t>
      </w:r>
    </w:p>
    <w:p w14:paraId="328CF5D3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szCs w:val="24"/>
          <w:lang w:val="es-CO" w:eastAsia="es-CO"/>
        </w:rPr>
      </w:pPr>
    </w:p>
    <w:p w14:paraId="0E676D2D" w14:textId="38D37D2B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Artículo 4. Actividades de Promoción. </w:t>
      </w:r>
      <w:r>
        <w:rPr>
          <w:rFonts w:ascii="ArialMT" w:hAnsi="ArialMT" w:cs="ArialMT"/>
          <w:szCs w:val="24"/>
          <w:lang w:val="es-CO" w:eastAsia="es-CO"/>
        </w:rPr>
        <w:t>La Administración Distrital en cabeza de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la Secretaría Distrital de Desarrollo Económico podrá promover concursos, ferias,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foros y conservatorios, dirigidos a la promoción, visualización y fomento de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emprendimientos sociales.</w:t>
      </w:r>
    </w:p>
    <w:p w14:paraId="4F180CE3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szCs w:val="24"/>
          <w:lang w:val="es-CO" w:eastAsia="es-CO"/>
        </w:rPr>
      </w:pPr>
    </w:p>
    <w:p w14:paraId="25F55795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Parágrafo 1. </w:t>
      </w:r>
      <w:r>
        <w:rPr>
          <w:rFonts w:ascii="ArialMT" w:hAnsi="ArialMT" w:cs="ArialMT"/>
          <w:szCs w:val="24"/>
          <w:lang w:val="es-CO" w:eastAsia="es-CO"/>
        </w:rPr>
        <w:t>Dentro de las diferentes actividades a desarrollar se podrán establecer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incentivos de inclusión financiera para aquellos proyectos sobresalientes.</w:t>
      </w:r>
    </w:p>
    <w:p w14:paraId="0225A196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color w:val="202124"/>
          <w:szCs w:val="24"/>
          <w:lang w:val="es-CO" w:eastAsia="es-CO"/>
        </w:rPr>
      </w:pPr>
    </w:p>
    <w:p w14:paraId="5067A582" w14:textId="1341CEF6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202124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color w:val="202124"/>
          <w:szCs w:val="24"/>
          <w:lang w:val="es-CO" w:eastAsia="es-CO"/>
        </w:rPr>
        <w:t xml:space="preserve">Parágrafo 2. </w:t>
      </w:r>
      <w:r>
        <w:rPr>
          <w:rFonts w:ascii="ArialMT" w:hAnsi="ArialMT" w:cs="ArialMT"/>
          <w:color w:val="202124"/>
          <w:szCs w:val="24"/>
          <w:lang w:val="es-CO" w:eastAsia="es-CO"/>
        </w:rPr>
        <w:t>La Secretaría Distrital de Desarrollo Económico garantizará la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transparencia y equidad en el proceso de asignación de recursos, priorizando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aquellas iniciativas que demuestren un mayor potencial de impacto social y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económico en la ciudad.</w:t>
      </w:r>
    </w:p>
    <w:p w14:paraId="3F1569B5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szCs w:val="24"/>
          <w:lang w:val="es-CO" w:eastAsia="es-CO"/>
        </w:rPr>
      </w:pPr>
    </w:p>
    <w:p w14:paraId="52272FD2" w14:textId="53582BBE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Artículo 5. Formación. </w:t>
      </w:r>
      <w:r>
        <w:rPr>
          <w:rFonts w:ascii="ArialMT" w:hAnsi="ArialMT" w:cs="ArialMT"/>
          <w:szCs w:val="24"/>
          <w:lang w:val="es-CO" w:eastAsia="es-CO"/>
        </w:rPr>
        <w:t>La Secretaría Distrital de Desarrollo Económico promoverá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de manera periódica rutas de capacitación y acompañamiento para fortalecer los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emprendimientos sociales en el Distrito.</w:t>
      </w:r>
    </w:p>
    <w:p w14:paraId="7892FEF9" w14:textId="3A4C8653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</w:p>
    <w:p w14:paraId="6E7BA215" w14:textId="39B120DF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Parágrafo. </w:t>
      </w:r>
      <w:r>
        <w:rPr>
          <w:rFonts w:ascii="ArialMT" w:hAnsi="ArialMT" w:cs="ArialMT"/>
          <w:szCs w:val="24"/>
          <w:lang w:val="es-CO" w:eastAsia="es-CO"/>
        </w:rPr>
        <w:t>Se establecerán criterios claros y objetivos para determinar qué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iniciativas podrán beneficiarse de los programas de promoción, formación y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acompañamiento propuestos en el presente acuerdo.</w:t>
      </w:r>
    </w:p>
    <w:p w14:paraId="5B46D2CB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</w:p>
    <w:p w14:paraId="20308F1E" w14:textId="661E1ABF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Artículo 6. Articulación. </w:t>
      </w:r>
      <w:r>
        <w:rPr>
          <w:rFonts w:ascii="ArialMT" w:hAnsi="ArialMT" w:cs="ArialMT"/>
          <w:szCs w:val="24"/>
          <w:lang w:val="es-CO" w:eastAsia="es-CO"/>
        </w:rPr>
        <w:t>La Secretaría Distrital de Desarrollo Económico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implementará estrategias para articular los emprendimientos sociales en el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ecosistema de emprendimiento regional Bogotá D.C.</w:t>
      </w:r>
    </w:p>
    <w:p w14:paraId="6E699C4F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szCs w:val="24"/>
          <w:lang w:val="es-CO" w:eastAsia="es-CO"/>
        </w:rPr>
      </w:pPr>
    </w:p>
    <w:p w14:paraId="3E89B121" w14:textId="47D1954E" w:rsid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202124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Artículo 7. </w:t>
      </w:r>
      <w:r>
        <w:rPr>
          <w:rFonts w:ascii="Arial-BoldMT" w:hAnsi="Arial-BoldMT" w:cs="Arial-BoldMT"/>
          <w:b/>
          <w:bCs/>
          <w:color w:val="202124"/>
          <w:szCs w:val="24"/>
          <w:lang w:val="es-CO" w:eastAsia="es-CO"/>
        </w:rPr>
        <w:t xml:space="preserve">Evaluación de Impacto. </w:t>
      </w:r>
      <w:r>
        <w:rPr>
          <w:rFonts w:ascii="ArialMT" w:hAnsi="ArialMT" w:cs="ArialMT"/>
          <w:color w:val="202124"/>
          <w:szCs w:val="24"/>
          <w:lang w:val="es-CO" w:eastAsia="es-CO"/>
        </w:rPr>
        <w:t>Se implementarán mecanismos de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seguimiento y evaluación para medir el impacto de las actividades promovidas por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la Secretaría Distrital de Desarrollo Económico en el marco de este acuerdo y para</w:t>
      </w:r>
      <w:r>
        <w:rPr>
          <w:rFonts w:ascii="ArialMT" w:hAnsi="ArialMT" w:cs="ArialMT"/>
          <w:color w:val="202124"/>
          <w:szCs w:val="24"/>
          <w:lang w:val="es-CO" w:eastAsia="es-CO"/>
        </w:rPr>
        <w:t xml:space="preserve"> </w:t>
      </w:r>
      <w:r>
        <w:rPr>
          <w:rFonts w:ascii="ArialMT" w:hAnsi="ArialMT" w:cs="ArialMT"/>
          <w:color w:val="202124"/>
          <w:szCs w:val="24"/>
          <w:lang w:val="es-CO" w:eastAsia="es-CO"/>
        </w:rPr>
        <w:t>ajustar las estrategias según los resultados obtenidos.</w:t>
      </w:r>
    </w:p>
    <w:p w14:paraId="5E81EC1E" w14:textId="77777777" w:rsidR="00582E67" w:rsidRDefault="00582E67" w:rsidP="00582E6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  <w:szCs w:val="24"/>
          <w:lang w:val="es-CO" w:eastAsia="es-CO"/>
        </w:rPr>
      </w:pPr>
    </w:p>
    <w:p w14:paraId="24C9FF56" w14:textId="37AD3DDC" w:rsidR="00582E67" w:rsidRPr="00582E67" w:rsidRDefault="00582E67" w:rsidP="00582E67">
      <w:pPr>
        <w:autoSpaceDE w:val="0"/>
        <w:autoSpaceDN w:val="0"/>
        <w:adjustRightInd w:val="0"/>
        <w:jc w:val="both"/>
        <w:rPr>
          <w:rFonts w:ascii="ArialMT" w:hAnsi="ArialMT" w:cs="ArialMT"/>
          <w:color w:val="auto"/>
          <w:szCs w:val="24"/>
          <w:lang w:val="es-CO" w:eastAsia="es-CO"/>
        </w:rPr>
      </w:pPr>
      <w:r>
        <w:rPr>
          <w:rFonts w:ascii="Arial-BoldMT" w:hAnsi="Arial-BoldMT" w:cs="Arial-BoldMT"/>
          <w:b/>
          <w:bCs/>
          <w:szCs w:val="24"/>
          <w:lang w:val="es-CO" w:eastAsia="es-CO"/>
        </w:rPr>
        <w:t xml:space="preserve">Artículo 8. Vigencia y derogaciones. </w:t>
      </w:r>
      <w:r>
        <w:rPr>
          <w:rFonts w:ascii="ArialMT" w:hAnsi="ArialMT" w:cs="ArialMT"/>
          <w:szCs w:val="24"/>
          <w:lang w:val="es-CO" w:eastAsia="es-CO"/>
        </w:rPr>
        <w:t>El presente acuerdo rige a partir de la fecha</w:t>
      </w:r>
      <w:r>
        <w:rPr>
          <w:rFonts w:ascii="ArialMT" w:hAnsi="ArialMT" w:cs="ArialMT"/>
          <w:szCs w:val="24"/>
          <w:lang w:val="es-CO" w:eastAsia="es-CO"/>
        </w:rPr>
        <w:t xml:space="preserve"> </w:t>
      </w:r>
      <w:r>
        <w:rPr>
          <w:rFonts w:ascii="ArialMT" w:hAnsi="ArialMT" w:cs="ArialMT"/>
          <w:szCs w:val="24"/>
          <w:lang w:val="es-CO" w:eastAsia="es-CO"/>
        </w:rPr>
        <w:t>de su publicación.</w:t>
      </w:r>
    </w:p>
    <w:sectPr w:rsidR="00582E67" w:rsidRPr="00582E67" w:rsidSect="0049071D">
      <w:headerReference w:type="default" r:id="rId7"/>
      <w:footerReference w:type="even" r:id="rId8"/>
      <w:footerReference w:type="default" r:id="rId9"/>
      <w:pgSz w:w="12242" w:h="15842" w:code="1"/>
      <w:pgMar w:top="2104" w:right="1701" w:bottom="1701" w:left="1701" w:header="384" w:footer="12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B6CC8" w14:textId="77777777" w:rsidR="00CA26F3" w:rsidRDefault="00CA26F3">
      <w:r>
        <w:separator/>
      </w:r>
    </w:p>
  </w:endnote>
  <w:endnote w:type="continuationSeparator" w:id="0">
    <w:p w14:paraId="38384B06" w14:textId="77777777" w:rsidR="00CA26F3" w:rsidRDefault="00CA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2BBDA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76D8471" w14:textId="77777777" w:rsidR="00633540" w:rsidRDefault="00633540" w:rsidP="007341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2E2FE" w14:textId="77777777" w:rsidR="004D507F" w:rsidRDefault="009704F8" w:rsidP="009704F8">
    <w:pPr>
      <w:pStyle w:val="Piedepgina"/>
      <w:ind w:right="51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1312" behindDoc="1" locked="0" layoutInCell="1" allowOverlap="1" wp14:anchorId="0BBE17B0" wp14:editId="169F8472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B242E" w14:textId="77777777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00A8C429" wp14:editId="657A1BF4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97E6DC" w14:textId="77777777" w:rsidR="004D507F" w:rsidRDefault="003D0A76" w:rsidP="004D507F">
    <w:pPr>
      <w:jc w:val="center"/>
      <w:rPr>
        <w:sz w:val="16"/>
        <w:szCs w:val="16"/>
      </w:rPr>
    </w:pPr>
    <w:r w:rsidRPr="00637271">
      <w:rPr>
        <w:color w:val="auto"/>
        <w:sz w:val="16"/>
        <w:szCs w:val="16"/>
      </w:rPr>
      <w:t xml:space="preserve">Página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PAGE  \* Arabic  \* MERGEFORMAT</w:instrText>
    </w:r>
    <w:r w:rsidRPr="00637271">
      <w:rPr>
        <w:color w:val="auto"/>
        <w:sz w:val="16"/>
        <w:szCs w:val="16"/>
      </w:rPr>
      <w:fldChar w:fldCharType="separate"/>
    </w:r>
    <w:r w:rsidR="008C6809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  <w:r w:rsidRPr="00637271">
      <w:rPr>
        <w:color w:val="auto"/>
        <w:sz w:val="16"/>
        <w:szCs w:val="16"/>
      </w:rPr>
      <w:t xml:space="preserve"> de </w:t>
    </w:r>
    <w:r w:rsidRPr="00637271">
      <w:rPr>
        <w:color w:val="auto"/>
        <w:sz w:val="16"/>
        <w:szCs w:val="16"/>
      </w:rPr>
      <w:fldChar w:fldCharType="begin"/>
    </w:r>
    <w:r w:rsidRPr="00637271">
      <w:rPr>
        <w:color w:val="auto"/>
        <w:sz w:val="16"/>
        <w:szCs w:val="16"/>
      </w:rPr>
      <w:instrText>NUMPAGES  \* Arabic  \* MERGEFORMAT</w:instrText>
    </w:r>
    <w:r w:rsidRPr="00637271">
      <w:rPr>
        <w:color w:val="auto"/>
        <w:sz w:val="16"/>
        <w:szCs w:val="16"/>
      </w:rPr>
      <w:fldChar w:fldCharType="separate"/>
    </w:r>
    <w:r w:rsidR="008C6809">
      <w:rPr>
        <w:noProof/>
        <w:color w:val="auto"/>
        <w:sz w:val="16"/>
        <w:szCs w:val="16"/>
      </w:rPr>
      <w:t>1</w:t>
    </w:r>
    <w:r w:rsidRPr="00637271">
      <w:rPr>
        <w:color w:val="auto"/>
        <w:sz w:val="16"/>
        <w:szCs w:val="16"/>
      </w:rPr>
      <w:fldChar w:fldCharType="end"/>
    </w:r>
  </w:p>
  <w:p w14:paraId="458039FF" w14:textId="77777777" w:rsidR="00633540" w:rsidRPr="00B823F0" w:rsidRDefault="00B823F0" w:rsidP="0049071D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8F4F4A" wp14:editId="4CE17B2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3FA7D9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9071D"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00343F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F4F4A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013FA7D9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9071D"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00343F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3270" w14:textId="77777777" w:rsidR="00CA26F3" w:rsidRDefault="00CA26F3">
      <w:r>
        <w:separator/>
      </w:r>
    </w:p>
  </w:footnote>
  <w:footnote w:type="continuationSeparator" w:id="0">
    <w:p w14:paraId="5DD3CD55" w14:textId="77777777" w:rsidR="00CA26F3" w:rsidRDefault="00CA2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D65F6" w14:textId="77777777" w:rsidR="006E6380" w:rsidRPr="009704F8" w:rsidRDefault="009704F8" w:rsidP="009704F8">
    <w:pPr>
      <w:pStyle w:val="Encabezado"/>
      <w:spacing w:line="360" w:lineRule="auto"/>
      <w:jc w:val="center"/>
      <w:rPr>
        <w:rFonts w:cs="Arial"/>
        <w:sz w:val="18"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0FFA8C38" wp14:editId="19E1EFED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14C4F0"/>
    <w:multiLevelType w:val="hybridMultilevel"/>
    <w:tmpl w:val="B111D4A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AC8084"/>
    <w:multiLevelType w:val="hybridMultilevel"/>
    <w:tmpl w:val="9EA671A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6FFA19"/>
    <w:multiLevelType w:val="hybridMultilevel"/>
    <w:tmpl w:val="5696FD2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5C1E2AE"/>
    <w:multiLevelType w:val="hybridMultilevel"/>
    <w:tmpl w:val="9E36A0A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C1F9D77"/>
    <w:multiLevelType w:val="hybridMultilevel"/>
    <w:tmpl w:val="19ACFFB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E822787"/>
    <w:multiLevelType w:val="hybridMultilevel"/>
    <w:tmpl w:val="A48B1AE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039A497"/>
    <w:multiLevelType w:val="hybridMultilevel"/>
    <w:tmpl w:val="CBF65D4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8EF8A1F"/>
    <w:multiLevelType w:val="hybridMultilevel"/>
    <w:tmpl w:val="3A8E5DA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F22737D"/>
    <w:multiLevelType w:val="hybridMultilevel"/>
    <w:tmpl w:val="B29A802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6911489"/>
    <w:multiLevelType w:val="hybridMultilevel"/>
    <w:tmpl w:val="F7540AA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F1AA4F8"/>
    <w:multiLevelType w:val="hybridMultilevel"/>
    <w:tmpl w:val="74C59A7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8C7577A"/>
    <w:multiLevelType w:val="hybridMultilevel"/>
    <w:tmpl w:val="936CFCC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300F55D"/>
    <w:multiLevelType w:val="hybridMultilevel"/>
    <w:tmpl w:val="4792DB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29C4CAB"/>
    <w:multiLevelType w:val="hybridMultilevel"/>
    <w:tmpl w:val="8F40FBD0"/>
    <w:lvl w:ilvl="0" w:tplc="3B1CF1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CE9CBB"/>
    <w:multiLevelType w:val="hybridMultilevel"/>
    <w:tmpl w:val="293B394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00673D1"/>
    <w:multiLevelType w:val="hybridMultilevel"/>
    <w:tmpl w:val="78BAFA1C"/>
    <w:lvl w:ilvl="0" w:tplc="D9260328">
      <w:start w:val="1"/>
      <w:numFmt w:val="lowerRoman"/>
      <w:lvlText w:val="%1)"/>
      <w:lvlJc w:val="left"/>
      <w:pPr>
        <w:ind w:left="973" w:hanging="720"/>
      </w:pPr>
      <w:rPr>
        <w:rFonts w:hint="default"/>
        <w:b/>
        <w:i w:val="0"/>
        <w:u w:val="none"/>
      </w:rPr>
    </w:lvl>
    <w:lvl w:ilvl="1" w:tplc="240A0019" w:tentative="1">
      <w:start w:val="1"/>
      <w:numFmt w:val="lowerLetter"/>
      <w:lvlText w:val="%2."/>
      <w:lvlJc w:val="left"/>
      <w:pPr>
        <w:ind w:left="1333" w:hanging="360"/>
      </w:pPr>
    </w:lvl>
    <w:lvl w:ilvl="2" w:tplc="240A001B">
      <w:start w:val="1"/>
      <w:numFmt w:val="lowerRoman"/>
      <w:lvlText w:val="%3."/>
      <w:lvlJc w:val="right"/>
      <w:pPr>
        <w:ind w:left="2053" w:hanging="180"/>
      </w:pPr>
    </w:lvl>
    <w:lvl w:ilvl="3" w:tplc="240A000F" w:tentative="1">
      <w:start w:val="1"/>
      <w:numFmt w:val="decimal"/>
      <w:lvlText w:val="%4."/>
      <w:lvlJc w:val="left"/>
      <w:pPr>
        <w:ind w:left="2773" w:hanging="360"/>
      </w:pPr>
    </w:lvl>
    <w:lvl w:ilvl="4" w:tplc="240A0019" w:tentative="1">
      <w:start w:val="1"/>
      <w:numFmt w:val="lowerLetter"/>
      <w:lvlText w:val="%5."/>
      <w:lvlJc w:val="left"/>
      <w:pPr>
        <w:ind w:left="3493" w:hanging="360"/>
      </w:pPr>
    </w:lvl>
    <w:lvl w:ilvl="5" w:tplc="240A001B" w:tentative="1">
      <w:start w:val="1"/>
      <w:numFmt w:val="lowerRoman"/>
      <w:lvlText w:val="%6."/>
      <w:lvlJc w:val="right"/>
      <w:pPr>
        <w:ind w:left="4213" w:hanging="180"/>
      </w:pPr>
    </w:lvl>
    <w:lvl w:ilvl="6" w:tplc="240A000F" w:tentative="1">
      <w:start w:val="1"/>
      <w:numFmt w:val="decimal"/>
      <w:lvlText w:val="%7."/>
      <w:lvlJc w:val="left"/>
      <w:pPr>
        <w:ind w:left="4933" w:hanging="360"/>
      </w:pPr>
    </w:lvl>
    <w:lvl w:ilvl="7" w:tplc="240A0019" w:tentative="1">
      <w:start w:val="1"/>
      <w:numFmt w:val="lowerLetter"/>
      <w:lvlText w:val="%8."/>
      <w:lvlJc w:val="left"/>
      <w:pPr>
        <w:ind w:left="5653" w:hanging="360"/>
      </w:pPr>
    </w:lvl>
    <w:lvl w:ilvl="8" w:tplc="240A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17" w15:restartNumberingAfterBreak="0">
    <w:nsid w:val="107F0A7C"/>
    <w:multiLevelType w:val="hybridMultilevel"/>
    <w:tmpl w:val="5420D4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1641AB"/>
    <w:multiLevelType w:val="hybridMultilevel"/>
    <w:tmpl w:val="DF5C5C1C"/>
    <w:lvl w:ilvl="0" w:tplc="11F2DF9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573112"/>
    <w:multiLevelType w:val="hybridMultilevel"/>
    <w:tmpl w:val="8C9237C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0ECEF0"/>
    <w:multiLevelType w:val="hybridMultilevel"/>
    <w:tmpl w:val="82A77D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45BD6AA"/>
    <w:multiLevelType w:val="hybridMultilevel"/>
    <w:tmpl w:val="1535686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D47885"/>
    <w:multiLevelType w:val="hybridMultilevel"/>
    <w:tmpl w:val="08991F0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134C002"/>
    <w:multiLevelType w:val="hybridMultilevel"/>
    <w:tmpl w:val="5D24C6F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00413B2"/>
    <w:multiLevelType w:val="hybridMultilevel"/>
    <w:tmpl w:val="536B815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0ADCFA3"/>
    <w:multiLevelType w:val="hybridMultilevel"/>
    <w:tmpl w:val="86ED70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2E170EF"/>
    <w:multiLevelType w:val="hybridMultilevel"/>
    <w:tmpl w:val="E4A05094"/>
    <w:lvl w:ilvl="0" w:tplc="A1D2905E">
      <w:start w:val="2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4" w:hanging="360"/>
      </w:pPr>
    </w:lvl>
    <w:lvl w:ilvl="2" w:tplc="240A001B" w:tentative="1">
      <w:start w:val="1"/>
      <w:numFmt w:val="lowerRoman"/>
      <w:lvlText w:val="%3."/>
      <w:lvlJc w:val="right"/>
      <w:pPr>
        <w:ind w:left="2194" w:hanging="180"/>
      </w:pPr>
    </w:lvl>
    <w:lvl w:ilvl="3" w:tplc="240A000F" w:tentative="1">
      <w:start w:val="1"/>
      <w:numFmt w:val="decimal"/>
      <w:lvlText w:val="%4."/>
      <w:lvlJc w:val="left"/>
      <w:pPr>
        <w:ind w:left="2914" w:hanging="360"/>
      </w:pPr>
    </w:lvl>
    <w:lvl w:ilvl="4" w:tplc="240A0019" w:tentative="1">
      <w:start w:val="1"/>
      <w:numFmt w:val="lowerLetter"/>
      <w:lvlText w:val="%5."/>
      <w:lvlJc w:val="left"/>
      <w:pPr>
        <w:ind w:left="3634" w:hanging="360"/>
      </w:pPr>
    </w:lvl>
    <w:lvl w:ilvl="5" w:tplc="240A001B" w:tentative="1">
      <w:start w:val="1"/>
      <w:numFmt w:val="lowerRoman"/>
      <w:lvlText w:val="%6."/>
      <w:lvlJc w:val="right"/>
      <w:pPr>
        <w:ind w:left="4354" w:hanging="180"/>
      </w:pPr>
    </w:lvl>
    <w:lvl w:ilvl="6" w:tplc="240A000F" w:tentative="1">
      <w:start w:val="1"/>
      <w:numFmt w:val="decimal"/>
      <w:lvlText w:val="%7."/>
      <w:lvlJc w:val="left"/>
      <w:pPr>
        <w:ind w:left="5074" w:hanging="360"/>
      </w:pPr>
    </w:lvl>
    <w:lvl w:ilvl="7" w:tplc="240A0019" w:tentative="1">
      <w:start w:val="1"/>
      <w:numFmt w:val="lowerLetter"/>
      <w:lvlText w:val="%8."/>
      <w:lvlJc w:val="left"/>
      <w:pPr>
        <w:ind w:left="5794" w:hanging="360"/>
      </w:pPr>
    </w:lvl>
    <w:lvl w:ilvl="8" w:tplc="24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F7515C2"/>
    <w:multiLevelType w:val="hybridMultilevel"/>
    <w:tmpl w:val="1C06C7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6"/>
  </w:num>
  <w:num w:numId="5">
    <w:abstractNumId w:val="28"/>
  </w:num>
  <w:num w:numId="6">
    <w:abstractNumId w:val="20"/>
  </w:num>
  <w:num w:numId="7">
    <w:abstractNumId w:val="13"/>
  </w:num>
  <w:num w:numId="8">
    <w:abstractNumId w:val="18"/>
  </w:num>
  <w:num w:numId="9">
    <w:abstractNumId w:val="17"/>
  </w:num>
  <w:num w:numId="10">
    <w:abstractNumId w:val="26"/>
  </w:num>
  <w:num w:numId="11">
    <w:abstractNumId w:val="8"/>
  </w:num>
  <w:num w:numId="12">
    <w:abstractNumId w:val="9"/>
  </w:num>
  <w:num w:numId="13">
    <w:abstractNumId w:val="0"/>
  </w:num>
  <w:num w:numId="14">
    <w:abstractNumId w:val="3"/>
  </w:num>
  <w:num w:numId="15">
    <w:abstractNumId w:val="6"/>
  </w:num>
  <w:num w:numId="16">
    <w:abstractNumId w:val="21"/>
  </w:num>
  <w:num w:numId="17">
    <w:abstractNumId w:val="14"/>
  </w:num>
  <w:num w:numId="18">
    <w:abstractNumId w:val="4"/>
  </w:num>
  <w:num w:numId="19">
    <w:abstractNumId w:val="25"/>
  </w:num>
  <w:num w:numId="20">
    <w:abstractNumId w:val="10"/>
  </w:num>
  <w:num w:numId="21">
    <w:abstractNumId w:val="11"/>
  </w:num>
  <w:num w:numId="22">
    <w:abstractNumId w:val="29"/>
  </w:num>
  <w:num w:numId="23">
    <w:abstractNumId w:val="1"/>
  </w:num>
  <w:num w:numId="24">
    <w:abstractNumId w:val="5"/>
  </w:num>
  <w:num w:numId="25">
    <w:abstractNumId w:val="12"/>
  </w:num>
  <w:num w:numId="26">
    <w:abstractNumId w:val="7"/>
  </w:num>
  <w:num w:numId="27">
    <w:abstractNumId w:val="23"/>
  </w:num>
  <w:num w:numId="28">
    <w:abstractNumId w:val="27"/>
  </w:num>
  <w:num w:numId="29">
    <w:abstractNumId w:val="22"/>
  </w:num>
  <w:num w:numId="3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1"/>
  <w:activeWritingStyle w:appName="MSWord" w:lang="es-MX" w:vendorID="64" w:dllVersion="4096" w:nlCheck="1" w:checkStyle="0"/>
  <w:activeWritingStyle w:appName="MSWord" w:lang="es-CO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82C"/>
    <w:rsid w:val="00000AC5"/>
    <w:rsid w:val="0000343F"/>
    <w:rsid w:val="00004452"/>
    <w:rsid w:val="00004A50"/>
    <w:rsid w:val="000059B8"/>
    <w:rsid w:val="000076EC"/>
    <w:rsid w:val="00010DD3"/>
    <w:rsid w:val="00011269"/>
    <w:rsid w:val="00011801"/>
    <w:rsid w:val="00011BCE"/>
    <w:rsid w:val="00011F64"/>
    <w:rsid w:val="00012611"/>
    <w:rsid w:val="00013E95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22A0"/>
    <w:rsid w:val="00083C02"/>
    <w:rsid w:val="0008405D"/>
    <w:rsid w:val="000844A8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4E23"/>
    <w:rsid w:val="000B4E77"/>
    <w:rsid w:val="000B7C3B"/>
    <w:rsid w:val="000C05B0"/>
    <w:rsid w:val="000C3623"/>
    <w:rsid w:val="000C482C"/>
    <w:rsid w:val="000C4A95"/>
    <w:rsid w:val="000D1C54"/>
    <w:rsid w:val="000D1DFA"/>
    <w:rsid w:val="000D2BCE"/>
    <w:rsid w:val="000D50FE"/>
    <w:rsid w:val="000E1909"/>
    <w:rsid w:val="000E3C29"/>
    <w:rsid w:val="000E418B"/>
    <w:rsid w:val="000E4369"/>
    <w:rsid w:val="000E4E8A"/>
    <w:rsid w:val="000E6583"/>
    <w:rsid w:val="000E6B86"/>
    <w:rsid w:val="000F00B1"/>
    <w:rsid w:val="000F1586"/>
    <w:rsid w:val="000F552A"/>
    <w:rsid w:val="00100E1D"/>
    <w:rsid w:val="00101EBD"/>
    <w:rsid w:val="00102796"/>
    <w:rsid w:val="001031C4"/>
    <w:rsid w:val="001037CD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610"/>
    <w:rsid w:val="00120391"/>
    <w:rsid w:val="0012109F"/>
    <w:rsid w:val="00121CCB"/>
    <w:rsid w:val="00121F38"/>
    <w:rsid w:val="00123402"/>
    <w:rsid w:val="00125FA9"/>
    <w:rsid w:val="00127502"/>
    <w:rsid w:val="001277C9"/>
    <w:rsid w:val="001316B7"/>
    <w:rsid w:val="00131D5B"/>
    <w:rsid w:val="00132BB4"/>
    <w:rsid w:val="00132BFE"/>
    <w:rsid w:val="00133168"/>
    <w:rsid w:val="00134E79"/>
    <w:rsid w:val="001353FF"/>
    <w:rsid w:val="00135704"/>
    <w:rsid w:val="001363EA"/>
    <w:rsid w:val="001377B6"/>
    <w:rsid w:val="00140AEF"/>
    <w:rsid w:val="001411E5"/>
    <w:rsid w:val="001469EB"/>
    <w:rsid w:val="00146B2D"/>
    <w:rsid w:val="001553A5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7DF6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78E7"/>
    <w:rsid w:val="001E0250"/>
    <w:rsid w:val="001E214B"/>
    <w:rsid w:val="001E5883"/>
    <w:rsid w:val="001F3794"/>
    <w:rsid w:val="001F527E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17ED6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0F35"/>
    <w:rsid w:val="00253D21"/>
    <w:rsid w:val="00256A9C"/>
    <w:rsid w:val="00261D8F"/>
    <w:rsid w:val="002623F4"/>
    <w:rsid w:val="00264C8F"/>
    <w:rsid w:val="00265386"/>
    <w:rsid w:val="00266720"/>
    <w:rsid w:val="002668E4"/>
    <w:rsid w:val="00275E6F"/>
    <w:rsid w:val="002760AB"/>
    <w:rsid w:val="0027684C"/>
    <w:rsid w:val="00276B46"/>
    <w:rsid w:val="00280744"/>
    <w:rsid w:val="00281C47"/>
    <w:rsid w:val="00282E5F"/>
    <w:rsid w:val="002846D9"/>
    <w:rsid w:val="00290EF7"/>
    <w:rsid w:val="0029282C"/>
    <w:rsid w:val="00295F8B"/>
    <w:rsid w:val="00297402"/>
    <w:rsid w:val="00297F9D"/>
    <w:rsid w:val="002A2530"/>
    <w:rsid w:val="002A6B6E"/>
    <w:rsid w:val="002B0D8C"/>
    <w:rsid w:val="002B17A5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BCA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05AC7"/>
    <w:rsid w:val="00310ECC"/>
    <w:rsid w:val="003134A6"/>
    <w:rsid w:val="00313CF1"/>
    <w:rsid w:val="00320074"/>
    <w:rsid w:val="003204EA"/>
    <w:rsid w:val="00324247"/>
    <w:rsid w:val="00326F06"/>
    <w:rsid w:val="00331948"/>
    <w:rsid w:val="00331CD0"/>
    <w:rsid w:val="00333445"/>
    <w:rsid w:val="003336D2"/>
    <w:rsid w:val="00336DDB"/>
    <w:rsid w:val="0033737C"/>
    <w:rsid w:val="00337B0F"/>
    <w:rsid w:val="00340B29"/>
    <w:rsid w:val="00345A63"/>
    <w:rsid w:val="0034706F"/>
    <w:rsid w:val="00347BAB"/>
    <w:rsid w:val="0035605D"/>
    <w:rsid w:val="003564D8"/>
    <w:rsid w:val="00356EF2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825"/>
    <w:rsid w:val="003B2AF9"/>
    <w:rsid w:val="003B4B01"/>
    <w:rsid w:val="003B5012"/>
    <w:rsid w:val="003B527A"/>
    <w:rsid w:val="003B7BF3"/>
    <w:rsid w:val="003C0158"/>
    <w:rsid w:val="003C429B"/>
    <w:rsid w:val="003C50FB"/>
    <w:rsid w:val="003D0A76"/>
    <w:rsid w:val="003D0D48"/>
    <w:rsid w:val="003D1CA7"/>
    <w:rsid w:val="003D4C5F"/>
    <w:rsid w:val="003D66A1"/>
    <w:rsid w:val="003E0716"/>
    <w:rsid w:val="003E1D62"/>
    <w:rsid w:val="003E2652"/>
    <w:rsid w:val="003E336A"/>
    <w:rsid w:val="003E3A69"/>
    <w:rsid w:val="003E4232"/>
    <w:rsid w:val="003F5CEE"/>
    <w:rsid w:val="003F6AB6"/>
    <w:rsid w:val="003F701C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498"/>
    <w:rsid w:val="004242F1"/>
    <w:rsid w:val="00425596"/>
    <w:rsid w:val="00426D83"/>
    <w:rsid w:val="004275DB"/>
    <w:rsid w:val="00427A4D"/>
    <w:rsid w:val="00430819"/>
    <w:rsid w:val="00430AD1"/>
    <w:rsid w:val="004343F3"/>
    <w:rsid w:val="00436BC7"/>
    <w:rsid w:val="00437D6B"/>
    <w:rsid w:val="00443433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071D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3544"/>
    <w:rsid w:val="004B41F1"/>
    <w:rsid w:val="004B461E"/>
    <w:rsid w:val="004C1893"/>
    <w:rsid w:val="004C19F0"/>
    <w:rsid w:val="004C1FD4"/>
    <w:rsid w:val="004D4AE7"/>
    <w:rsid w:val="004D507F"/>
    <w:rsid w:val="004D71BC"/>
    <w:rsid w:val="004E1FDE"/>
    <w:rsid w:val="004E43F6"/>
    <w:rsid w:val="004F26E7"/>
    <w:rsid w:val="004F55D2"/>
    <w:rsid w:val="00501C06"/>
    <w:rsid w:val="00501CD1"/>
    <w:rsid w:val="00503A21"/>
    <w:rsid w:val="00503A47"/>
    <w:rsid w:val="00504C41"/>
    <w:rsid w:val="00506024"/>
    <w:rsid w:val="00506FBD"/>
    <w:rsid w:val="0051018D"/>
    <w:rsid w:val="005144B4"/>
    <w:rsid w:val="005179E2"/>
    <w:rsid w:val="00520D4B"/>
    <w:rsid w:val="00523946"/>
    <w:rsid w:val="0052593B"/>
    <w:rsid w:val="00525EB0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5165"/>
    <w:rsid w:val="00567511"/>
    <w:rsid w:val="00567E76"/>
    <w:rsid w:val="00571A5A"/>
    <w:rsid w:val="00572B3B"/>
    <w:rsid w:val="00572FE0"/>
    <w:rsid w:val="0058120B"/>
    <w:rsid w:val="00582183"/>
    <w:rsid w:val="005823A8"/>
    <w:rsid w:val="00582E67"/>
    <w:rsid w:val="00583340"/>
    <w:rsid w:val="00584BE8"/>
    <w:rsid w:val="00584BF9"/>
    <w:rsid w:val="00591D84"/>
    <w:rsid w:val="00592BFA"/>
    <w:rsid w:val="005933EC"/>
    <w:rsid w:val="00594DD9"/>
    <w:rsid w:val="0059518E"/>
    <w:rsid w:val="005965E8"/>
    <w:rsid w:val="00596857"/>
    <w:rsid w:val="005977A2"/>
    <w:rsid w:val="005A0937"/>
    <w:rsid w:val="005A437B"/>
    <w:rsid w:val="005A578B"/>
    <w:rsid w:val="005B0A08"/>
    <w:rsid w:val="005B143F"/>
    <w:rsid w:val="005B273F"/>
    <w:rsid w:val="005B3FB5"/>
    <w:rsid w:val="005B4CF6"/>
    <w:rsid w:val="005B6E32"/>
    <w:rsid w:val="005C212A"/>
    <w:rsid w:val="005C3311"/>
    <w:rsid w:val="005C3EA3"/>
    <w:rsid w:val="005D090F"/>
    <w:rsid w:val="005D1C57"/>
    <w:rsid w:val="005D4248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A41"/>
    <w:rsid w:val="006635AC"/>
    <w:rsid w:val="0066403E"/>
    <w:rsid w:val="00666FFE"/>
    <w:rsid w:val="006675EE"/>
    <w:rsid w:val="006678D8"/>
    <w:rsid w:val="0067110A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A1B83"/>
    <w:rsid w:val="006B0FE9"/>
    <w:rsid w:val="006B3084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17EB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7025E8"/>
    <w:rsid w:val="0070286D"/>
    <w:rsid w:val="00702B04"/>
    <w:rsid w:val="00704D61"/>
    <w:rsid w:val="00704D7A"/>
    <w:rsid w:val="00710811"/>
    <w:rsid w:val="00710910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541A9"/>
    <w:rsid w:val="00754E81"/>
    <w:rsid w:val="00756E35"/>
    <w:rsid w:val="00756EBE"/>
    <w:rsid w:val="007616BA"/>
    <w:rsid w:val="007625B2"/>
    <w:rsid w:val="007628CA"/>
    <w:rsid w:val="0076381E"/>
    <w:rsid w:val="00764335"/>
    <w:rsid w:val="00764612"/>
    <w:rsid w:val="0077016F"/>
    <w:rsid w:val="007703E2"/>
    <w:rsid w:val="007718C9"/>
    <w:rsid w:val="00773007"/>
    <w:rsid w:val="00774169"/>
    <w:rsid w:val="007764C5"/>
    <w:rsid w:val="00776D41"/>
    <w:rsid w:val="0078000B"/>
    <w:rsid w:val="00780B2F"/>
    <w:rsid w:val="00780E8B"/>
    <w:rsid w:val="00781EE5"/>
    <w:rsid w:val="00782CEF"/>
    <w:rsid w:val="0078358A"/>
    <w:rsid w:val="0078495C"/>
    <w:rsid w:val="00785774"/>
    <w:rsid w:val="00786592"/>
    <w:rsid w:val="00786A4E"/>
    <w:rsid w:val="007900AB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00D4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53D70"/>
    <w:rsid w:val="0085420A"/>
    <w:rsid w:val="00854273"/>
    <w:rsid w:val="0086221F"/>
    <w:rsid w:val="00864A2A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448D"/>
    <w:rsid w:val="008855E1"/>
    <w:rsid w:val="00885E87"/>
    <w:rsid w:val="00890A95"/>
    <w:rsid w:val="00892F18"/>
    <w:rsid w:val="00893E0C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5309"/>
    <w:rsid w:val="008C550D"/>
    <w:rsid w:val="008C6809"/>
    <w:rsid w:val="008C6DA7"/>
    <w:rsid w:val="008D0911"/>
    <w:rsid w:val="008D2980"/>
    <w:rsid w:val="008D3162"/>
    <w:rsid w:val="008D6799"/>
    <w:rsid w:val="008D6B13"/>
    <w:rsid w:val="008E0689"/>
    <w:rsid w:val="008E47BB"/>
    <w:rsid w:val="008E56E4"/>
    <w:rsid w:val="008E633F"/>
    <w:rsid w:val="008E7EF4"/>
    <w:rsid w:val="008F07A8"/>
    <w:rsid w:val="008F1FDF"/>
    <w:rsid w:val="008F2592"/>
    <w:rsid w:val="00902F08"/>
    <w:rsid w:val="00905BEA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7BA"/>
    <w:rsid w:val="00926BEE"/>
    <w:rsid w:val="00927912"/>
    <w:rsid w:val="00941B06"/>
    <w:rsid w:val="0094232A"/>
    <w:rsid w:val="00944698"/>
    <w:rsid w:val="00944A25"/>
    <w:rsid w:val="009454BB"/>
    <w:rsid w:val="0096063C"/>
    <w:rsid w:val="009643D3"/>
    <w:rsid w:val="00965A69"/>
    <w:rsid w:val="00965C3E"/>
    <w:rsid w:val="009704F8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40B3"/>
    <w:rsid w:val="0098572D"/>
    <w:rsid w:val="0098756C"/>
    <w:rsid w:val="0099032A"/>
    <w:rsid w:val="0099196C"/>
    <w:rsid w:val="009925A2"/>
    <w:rsid w:val="00997EE9"/>
    <w:rsid w:val="009A01B2"/>
    <w:rsid w:val="009A441F"/>
    <w:rsid w:val="009A4D9B"/>
    <w:rsid w:val="009A71F7"/>
    <w:rsid w:val="009B2260"/>
    <w:rsid w:val="009B3BE2"/>
    <w:rsid w:val="009B49E5"/>
    <w:rsid w:val="009B7873"/>
    <w:rsid w:val="009C041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7F89"/>
    <w:rsid w:val="00A213D5"/>
    <w:rsid w:val="00A21FB1"/>
    <w:rsid w:val="00A25529"/>
    <w:rsid w:val="00A30BE7"/>
    <w:rsid w:val="00A34CE6"/>
    <w:rsid w:val="00A35EF1"/>
    <w:rsid w:val="00A37361"/>
    <w:rsid w:val="00A43A12"/>
    <w:rsid w:val="00A46AE8"/>
    <w:rsid w:val="00A51F84"/>
    <w:rsid w:val="00A528CF"/>
    <w:rsid w:val="00A61222"/>
    <w:rsid w:val="00A617E5"/>
    <w:rsid w:val="00A62276"/>
    <w:rsid w:val="00A64186"/>
    <w:rsid w:val="00A71FCA"/>
    <w:rsid w:val="00A721DC"/>
    <w:rsid w:val="00A72624"/>
    <w:rsid w:val="00A72637"/>
    <w:rsid w:val="00A72D5D"/>
    <w:rsid w:val="00A7328B"/>
    <w:rsid w:val="00A73737"/>
    <w:rsid w:val="00A74B21"/>
    <w:rsid w:val="00A77AD3"/>
    <w:rsid w:val="00A804F5"/>
    <w:rsid w:val="00A8158C"/>
    <w:rsid w:val="00A8352F"/>
    <w:rsid w:val="00A83E97"/>
    <w:rsid w:val="00A84651"/>
    <w:rsid w:val="00A8587B"/>
    <w:rsid w:val="00A87820"/>
    <w:rsid w:val="00A91A69"/>
    <w:rsid w:val="00A97454"/>
    <w:rsid w:val="00AA27BF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6A25"/>
    <w:rsid w:val="00B17152"/>
    <w:rsid w:val="00B1766D"/>
    <w:rsid w:val="00B20083"/>
    <w:rsid w:val="00B20E6A"/>
    <w:rsid w:val="00B23367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49E0"/>
    <w:rsid w:val="00B64A56"/>
    <w:rsid w:val="00B677FF"/>
    <w:rsid w:val="00B67A63"/>
    <w:rsid w:val="00B76AA1"/>
    <w:rsid w:val="00B76AC1"/>
    <w:rsid w:val="00B823F0"/>
    <w:rsid w:val="00B90E2E"/>
    <w:rsid w:val="00B91101"/>
    <w:rsid w:val="00B921C6"/>
    <w:rsid w:val="00B92A62"/>
    <w:rsid w:val="00B93E2D"/>
    <w:rsid w:val="00B9736A"/>
    <w:rsid w:val="00B97A7A"/>
    <w:rsid w:val="00BA6F63"/>
    <w:rsid w:val="00BA71BB"/>
    <w:rsid w:val="00BA79E5"/>
    <w:rsid w:val="00BB29EA"/>
    <w:rsid w:val="00BB38A7"/>
    <w:rsid w:val="00BB59C2"/>
    <w:rsid w:val="00BB5BCF"/>
    <w:rsid w:val="00BC155D"/>
    <w:rsid w:val="00BC2BC8"/>
    <w:rsid w:val="00BC3BCB"/>
    <w:rsid w:val="00BC7793"/>
    <w:rsid w:val="00BD0BF0"/>
    <w:rsid w:val="00BD28A5"/>
    <w:rsid w:val="00BD2B8A"/>
    <w:rsid w:val="00BD4055"/>
    <w:rsid w:val="00BD4F10"/>
    <w:rsid w:val="00BD698F"/>
    <w:rsid w:val="00BE0063"/>
    <w:rsid w:val="00BE0C57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30C3E"/>
    <w:rsid w:val="00C31AF2"/>
    <w:rsid w:val="00C33A2C"/>
    <w:rsid w:val="00C421EE"/>
    <w:rsid w:val="00C435FA"/>
    <w:rsid w:val="00C45435"/>
    <w:rsid w:val="00C45FC6"/>
    <w:rsid w:val="00C52D36"/>
    <w:rsid w:val="00C531DA"/>
    <w:rsid w:val="00C54AA5"/>
    <w:rsid w:val="00C5535E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565D"/>
    <w:rsid w:val="00C92A64"/>
    <w:rsid w:val="00C95659"/>
    <w:rsid w:val="00CA2060"/>
    <w:rsid w:val="00CA26F3"/>
    <w:rsid w:val="00CA3D20"/>
    <w:rsid w:val="00CA4080"/>
    <w:rsid w:val="00CA46BA"/>
    <w:rsid w:val="00CB0E79"/>
    <w:rsid w:val="00CB16AB"/>
    <w:rsid w:val="00CB3330"/>
    <w:rsid w:val="00CB67C2"/>
    <w:rsid w:val="00CC2A1F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7064"/>
    <w:rsid w:val="00CD7A63"/>
    <w:rsid w:val="00CE497C"/>
    <w:rsid w:val="00CE5425"/>
    <w:rsid w:val="00CF18DE"/>
    <w:rsid w:val="00CF3A53"/>
    <w:rsid w:val="00CF42BD"/>
    <w:rsid w:val="00CF520A"/>
    <w:rsid w:val="00D047A1"/>
    <w:rsid w:val="00D15065"/>
    <w:rsid w:val="00D21723"/>
    <w:rsid w:val="00D222B8"/>
    <w:rsid w:val="00D23F8B"/>
    <w:rsid w:val="00D24420"/>
    <w:rsid w:val="00D24FF1"/>
    <w:rsid w:val="00D26A44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BD3"/>
    <w:rsid w:val="00D518A5"/>
    <w:rsid w:val="00D51E28"/>
    <w:rsid w:val="00D52CE4"/>
    <w:rsid w:val="00D53FFF"/>
    <w:rsid w:val="00D54F32"/>
    <w:rsid w:val="00D56843"/>
    <w:rsid w:val="00D63537"/>
    <w:rsid w:val="00D6393F"/>
    <w:rsid w:val="00D667F3"/>
    <w:rsid w:val="00D70711"/>
    <w:rsid w:val="00D73E09"/>
    <w:rsid w:val="00D74F2A"/>
    <w:rsid w:val="00D75820"/>
    <w:rsid w:val="00D76BF9"/>
    <w:rsid w:val="00D80129"/>
    <w:rsid w:val="00D854B9"/>
    <w:rsid w:val="00D8552B"/>
    <w:rsid w:val="00D86310"/>
    <w:rsid w:val="00D86E83"/>
    <w:rsid w:val="00D87A13"/>
    <w:rsid w:val="00D90D4F"/>
    <w:rsid w:val="00D9504F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689"/>
    <w:rsid w:val="00E215D3"/>
    <w:rsid w:val="00E21D8F"/>
    <w:rsid w:val="00E22A86"/>
    <w:rsid w:val="00E26C79"/>
    <w:rsid w:val="00E27267"/>
    <w:rsid w:val="00E30135"/>
    <w:rsid w:val="00E353FC"/>
    <w:rsid w:val="00E36A4C"/>
    <w:rsid w:val="00E378F0"/>
    <w:rsid w:val="00E41C8B"/>
    <w:rsid w:val="00E4329D"/>
    <w:rsid w:val="00E459C8"/>
    <w:rsid w:val="00E4614A"/>
    <w:rsid w:val="00E46B2B"/>
    <w:rsid w:val="00E47E2C"/>
    <w:rsid w:val="00E50F03"/>
    <w:rsid w:val="00E5344F"/>
    <w:rsid w:val="00E5659A"/>
    <w:rsid w:val="00E57B75"/>
    <w:rsid w:val="00E60E77"/>
    <w:rsid w:val="00E63051"/>
    <w:rsid w:val="00E63A21"/>
    <w:rsid w:val="00E673E8"/>
    <w:rsid w:val="00E70942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413F"/>
    <w:rsid w:val="00EB47E3"/>
    <w:rsid w:val="00EB6105"/>
    <w:rsid w:val="00EB7FC0"/>
    <w:rsid w:val="00EC464B"/>
    <w:rsid w:val="00EC77F5"/>
    <w:rsid w:val="00ED4912"/>
    <w:rsid w:val="00EE44E4"/>
    <w:rsid w:val="00EE5FA0"/>
    <w:rsid w:val="00EF1F53"/>
    <w:rsid w:val="00EF2AC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37E"/>
    <w:rsid w:val="00F2358E"/>
    <w:rsid w:val="00F24C01"/>
    <w:rsid w:val="00F315CF"/>
    <w:rsid w:val="00F31906"/>
    <w:rsid w:val="00F3283E"/>
    <w:rsid w:val="00F32D7B"/>
    <w:rsid w:val="00F32EC5"/>
    <w:rsid w:val="00F33E5E"/>
    <w:rsid w:val="00F34159"/>
    <w:rsid w:val="00F3587F"/>
    <w:rsid w:val="00F3733C"/>
    <w:rsid w:val="00F44104"/>
    <w:rsid w:val="00F44149"/>
    <w:rsid w:val="00F442B0"/>
    <w:rsid w:val="00F454E2"/>
    <w:rsid w:val="00F469A9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A005F"/>
    <w:rsid w:val="00FA0793"/>
    <w:rsid w:val="00FA08C7"/>
    <w:rsid w:val="00FA0D0E"/>
    <w:rsid w:val="00FA11DA"/>
    <w:rsid w:val="00FA2BC6"/>
    <w:rsid w:val="00FA3230"/>
    <w:rsid w:val="00FA3B98"/>
    <w:rsid w:val="00FA5812"/>
    <w:rsid w:val="00FA5D7B"/>
    <w:rsid w:val="00FB03A1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2D3"/>
    <w:rsid w:val="00FE2CE8"/>
    <w:rsid w:val="00FE5EFC"/>
    <w:rsid w:val="00FE6381"/>
    <w:rsid w:val="00FF0FBC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D82414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1"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34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Normal1">
    <w:name w:val="Normal1"/>
    <w:rsid w:val="00F33E5E"/>
    <w:rPr>
      <w:sz w:val="24"/>
      <w:szCs w:val="24"/>
      <w:lang w:eastAsia="es-ES"/>
    </w:rPr>
  </w:style>
  <w:style w:type="paragraph" w:customStyle="1" w:styleId="Default">
    <w:name w:val="Default"/>
    <w:rsid w:val="001037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1040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MARIA CONSUELO CARRION CAMELO</cp:lastModifiedBy>
  <cp:revision>4</cp:revision>
  <cp:lastPrinted>2024-09-08T05:10:00Z</cp:lastPrinted>
  <dcterms:created xsi:type="dcterms:W3CDTF">2024-09-08T18:40:00Z</dcterms:created>
  <dcterms:modified xsi:type="dcterms:W3CDTF">2024-09-09T04:41:00Z</dcterms:modified>
</cp:coreProperties>
</file>