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Bogotá D.C., 23 de agosto de 2024</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Doctor</w:t>
      </w:r>
    </w:p>
    <w:p w:rsidR="00000000" w:rsidDel="00000000" w:rsidP="00000000" w:rsidRDefault="00000000" w:rsidRPr="00000000" w14:paraId="00000006">
      <w:pPr>
        <w:pStyle w:val="Heading1"/>
        <w:spacing w:before="43" w:lineRule="auto"/>
        <w:ind w:left="196" w:firstLine="0"/>
        <w:rPr/>
      </w:pPr>
      <w:r w:rsidDel="00000000" w:rsidR="00000000" w:rsidRPr="00000000">
        <w:rPr>
          <w:rtl w:val="0"/>
        </w:rPr>
        <w:t xml:space="preserve">DAVID ANDRÉS GIRALDO UMBARILA</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Subsecretario de Despacho</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76" w:lineRule="auto"/>
        <w:ind w:left="196" w:right="1193"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Comisión Primera Permanente del Plan de Desarrollo y Ordenamiento Territorial Concejo de Bogotá</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Ciudad</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Asunto: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presentación de Ponencia para primer debate al Proyecto de Acuerdo No. 549 de 2024.</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Respetado doctor Giraldo, reciba un cordial saludo.</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96" w:right="353"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Por designación efectuada mediante oficio del 08 agosto de 2024, por parte de la Secretaría General de la Corporación, y encontrándonos dentro del término reglamentario establecido en el Artículo 71 del Acuerdo 741 de 2019 modificado por el Acuerdo 837 de 2022, nos permitimos rendir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PONENCIA POSITIVA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para primer debate del Proyecto de Acuerdo No. 549 de 2024, teniendo en cuenta las consideraciones de orden legal y fáctico expuestas.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Cordialmente,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pStyle w:val="Heading1"/>
        <w:spacing w:before="13" w:lineRule="auto"/>
        <w:ind w:left="196" w:firstLine="0"/>
        <w:jc w:val="both"/>
        <w:rPr/>
      </w:pPr>
      <w:r w:rsidDel="00000000" w:rsidR="00000000" w:rsidRPr="00000000">
        <w:rPr>
          <w:rtl w:val="0"/>
        </w:rPr>
        <w:t xml:space="preserve">SANDRA FORERO RAMÍREZ</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Concejal de Bogotá</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Partido Centro Democrático</w:t>
      </w:r>
    </w:p>
    <w:p w:rsidR="00000000" w:rsidDel="00000000" w:rsidP="00000000" w:rsidRDefault="00000000" w:rsidRPr="00000000" w14:paraId="0000001A">
      <w:pPr>
        <w:spacing w:before="0" w:lineRule="auto"/>
        <w:ind w:left="196" w:right="0" w:firstLine="0"/>
        <w:jc w:val="left"/>
        <w:rPr>
          <w:b w:val="1"/>
          <w:sz w:val="24"/>
          <w:szCs w:val="24"/>
        </w:rPr>
        <w:sectPr>
          <w:headerReference r:id="rId6" w:type="default"/>
          <w:pgSz w:h="15850" w:w="12250" w:orient="portrait"/>
          <w:pgMar w:bottom="280" w:top="2820" w:left="1220" w:right="1060" w:header="835" w:footer="0"/>
          <w:pgNumType w:start="1"/>
        </w:sectPr>
      </w:pPr>
      <w:r w:rsidDel="00000000" w:rsidR="00000000" w:rsidRPr="00000000">
        <w:rPr>
          <w:b w:val="1"/>
          <w:sz w:val="24"/>
          <w:szCs w:val="24"/>
          <w:rtl w:val="0"/>
        </w:rPr>
        <w:t xml:space="preserve">Ponente</w:t>
      </w:r>
    </w:p>
    <w:p w:rsidR="00000000" w:rsidDel="00000000" w:rsidP="00000000" w:rsidRDefault="00000000" w:rsidRPr="00000000" w14:paraId="0000001B">
      <w:pPr>
        <w:spacing w:before="280" w:lineRule="auto"/>
        <w:ind w:left="232" w:right="393" w:firstLine="0"/>
        <w:jc w:val="center"/>
        <w:rPr>
          <w:b w:val="1"/>
          <w:sz w:val="24"/>
          <w:szCs w:val="24"/>
        </w:rPr>
      </w:pPr>
      <w:r w:rsidDel="00000000" w:rsidR="00000000" w:rsidRPr="00000000">
        <w:rPr>
          <w:b w:val="1"/>
          <w:sz w:val="24"/>
          <w:szCs w:val="24"/>
          <w:rtl w:val="0"/>
        </w:rPr>
        <w:t xml:space="preserve">PONENCIA PROYECTO DE ACUERDO N. 549 DE 2024</w:t>
      </w:r>
    </w:p>
    <w:p w:rsidR="00000000" w:rsidDel="00000000" w:rsidP="00000000" w:rsidRDefault="00000000" w:rsidRPr="00000000" w14:paraId="0000001C">
      <w:pPr>
        <w:spacing w:before="43" w:line="276" w:lineRule="auto"/>
        <w:ind w:left="228" w:right="393" w:firstLine="0"/>
        <w:jc w:val="center"/>
        <w:rPr>
          <w:b w:val="1"/>
          <w:sz w:val="24"/>
          <w:szCs w:val="24"/>
        </w:rPr>
      </w:pPr>
      <w:r w:rsidDel="00000000" w:rsidR="00000000" w:rsidRPr="00000000">
        <w:rPr>
          <w:b w:val="1"/>
          <w:sz w:val="24"/>
          <w:szCs w:val="24"/>
          <w:rtl w:val="0"/>
        </w:rPr>
        <w:t xml:space="preserve">“POR MEDIO DEL CUAL SE ENALTECE LA VIDA, OBRA Y LEGADO DEL NOBEL DE LITERATURA COLOMBIANO, GABRIEL GARCÍA MÁRQUEZ MEDIANTE PROCESOS, PROYECTOS Y ACTIVIDADES CULTURALES EN LA CIUDAD DE BOGOTÁ”</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478"/>
        </w:tabs>
        <w:spacing w:after="0" w:before="0" w:line="240" w:lineRule="auto"/>
        <w:ind w:left="478" w:right="0" w:hanging="282"/>
        <w:jc w:val="left"/>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OBJETO DEL PROYECTO</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spacing w:before="0" w:line="276" w:lineRule="auto"/>
        <w:ind w:left="196" w:right="357" w:firstLine="0"/>
        <w:jc w:val="both"/>
        <w:rPr>
          <w:i w:val="1"/>
          <w:sz w:val="24"/>
          <w:szCs w:val="24"/>
        </w:rPr>
      </w:pPr>
      <w:r w:rsidDel="00000000" w:rsidR="00000000" w:rsidRPr="00000000">
        <w:rPr>
          <w:sz w:val="24"/>
          <w:szCs w:val="24"/>
          <w:rtl w:val="0"/>
        </w:rPr>
        <w:t xml:space="preserve">El objeto del Proyecto de Acuerdo No. </w:t>
      </w:r>
      <w:r w:rsidDel="00000000" w:rsidR="00000000" w:rsidRPr="00000000">
        <w:rPr>
          <w:b w:val="1"/>
          <w:sz w:val="24"/>
          <w:szCs w:val="24"/>
          <w:rtl w:val="0"/>
        </w:rPr>
        <w:t xml:space="preserve">549 de 2024 </w:t>
      </w:r>
      <w:r w:rsidDel="00000000" w:rsidR="00000000" w:rsidRPr="00000000">
        <w:rPr>
          <w:sz w:val="24"/>
          <w:szCs w:val="24"/>
          <w:rtl w:val="0"/>
        </w:rPr>
        <w:t xml:space="preserve">es, </w:t>
      </w:r>
      <w:r w:rsidDel="00000000" w:rsidR="00000000" w:rsidRPr="00000000">
        <w:rPr>
          <w:i w:val="1"/>
          <w:sz w:val="24"/>
          <w:szCs w:val="24"/>
          <w:rtl w:val="0"/>
        </w:rPr>
        <w:t xml:space="preserve">“enaltecer la vida, obra y legado del Nobel de literatura colombiano, Gabriel García Márquez por medio de procesos, proyectos y actividades culturales en la ciudad de Bogotá, y contribuir en el bienestar de los ciudadanos mediante el arte de contar historias, las artes y las expresiones culturales”.</w:t>
      </w:r>
    </w:p>
    <w:p w:rsidR="00000000" w:rsidDel="00000000" w:rsidP="00000000" w:rsidRDefault="00000000" w:rsidRPr="00000000" w14:paraId="00000022">
      <w:pPr>
        <w:pStyle w:val="Heading1"/>
        <w:numPr>
          <w:ilvl w:val="0"/>
          <w:numId w:val="3"/>
        </w:numPr>
        <w:tabs>
          <w:tab w:val="left" w:leader="none" w:pos="478"/>
        </w:tabs>
        <w:spacing w:after="0" w:before="292" w:line="240" w:lineRule="auto"/>
        <w:ind w:left="478" w:right="0" w:hanging="282"/>
        <w:jc w:val="left"/>
        <w:rPr/>
      </w:pPr>
      <w:r w:rsidDel="00000000" w:rsidR="00000000" w:rsidRPr="00000000">
        <w:rPr>
          <w:rtl w:val="0"/>
        </w:rPr>
        <w:t xml:space="preserve">ANTECEDENTES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spacing w:before="1" w:line="276" w:lineRule="auto"/>
        <w:ind w:left="196" w:right="361" w:firstLine="0"/>
        <w:jc w:val="both"/>
        <w:rPr>
          <w:sz w:val="24"/>
          <w:szCs w:val="24"/>
        </w:rPr>
      </w:pPr>
      <w:r w:rsidDel="00000000" w:rsidR="00000000" w:rsidRPr="00000000">
        <w:rPr>
          <w:sz w:val="24"/>
          <w:szCs w:val="24"/>
          <w:rtl w:val="0"/>
        </w:rPr>
        <w:t xml:space="preserve">El Proyecto de Acuerdo N.º </w:t>
      </w:r>
      <w:r w:rsidDel="00000000" w:rsidR="00000000" w:rsidRPr="00000000">
        <w:rPr>
          <w:b w:val="1"/>
          <w:sz w:val="24"/>
          <w:szCs w:val="24"/>
          <w:rtl w:val="0"/>
        </w:rPr>
        <w:t xml:space="preserve">549 de 2024 </w:t>
      </w:r>
      <w:r w:rsidDel="00000000" w:rsidR="00000000" w:rsidRPr="00000000">
        <w:rPr>
          <w:i w:val="1"/>
          <w:sz w:val="24"/>
          <w:szCs w:val="24"/>
          <w:rtl w:val="0"/>
        </w:rPr>
        <w:t xml:space="preserve">“Por medio del cual se enaltece la vida, obra y legado del nobel de literatura colombiano, Gabriel García Márquez mediante procesos, proyectos y actividades culturales en la ciudad de Bogotá” </w:t>
      </w:r>
      <w:r w:rsidDel="00000000" w:rsidR="00000000" w:rsidRPr="00000000">
        <w:rPr>
          <w:sz w:val="24"/>
          <w:szCs w:val="24"/>
          <w:rtl w:val="0"/>
        </w:rPr>
        <w:t xml:space="preserve">tiene como antecedente: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632.0" w:type="dxa"/>
        <w:jc w:val="left"/>
        <w:tblInd w:w="21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09"/>
        <w:gridCol w:w="5104"/>
        <w:gridCol w:w="3119"/>
        <w:tblGridChange w:id="0">
          <w:tblGrid>
            <w:gridCol w:w="1409"/>
            <w:gridCol w:w="5104"/>
            <w:gridCol w:w="3119"/>
          </w:tblGrid>
        </w:tblGridChange>
      </w:tblGrid>
      <w:tr>
        <w:trPr>
          <w:cantSplit w:val="0"/>
          <w:trHeight w:val="733" w:hRule="atLeast"/>
          <w:tblHeader w:val="0"/>
        </w:trPr>
        <w:tc>
          <w:tcPr>
            <w:shd w:fill="9fc5e8"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 w:line="237" w:lineRule="auto"/>
              <w:ind w:left="208" w:right="0" w:firstLine="93"/>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Fecha de Radicación</w:t>
            </w:r>
          </w:p>
        </w:tc>
        <w:tc>
          <w:tcPr>
            <w:shd w:fill="9fc5e8" w:val="clea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 w:line="240" w:lineRule="auto"/>
              <w:ind w:left="1135" w:right="0" w:firstLine="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Nombre y número del Proyecto</w:t>
            </w:r>
          </w:p>
        </w:tc>
        <w:tc>
          <w:tcPr>
            <w:shd w:fill="9fc5e8" w:val="clea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 w:line="240" w:lineRule="auto"/>
              <w:ind w:left="19" w:right="0" w:firstLine="0"/>
              <w:jc w:val="center"/>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Trámite</w:t>
            </w:r>
          </w:p>
        </w:tc>
      </w:tr>
      <w:tr>
        <w:trPr>
          <w:cantSplit w:val="0"/>
          <w:trHeight w:val="1742" w:hRule="atLeast"/>
          <w:tblHeader w:val="0"/>
        </w:trPr>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17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17/04/2024</w:t>
            </w:r>
          </w:p>
        </w:tc>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2059"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P.A. N. 349</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76" w:lineRule="auto"/>
              <w:ind w:left="85" w:right="68" w:firstLine="0"/>
              <w:jc w:val="center"/>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“Por medio del cual se enaltece la vida, obra y legado del nobel de literatura colombiana, Gabriel García Márquez mediante procesos, proyectos y actividades culturales en la ciudad de Bogotá”</w:t>
            </w:r>
          </w:p>
        </w:tc>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76" w:lineRule="auto"/>
              <w:ind w:left="99" w:right="80" w:firstLine="0.9999999999999964"/>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PA fue archivado en virtud del art. 79 del acuerdo 741 de 2019- sesiones ordinarias del mes de mayo de 2024</w:t>
            </w:r>
          </w:p>
        </w:tc>
      </w:tr>
    </w:tbl>
    <w:p w:rsidR="00000000" w:rsidDel="00000000" w:rsidP="00000000" w:rsidRDefault="00000000" w:rsidRPr="00000000" w14:paraId="0000002E">
      <w:pPr>
        <w:spacing w:after="0" w:line="276" w:lineRule="auto"/>
        <w:ind w:firstLine="0"/>
        <w:jc w:val="center"/>
        <w:rPr>
          <w:sz w:val="22"/>
          <w:szCs w:val="22"/>
        </w:rPr>
        <w:sectPr>
          <w:type w:val="nextPage"/>
          <w:pgSz w:h="15850" w:w="12250" w:orient="portrait"/>
          <w:pgMar w:bottom="280" w:top="2820" w:left="1220" w:right="1060" w:header="835" w:footer="0"/>
        </w:sectPr>
      </w:pPr>
      <w:r w:rsidDel="00000000" w:rsidR="00000000" w:rsidRPr="00000000">
        <w:rPr>
          <w:rtl w:val="0"/>
        </w:rPr>
      </w:r>
    </w:p>
    <w:p w:rsidR="00000000" w:rsidDel="00000000" w:rsidP="00000000" w:rsidRDefault="00000000" w:rsidRPr="00000000" w14:paraId="0000002F">
      <w:pPr>
        <w:pStyle w:val="Heading1"/>
        <w:numPr>
          <w:ilvl w:val="0"/>
          <w:numId w:val="3"/>
        </w:numPr>
        <w:tabs>
          <w:tab w:val="left" w:leader="none" w:pos="478"/>
        </w:tabs>
        <w:spacing w:after="0" w:before="280" w:line="240" w:lineRule="auto"/>
        <w:ind w:left="478" w:right="0" w:hanging="282"/>
        <w:jc w:val="left"/>
        <w:rPr/>
      </w:pPr>
      <w:r w:rsidDel="00000000" w:rsidR="00000000" w:rsidRPr="00000000">
        <w:rPr>
          <w:rtl w:val="0"/>
        </w:rPr>
        <w:t xml:space="preserve">JUSTIFICACIÓN DEL PROYECTO</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 w:line="276" w:lineRule="auto"/>
        <w:ind w:left="196" w:right="35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 conformidad con lo expresado por el autor de esta iniciativa, este proyecto se presenta teniendo en cuenta el ciclo conmemorativo que se desarrollará en la Nación a través de una serie de proyectos y programas que buscan impulsar la cultura y el arte, este ciclo inicia en el presente año y culmina en el año 2027, en razón al décimo aniversario del fallecimiento del escritor Gabriel García Márquez.</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 w:line="276" w:lineRule="auto"/>
        <w:ind w:left="196" w:right="351"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 Bogotá, según se indica en la exposición de motivos, a pesar de los adelantos culturales que se han realizado en los últimos años, la oferta cultural sigue siendo insuficiente para que los artistas desarrollen sus actividades creativas en cada una de las localidades de la ciudad. En el año 2022 la Industria cultural representó el 5,7% del PIB de Bogotá y una ocupación de 202.000 en el sector, los cuales representaban el 5,3% del total de la ciudad. En el mismo sentido, la formalidad del sector ha venido en aumento, los asalariados aumentaron 10,23% para el 2022, mientras que los independientes cayeron un 6,96%.</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96" w:right="35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 así como se observa con gran importancia al sector cultural reconociendo que la industria creativa en Bogotá se encuentra en un constante crecimiento y que año tras año se ha ido consolidando. Existe una corresponsabilidad por parte de la Administración, entidades públicas, sectores, gremios y privados en continuar en este proceso de impulso a los artistas y creativos, con el fin de permitirles el correspondiente acceso a herramientas, plataformas y talentos, de modo que puedan desempeñar su actividad.</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96" w:right="357"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Gabriel García Márquez dejó para los Colombianos un legado inigualable, siendo uno de los escritores más importantes del país y basadas en su vida y obra, es un impulso enorme para el resto de artistas que siempre esperan mejores condiciones y más oportunidades.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Según lo anterior, este proyecto busca promover la realización de actividades consistentes en:</w:t>
      </w:r>
    </w:p>
    <w:p w:rsidR="00000000" w:rsidDel="00000000" w:rsidP="00000000" w:rsidRDefault="00000000" w:rsidRPr="00000000" w14:paraId="0000003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16"/>
        </w:tabs>
        <w:spacing w:after="0" w:before="46" w:line="240"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Eventos culturales</w:t>
      </w:r>
    </w:p>
    <w:p w:rsidR="00000000" w:rsidDel="00000000" w:rsidP="00000000" w:rsidRDefault="00000000" w:rsidRPr="00000000" w14:paraId="0000003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16"/>
        </w:tabs>
        <w:spacing w:after="0" w:before="43" w:line="240"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Educación y formación</w:t>
      </w:r>
    </w:p>
    <w:p w:rsidR="00000000" w:rsidDel="00000000" w:rsidP="00000000" w:rsidRDefault="00000000" w:rsidRPr="00000000" w14:paraId="0000003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16"/>
        </w:tabs>
        <w:spacing w:after="0" w:before="43" w:line="240"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Espacios culturales permanentes</w:t>
      </w:r>
    </w:p>
    <w:p w:rsidR="00000000" w:rsidDel="00000000" w:rsidP="00000000" w:rsidRDefault="00000000" w:rsidRPr="00000000" w14:paraId="000000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16"/>
        </w:tabs>
        <w:spacing w:after="0" w:before="45" w:line="240"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Difusión y promoción</w:t>
      </w:r>
    </w:p>
    <w:p w:rsidR="00000000" w:rsidDel="00000000" w:rsidP="00000000" w:rsidRDefault="00000000" w:rsidRPr="00000000" w14:paraId="0000003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16"/>
        </w:tabs>
        <w:spacing w:after="0" w:before="43" w:line="240" w:lineRule="auto"/>
        <w:ind w:left="916" w:right="0" w:hanging="360"/>
        <w:jc w:val="left"/>
        <w:rPr>
          <w:smallCaps w:val="0"/>
          <w:strike w:val="0"/>
          <w:color w:val="000000"/>
          <w:u w:val="none"/>
          <w:shd w:fill="auto" w:val="clear"/>
          <w:vertAlign w:val="baseline"/>
        </w:rPr>
        <w:sectPr>
          <w:type w:val="nextPage"/>
          <w:pgSz w:h="15850" w:w="12250" w:orient="portrait"/>
          <w:pgMar w:bottom="280" w:top="2820" w:left="1220" w:right="1060" w:header="835" w:footer="0"/>
        </w:sect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Investigación</w:t>
      </w:r>
    </w:p>
    <w:p w:rsidR="00000000" w:rsidDel="00000000" w:rsidP="00000000" w:rsidRDefault="00000000" w:rsidRPr="00000000" w14:paraId="0000003D">
      <w:pPr>
        <w:pStyle w:val="Heading1"/>
        <w:numPr>
          <w:ilvl w:val="0"/>
          <w:numId w:val="3"/>
        </w:numPr>
        <w:tabs>
          <w:tab w:val="left" w:leader="none" w:pos="478"/>
        </w:tabs>
        <w:spacing w:after="0" w:before="280" w:line="240" w:lineRule="auto"/>
        <w:ind w:left="478" w:right="0" w:hanging="215"/>
        <w:jc w:val="left"/>
        <w:rPr/>
      </w:pPr>
      <w:r w:rsidDel="00000000" w:rsidR="00000000" w:rsidRPr="00000000">
        <w:rPr>
          <w:rtl w:val="0"/>
        </w:rPr>
        <w:t xml:space="preserve">MARCO NORMATIVO APLICABLE</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 w:line="240" w:lineRule="auto"/>
        <w:ind w:left="196" w:right="35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Además del sustento jurídico presentado en la exposición de motivos, esta iniciativa se encuentra basado en la siguiente normatividad:</w:t>
      </w:r>
    </w:p>
    <w:p w:rsidR="00000000" w:rsidDel="00000000" w:rsidP="00000000" w:rsidRDefault="00000000" w:rsidRPr="00000000" w14:paraId="0000003F">
      <w:pPr>
        <w:pStyle w:val="Heading3"/>
        <w:numPr>
          <w:ilvl w:val="1"/>
          <w:numId w:val="3"/>
        </w:numPr>
        <w:tabs>
          <w:tab w:val="left" w:leader="none" w:pos="621"/>
        </w:tabs>
        <w:spacing w:after="0" w:before="240" w:line="240" w:lineRule="auto"/>
        <w:ind w:left="621" w:right="0" w:hanging="425"/>
        <w:jc w:val="left"/>
        <w:rPr/>
      </w:pPr>
      <w:r w:rsidDel="00000000" w:rsidR="00000000" w:rsidRPr="00000000">
        <w:rPr>
          <w:rtl w:val="0"/>
        </w:rPr>
        <w:t xml:space="preserve">Del Orden Internacional</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 w:line="240" w:lineRule="auto"/>
        <w:ind w:left="0" w:right="0" w:firstLine="0"/>
        <w:jc w:val="left"/>
        <w:rPr>
          <w:rFonts w:ascii="Calibri" w:cs="Calibri" w:eastAsia="Calibri" w:hAnsi="Calibri"/>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tabs>
          <w:tab w:val="left" w:leader="none" w:pos="915"/>
        </w:tabs>
        <w:spacing w:after="0" w:before="0" w:line="240" w:lineRule="auto"/>
        <w:ind w:left="915" w:right="0" w:hanging="359"/>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Convención para la Salvaguardia del Patrimonio Cultural Inmaterial – UNESCO 2003.</w:t>
      </w:r>
    </w:p>
    <w:p w:rsidR="00000000" w:rsidDel="00000000" w:rsidP="00000000" w:rsidRDefault="00000000" w:rsidRPr="00000000" w14:paraId="00000042">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tabs>
          <w:tab w:val="left" w:leader="none" w:pos="916"/>
        </w:tabs>
        <w:spacing w:after="0" w:before="43" w:line="278.00000000000006" w:lineRule="auto"/>
        <w:ind w:left="916" w:right="365"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Convención sobre la Protección y la Promoción de la Diversidad de las Expresiones Culturales – adoptada por la UNESCO en 2005</w:t>
      </w:r>
    </w:p>
    <w:p w:rsidR="00000000" w:rsidDel="00000000" w:rsidP="00000000" w:rsidRDefault="00000000" w:rsidRPr="00000000" w14:paraId="00000043">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tabs>
          <w:tab w:val="left" w:leader="none" w:pos="915"/>
        </w:tabs>
        <w:spacing w:after="0" w:before="0" w:line="288" w:lineRule="auto"/>
        <w:ind w:left="915" w:right="0" w:hanging="359"/>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Marco de la UNESCO para la Educación Cultural y Artística</w:t>
      </w:r>
    </w:p>
    <w:p w:rsidR="00000000" w:rsidDel="00000000" w:rsidP="00000000" w:rsidRDefault="00000000" w:rsidRPr="00000000" w14:paraId="00000044">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tabs>
          <w:tab w:val="left" w:leader="none" w:pos="916"/>
        </w:tabs>
        <w:spacing w:after="0" w:before="43" w:line="278.00000000000006" w:lineRule="auto"/>
        <w:ind w:left="916" w:right="352"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Guía de Apoyo para la Formulación y Presentación de Proyectos del Subsector Arte y Cultura</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pStyle w:val="Heading2"/>
        <w:numPr>
          <w:ilvl w:val="1"/>
          <w:numId w:val="3"/>
        </w:numPr>
        <w:tabs>
          <w:tab w:val="left" w:leader="none" w:pos="621"/>
        </w:tabs>
        <w:spacing w:after="0" w:before="0" w:line="240" w:lineRule="auto"/>
        <w:ind w:left="621" w:right="0" w:hanging="425"/>
        <w:jc w:val="left"/>
        <w:rPr/>
      </w:pPr>
      <w:r w:rsidDel="00000000" w:rsidR="00000000" w:rsidRPr="00000000">
        <w:rPr>
          <w:rtl w:val="0"/>
        </w:rPr>
        <w:t xml:space="preserve">Convencionalidad</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spacing w:before="0" w:lineRule="auto"/>
        <w:ind w:left="196" w:right="0" w:firstLine="0"/>
        <w:jc w:val="both"/>
        <w:rPr>
          <w:b w:val="1"/>
          <w:sz w:val="24"/>
          <w:szCs w:val="24"/>
        </w:rPr>
      </w:pPr>
      <w:r w:rsidDel="00000000" w:rsidR="00000000" w:rsidRPr="00000000">
        <w:rPr>
          <w:b w:val="1"/>
          <w:sz w:val="24"/>
          <w:szCs w:val="24"/>
          <w:rtl w:val="0"/>
        </w:rPr>
        <w:t xml:space="preserve">Objetivos de Desarrollo Sostenible - ODS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spacing w:before="0" w:line="276" w:lineRule="auto"/>
        <w:ind w:left="196" w:right="354" w:firstLine="0"/>
        <w:jc w:val="both"/>
        <w:rPr>
          <w:sz w:val="24"/>
          <w:szCs w:val="24"/>
        </w:rPr>
      </w:pPr>
      <w:r w:rsidDel="00000000" w:rsidR="00000000" w:rsidRPr="00000000">
        <w:rPr>
          <w:b w:val="1"/>
          <w:sz w:val="24"/>
          <w:szCs w:val="24"/>
          <w:rtl w:val="0"/>
        </w:rPr>
        <w:t xml:space="preserve">Objetivo 4: Garantizar una educación inclusiva, equitativa y de calidad y promover oportunidades de aprendizaje durante toda la vida para todos: </w:t>
      </w:r>
      <w:r w:rsidDel="00000000" w:rsidR="00000000" w:rsidRPr="00000000">
        <w:rPr>
          <w:sz w:val="24"/>
          <w:szCs w:val="24"/>
          <w:rtl w:val="0"/>
        </w:rPr>
        <w:t xml:space="preserve">El Proyecto de Acuerdo se compromete a brindar educación y formación en las materias de cultura y arte, esta ayuda proporcionada debe ser de calidad para romper el ciclo de pobreza que llega a ser generacional</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spacing w:before="0" w:line="276" w:lineRule="auto"/>
        <w:ind w:left="196" w:right="358" w:firstLine="0"/>
        <w:jc w:val="both"/>
        <w:rPr>
          <w:sz w:val="24"/>
          <w:szCs w:val="24"/>
        </w:rPr>
      </w:pPr>
      <w:r w:rsidDel="00000000" w:rsidR="00000000" w:rsidRPr="00000000">
        <w:rPr>
          <w:b w:val="1"/>
          <w:sz w:val="24"/>
          <w:szCs w:val="24"/>
          <w:rtl w:val="0"/>
        </w:rPr>
        <w:t xml:space="preserve">Objetivo 8: Promover el crecimiento económico inclusivo y sostenible, el empleo y el trabajo decente para todos: </w:t>
      </w:r>
      <w:r w:rsidDel="00000000" w:rsidR="00000000" w:rsidRPr="00000000">
        <w:rPr>
          <w:sz w:val="24"/>
          <w:szCs w:val="24"/>
          <w:rtl w:val="0"/>
        </w:rPr>
        <w:t xml:space="preserve">La meta que tiene este proyecto de acuerdo de promover la cultura y el arte permite que se le garantice el acceso a un empleo formal y decente a los artistas que día a día se dedican de lleno a su profesión.</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spacing w:before="0" w:line="276" w:lineRule="auto"/>
        <w:ind w:left="196" w:right="351" w:firstLine="0"/>
        <w:jc w:val="both"/>
        <w:rPr>
          <w:sz w:val="24"/>
          <w:szCs w:val="24"/>
        </w:rPr>
        <w:sectPr>
          <w:type w:val="nextPage"/>
          <w:pgSz w:h="15850" w:w="12250" w:orient="portrait"/>
          <w:pgMar w:bottom="280" w:top="2820" w:left="1220" w:right="1060" w:header="835" w:footer="0"/>
        </w:sectPr>
      </w:pPr>
      <w:r w:rsidDel="00000000" w:rsidR="00000000" w:rsidRPr="00000000">
        <w:rPr>
          <w:b w:val="1"/>
          <w:sz w:val="24"/>
          <w:szCs w:val="24"/>
          <w:rtl w:val="0"/>
        </w:rPr>
        <w:t xml:space="preserve">Objetivo 17: Revitalizar la Alianza Mundial para el Desarrollo Sostenible: </w:t>
      </w:r>
      <w:r w:rsidDel="00000000" w:rsidR="00000000" w:rsidRPr="00000000">
        <w:rPr>
          <w:sz w:val="24"/>
          <w:szCs w:val="24"/>
          <w:rtl w:val="0"/>
        </w:rPr>
        <w:t xml:space="preserve">El trabajo conjunto de la mano de la Administración, las entidades públicas, sectores privados y gremios permitirá que se cumpla a cabalidad este objetivo que busca fortalecer las alianzas para un desarrollo sostenible que a su vez promueva la cultura y el arte.</w:t>
      </w:r>
    </w:p>
    <w:p w:rsidR="00000000" w:rsidDel="00000000" w:rsidP="00000000" w:rsidRDefault="00000000" w:rsidRPr="00000000" w14:paraId="0000004F">
      <w:pPr>
        <w:pStyle w:val="Heading2"/>
        <w:numPr>
          <w:ilvl w:val="1"/>
          <w:numId w:val="3"/>
        </w:numPr>
        <w:tabs>
          <w:tab w:val="left" w:leader="none" w:pos="621"/>
        </w:tabs>
        <w:spacing w:after="0" w:before="280" w:line="240" w:lineRule="auto"/>
        <w:ind w:left="621" w:right="0" w:hanging="425"/>
        <w:jc w:val="left"/>
        <w:rPr/>
      </w:pPr>
      <w:r w:rsidDel="00000000" w:rsidR="00000000" w:rsidRPr="00000000">
        <w:rPr>
          <w:rtl w:val="0"/>
        </w:rPr>
        <w:t xml:space="preserve">Constitución Política de Colombia.</w:t>
      </w:r>
    </w:p>
    <w:p w:rsidR="00000000" w:rsidDel="00000000" w:rsidP="00000000" w:rsidRDefault="00000000" w:rsidRPr="00000000" w14:paraId="00000050">
      <w:pPr>
        <w:spacing w:before="293" w:lineRule="auto"/>
        <w:ind w:left="196" w:right="360" w:firstLine="0"/>
        <w:jc w:val="both"/>
        <w:rPr>
          <w:i w:val="1"/>
          <w:sz w:val="24"/>
          <w:szCs w:val="24"/>
        </w:rPr>
      </w:pPr>
      <w:r w:rsidDel="00000000" w:rsidR="00000000" w:rsidRPr="00000000">
        <w:rPr>
          <w:b w:val="1"/>
          <w:sz w:val="24"/>
          <w:szCs w:val="24"/>
          <w:rtl w:val="0"/>
        </w:rPr>
        <w:t xml:space="preserve">Artículo 2. </w:t>
      </w:r>
      <w:r w:rsidDel="00000000" w:rsidR="00000000" w:rsidRPr="00000000">
        <w:rPr>
          <w:i w:val="1"/>
          <w:sz w:val="24"/>
          <w:szCs w:val="24"/>
          <w:rtl w:val="0"/>
        </w:rPr>
        <w:t xml:space="preserve">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del orden justo.</w:t>
      </w:r>
    </w:p>
    <w:p w:rsidR="00000000" w:rsidDel="00000000" w:rsidP="00000000" w:rsidRDefault="00000000" w:rsidRPr="00000000" w14:paraId="00000051">
      <w:pPr>
        <w:spacing w:before="292" w:lineRule="auto"/>
        <w:ind w:left="196" w:right="361" w:firstLine="0"/>
        <w:jc w:val="both"/>
        <w:rPr>
          <w:i w:val="1"/>
          <w:sz w:val="24"/>
          <w:szCs w:val="24"/>
        </w:rPr>
      </w:pPr>
      <w:r w:rsidDel="00000000" w:rsidR="00000000" w:rsidRPr="00000000">
        <w:rPr>
          <w:i w:val="1"/>
          <w:sz w:val="24"/>
          <w:szCs w:val="24"/>
          <w:rtl w:val="0"/>
        </w:rPr>
        <w:t xml:space="preserve">La Autoridades de la República están instituidas para proteger a todas las personas residentes en Colombia, en su vida, honra y bienes, creencia, y demás derechos y libertades, y para asegurar el cumplimiento de los deberes sociales del estado y de los particulares.</w:t>
      </w:r>
    </w:p>
    <w:p w:rsidR="00000000" w:rsidDel="00000000" w:rsidP="00000000" w:rsidRDefault="00000000" w:rsidRPr="00000000" w14:paraId="00000052">
      <w:pPr>
        <w:spacing w:before="292" w:lineRule="auto"/>
        <w:ind w:left="196" w:right="0" w:firstLine="0"/>
        <w:jc w:val="both"/>
        <w:rPr>
          <w:rFonts w:ascii="Arial" w:cs="Arial" w:eastAsia="Arial" w:hAnsi="Arial"/>
          <w:i w:val="1"/>
          <w:sz w:val="24"/>
          <w:szCs w:val="24"/>
        </w:rPr>
      </w:pPr>
      <w:r w:rsidDel="00000000" w:rsidR="00000000" w:rsidRPr="00000000">
        <w:rPr>
          <w:b w:val="1"/>
          <w:sz w:val="24"/>
          <w:szCs w:val="24"/>
          <w:rtl w:val="0"/>
        </w:rPr>
        <w:t xml:space="preserve">Artículo 7. </w:t>
      </w:r>
      <w:r w:rsidDel="00000000" w:rsidR="00000000" w:rsidRPr="00000000">
        <w:rPr>
          <w:i w:val="1"/>
          <w:sz w:val="24"/>
          <w:szCs w:val="24"/>
          <w:rtl w:val="0"/>
        </w:rPr>
        <w:t xml:space="preserve">El Estado reconoce y protege la diversidad étnica y cultural de la nación colombiana</w:t>
      </w:r>
      <w:r w:rsidDel="00000000" w:rsidR="00000000" w:rsidRPr="00000000">
        <w:rPr>
          <w:rFonts w:ascii="Arial" w:cs="Arial" w:eastAsia="Arial" w:hAnsi="Arial"/>
          <w:i w:val="1"/>
          <w:sz w:val="24"/>
          <w:szCs w:val="24"/>
          <w:rtl w:val="0"/>
        </w:rPr>
        <w:t xml:space="preserv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spacing w:before="0" w:lineRule="auto"/>
        <w:ind w:left="196" w:right="359" w:firstLine="0"/>
        <w:jc w:val="both"/>
        <w:rPr>
          <w:i w:val="1"/>
          <w:sz w:val="24"/>
          <w:szCs w:val="24"/>
        </w:rPr>
      </w:pPr>
      <w:r w:rsidDel="00000000" w:rsidR="00000000" w:rsidRPr="00000000">
        <w:rPr>
          <w:b w:val="1"/>
          <w:i w:val="1"/>
          <w:sz w:val="24"/>
          <w:szCs w:val="24"/>
          <w:rtl w:val="0"/>
        </w:rPr>
        <w:t xml:space="preserve">Artículo 8o. </w:t>
      </w:r>
      <w:r w:rsidDel="00000000" w:rsidR="00000000" w:rsidRPr="00000000">
        <w:rPr>
          <w:i w:val="1"/>
          <w:sz w:val="24"/>
          <w:szCs w:val="24"/>
          <w:rtl w:val="0"/>
        </w:rPr>
        <w:t xml:space="preserve">Es obligación del Estado y de las personas proteger las riquezas culturales y naturales de la Nación.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spacing w:before="0" w:line="276" w:lineRule="auto"/>
        <w:ind w:left="196" w:right="362" w:firstLine="0"/>
        <w:jc w:val="both"/>
        <w:rPr>
          <w:i w:val="1"/>
          <w:sz w:val="24"/>
          <w:szCs w:val="24"/>
        </w:rPr>
      </w:pPr>
      <w:r w:rsidDel="00000000" w:rsidR="00000000" w:rsidRPr="00000000">
        <w:rPr>
          <w:b w:val="1"/>
          <w:i w:val="1"/>
          <w:sz w:val="24"/>
          <w:szCs w:val="24"/>
          <w:rtl w:val="0"/>
        </w:rPr>
        <w:t xml:space="preserve">Artículo 95. </w:t>
      </w:r>
      <w:r w:rsidDel="00000000" w:rsidR="00000000" w:rsidRPr="00000000">
        <w:rPr>
          <w:i w:val="1"/>
          <w:sz w:val="24"/>
          <w:szCs w:val="24"/>
          <w:rtl w:val="0"/>
        </w:rPr>
        <w:t xml:space="preserve">La calidad de colombiano enaltece a todos los miembros de la comunidad nacional. Todos están en el deber de engrandecerla y dignificarla. El ejercicio de los derechos y libertades reconocidos en esta Constitución implica responsabilidades.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35"/>
        </w:tabs>
        <w:spacing w:after="0" w:before="0" w:line="276" w:lineRule="auto"/>
        <w:ind w:left="196" w:right="361" w:firstLine="0"/>
        <w:jc w:val="left"/>
        <w:rPr>
          <w:rFonts w:ascii="Calibri" w:cs="Calibri" w:eastAsia="Calibri" w:hAnsi="Calibri"/>
          <w:b w:val="1"/>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Proteger los recursos culturales y naturales del país y velar por la conservación de un ambiente sano.</w:t>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pStyle w:val="Heading2"/>
        <w:numPr>
          <w:ilvl w:val="1"/>
          <w:numId w:val="1"/>
        </w:numPr>
        <w:tabs>
          <w:tab w:val="left" w:leader="none" w:pos="479"/>
        </w:tabs>
        <w:spacing w:after="0" w:before="1" w:line="240" w:lineRule="auto"/>
        <w:ind w:left="479" w:right="0" w:hanging="360"/>
        <w:jc w:val="left"/>
        <w:rPr/>
      </w:pPr>
      <w:r w:rsidDel="00000000" w:rsidR="00000000" w:rsidRPr="00000000">
        <w:rPr>
          <w:rtl w:val="0"/>
        </w:rPr>
        <w:t xml:space="preserve">Marco legal</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spacing w:before="0" w:lineRule="auto"/>
        <w:ind w:left="196" w:right="358" w:firstLine="0"/>
        <w:jc w:val="both"/>
        <w:rPr>
          <w:i w:val="1"/>
          <w:sz w:val="24"/>
          <w:szCs w:val="24"/>
        </w:rPr>
      </w:pPr>
      <w:r w:rsidDel="00000000" w:rsidR="00000000" w:rsidRPr="00000000">
        <w:rPr>
          <w:b w:val="1"/>
          <w:sz w:val="24"/>
          <w:szCs w:val="24"/>
          <w:rtl w:val="0"/>
        </w:rPr>
        <w:t xml:space="preserve">Ley 397 de 1997. </w:t>
      </w:r>
      <w:r w:rsidDel="00000000" w:rsidR="00000000" w:rsidRPr="00000000">
        <w:rPr>
          <w:sz w:val="24"/>
          <w:szCs w:val="24"/>
          <w:rtl w:val="0"/>
        </w:rPr>
        <w:t xml:space="preserve">Ley General de Cultura. De acuerdo con el numeral 3 del artículo 1º establece: </w:t>
      </w:r>
      <w:r w:rsidDel="00000000" w:rsidR="00000000" w:rsidRPr="00000000">
        <w:rPr>
          <w:i w:val="1"/>
          <w:sz w:val="24"/>
          <w:szCs w:val="24"/>
          <w:rtl w:val="0"/>
        </w:rPr>
        <w:t xml:space="preserve">“El Estado impulsará y estimulará los procesos, proyectos y actividades culturales en un marco de reconocimiento y respeto por la diversidad y variedad cultural de la nación colombiana”.</w:t>
      </w:r>
    </w:p>
    <w:p w:rsidR="00000000" w:rsidDel="00000000" w:rsidP="00000000" w:rsidRDefault="00000000" w:rsidRPr="00000000" w14:paraId="0000005D">
      <w:pPr>
        <w:spacing w:before="292" w:line="240" w:lineRule="auto"/>
        <w:ind w:left="196" w:right="353" w:firstLine="0"/>
        <w:jc w:val="both"/>
        <w:rPr>
          <w:i w:val="1"/>
          <w:sz w:val="24"/>
          <w:szCs w:val="24"/>
        </w:rPr>
      </w:pPr>
      <w:r w:rsidDel="00000000" w:rsidR="00000000" w:rsidRPr="00000000">
        <w:rPr>
          <w:sz w:val="24"/>
          <w:szCs w:val="24"/>
          <w:rtl w:val="0"/>
        </w:rPr>
        <w:t xml:space="preserve">En el numeral 5 señala que </w:t>
      </w:r>
      <w:r w:rsidDel="00000000" w:rsidR="00000000" w:rsidRPr="00000000">
        <w:rPr>
          <w:i w:val="1"/>
          <w:sz w:val="24"/>
          <w:szCs w:val="24"/>
          <w:rtl w:val="0"/>
        </w:rPr>
        <w:t xml:space="preserve">“Es obligación del Estado y de las personas valorar, proteger y difundir el patrimonio cultural de la nación”</w:t>
      </w:r>
      <w:r w:rsidDel="00000000" w:rsidR="00000000" w:rsidRPr="00000000">
        <w:rPr>
          <w:sz w:val="24"/>
          <w:szCs w:val="24"/>
          <w:rtl w:val="0"/>
        </w:rPr>
        <w:t xml:space="preserve">. Así mismo, en el numeral 11 establece que </w:t>
      </w:r>
      <w:r w:rsidDel="00000000" w:rsidR="00000000" w:rsidRPr="00000000">
        <w:rPr>
          <w:i w:val="1"/>
          <w:sz w:val="24"/>
          <w:szCs w:val="24"/>
          <w:rtl w:val="0"/>
        </w:rPr>
        <w:t xml:space="preserve">“El Estado fomentará la creación, ampliación y adecuación de infraestructura artística y cultural y garantizará el acceso de todos los colombianos a la misma”.</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pStyle w:val="Heading2"/>
        <w:numPr>
          <w:ilvl w:val="1"/>
          <w:numId w:val="1"/>
        </w:numPr>
        <w:tabs>
          <w:tab w:val="left" w:leader="none" w:pos="621"/>
        </w:tabs>
        <w:spacing w:after="0" w:before="0" w:line="240" w:lineRule="auto"/>
        <w:ind w:left="621" w:right="0" w:hanging="425"/>
        <w:jc w:val="left"/>
        <w:rPr/>
        <w:sectPr>
          <w:type w:val="nextPage"/>
          <w:pgSz w:h="15850" w:w="12250" w:orient="portrait"/>
          <w:pgMar w:bottom="280" w:top="2820" w:left="1220" w:right="1060" w:header="835" w:footer="0"/>
        </w:sectPr>
      </w:pPr>
      <w:r w:rsidDel="00000000" w:rsidR="00000000" w:rsidRPr="00000000">
        <w:rPr>
          <w:rtl w:val="0"/>
        </w:rPr>
        <w:t xml:space="preserve">Del Orden Distrital</w:t>
      </w:r>
    </w:p>
    <w:p w:rsidR="00000000" w:rsidDel="00000000" w:rsidP="00000000" w:rsidRDefault="00000000" w:rsidRPr="00000000" w14:paraId="00000060">
      <w:pPr>
        <w:spacing w:before="280" w:line="276" w:lineRule="auto"/>
        <w:ind w:left="196" w:right="354" w:firstLine="0"/>
        <w:jc w:val="both"/>
        <w:rPr>
          <w:sz w:val="24"/>
          <w:szCs w:val="24"/>
        </w:rPr>
      </w:pPr>
      <w:r w:rsidDel="00000000" w:rsidR="00000000" w:rsidRPr="00000000">
        <w:rPr>
          <w:b w:val="1"/>
          <w:sz w:val="24"/>
          <w:szCs w:val="24"/>
          <w:rtl w:val="0"/>
        </w:rPr>
        <w:t xml:space="preserve">Acuerdo Distrital 556 de 2014 </w:t>
      </w:r>
      <w:r w:rsidDel="00000000" w:rsidR="00000000" w:rsidRPr="00000000">
        <w:rPr>
          <w:i w:val="1"/>
          <w:sz w:val="24"/>
          <w:szCs w:val="24"/>
          <w:rtl w:val="0"/>
        </w:rPr>
        <w:t xml:space="preserve">Por el cual se exalta la obra literaria "Cien Años de Soledad" del nobel de literatura Gabriel García Márquez y se dictan otras disposiciones</w:t>
      </w:r>
      <w:r w:rsidDel="00000000" w:rsidR="00000000" w:rsidRPr="00000000">
        <w:rPr>
          <w:sz w:val="24"/>
          <w:szCs w:val="24"/>
          <w:rtl w:val="0"/>
        </w:rPr>
        <w:t xml:space="preserve">. Este proyecto contempló:</w:t>
      </w:r>
    </w:p>
    <w:p w:rsidR="00000000" w:rsidDel="00000000" w:rsidP="00000000" w:rsidRDefault="00000000" w:rsidRPr="00000000" w14:paraId="00000061">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916"/>
        </w:tabs>
        <w:spacing w:after="0" w:before="240" w:line="240"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Creación de la cátedra Gabriel García Márquez con actividades culturales y literarias</w:t>
      </w:r>
    </w:p>
    <w:p w:rsidR="00000000" w:rsidDel="00000000" w:rsidP="00000000" w:rsidRDefault="00000000" w:rsidRPr="00000000" w14:paraId="00000062">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916"/>
        </w:tabs>
        <w:spacing w:after="0" w:before="43" w:line="278.00000000000006" w:lineRule="auto"/>
        <w:ind w:left="916" w:right="361"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cargo de La Secretaría de Educación, la Secretaría de Cultura, Recreación y Deporte y el Instituto Distrital de las Artes</w:t>
      </w:r>
    </w:p>
    <w:p w:rsidR="00000000" w:rsidDel="00000000" w:rsidP="00000000" w:rsidRDefault="00000000" w:rsidRPr="00000000" w14:paraId="00000063">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916"/>
        </w:tabs>
        <w:spacing w:after="0" w:before="0" w:line="288"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21 de octubre celebración</w:t>
      </w:r>
    </w:p>
    <w:p w:rsidR="00000000" w:rsidDel="00000000" w:rsidP="00000000" w:rsidRDefault="00000000" w:rsidRPr="00000000" w14:paraId="00000064">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916"/>
        </w:tabs>
        <w:spacing w:after="0" w:before="43" w:line="240"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Cambio de nombre a “PARQUE DE LOS PERIODISTAS GABRIEL GARCÍA MÁRQUEZ” con</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40" w:lineRule="auto"/>
        <w:ind w:left="91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escultura alegórica al Nobel</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spacing w:before="1" w:lineRule="auto"/>
        <w:ind w:left="196" w:right="353" w:firstLine="0"/>
        <w:jc w:val="both"/>
        <w:rPr>
          <w:sz w:val="24"/>
          <w:szCs w:val="24"/>
        </w:rPr>
      </w:pPr>
      <w:r w:rsidDel="00000000" w:rsidR="00000000" w:rsidRPr="00000000">
        <w:rPr>
          <w:b w:val="1"/>
          <w:sz w:val="24"/>
          <w:szCs w:val="24"/>
          <w:rtl w:val="0"/>
        </w:rPr>
        <w:t xml:space="preserve">Acuerdo Distrital 679 de 2017, </w:t>
      </w:r>
      <w:r w:rsidDel="00000000" w:rsidR="00000000" w:rsidRPr="00000000">
        <w:rPr>
          <w:i w:val="1"/>
          <w:sz w:val="24"/>
          <w:szCs w:val="24"/>
          <w:rtl w:val="0"/>
        </w:rPr>
        <w:t xml:space="preserve">Por el cual se exalta la obra literaria "Cien Años de Soledad" del nobel de literatura Gabriel García Márquez y se dictan otras disposiciones, </w:t>
      </w:r>
      <w:r w:rsidDel="00000000" w:rsidR="00000000" w:rsidRPr="00000000">
        <w:rPr>
          <w:sz w:val="24"/>
          <w:szCs w:val="24"/>
          <w:rtl w:val="0"/>
        </w:rPr>
        <w:t xml:space="preserve">el cual contempla actividades con el fin de promover la lectura y el reconocimiento por nuestros escritores, tal como:</w:t>
      </w:r>
    </w:p>
    <w:p w:rsidR="00000000" w:rsidDel="00000000" w:rsidP="00000000" w:rsidRDefault="00000000" w:rsidRPr="00000000" w14:paraId="00000068">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916"/>
        </w:tabs>
        <w:spacing w:after="0" w:before="292" w:line="242" w:lineRule="auto"/>
        <w:ind w:left="916" w:right="363"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Bibliotecas de Bogotá con espacio "BOGOTÁ ES MACONDO" con acceso a 100 años de soledad y publicaciones similares</w:t>
      </w:r>
    </w:p>
    <w:p w:rsidR="00000000" w:rsidDel="00000000" w:rsidP="00000000" w:rsidRDefault="00000000" w:rsidRPr="00000000" w14:paraId="00000069">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916"/>
        </w:tabs>
        <w:spacing w:after="0" w:before="0" w:line="289"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Categoría "ÚRSULA IGUARÁN" en el concurso de Leer y Escribir de la Administración</w:t>
      </w:r>
    </w:p>
    <w:p w:rsidR="00000000" w:rsidDel="00000000" w:rsidP="00000000" w:rsidRDefault="00000000" w:rsidRPr="00000000" w14:paraId="0000006A">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916"/>
        </w:tabs>
        <w:spacing w:after="0" w:before="0" w:line="240" w:lineRule="auto"/>
        <w:ind w:left="916" w:right="0"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Concierto "LA PIANOLA DE PIETRO CRESPI" a cargo de la Filarmónica</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pStyle w:val="Heading1"/>
        <w:numPr>
          <w:ilvl w:val="0"/>
          <w:numId w:val="3"/>
        </w:numPr>
        <w:tabs>
          <w:tab w:val="left" w:leader="none" w:pos="478"/>
        </w:tabs>
        <w:spacing w:after="0" w:before="0" w:line="240" w:lineRule="auto"/>
        <w:ind w:left="478" w:right="0" w:hanging="215"/>
        <w:jc w:val="left"/>
        <w:rPr/>
      </w:pPr>
      <w:r w:rsidDel="00000000" w:rsidR="00000000" w:rsidRPr="00000000">
        <w:rPr>
          <w:rtl w:val="0"/>
        </w:rPr>
        <w:t xml:space="preserve">COMPETENCIA DEL CONCEJO</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96"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 competencias del Concejo están contenidas en las siguientes normas:</w:t>
      </w:r>
    </w:p>
    <w:p w:rsidR="00000000" w:rsidDel="00000000" w:rsidP="00000000" w:rsidRDefault="00000000" w:rsidRPr="00000000" w14:paraId="0000006F">
      <w:pPr>
        <w:pStyle w:val="Heading2"/>
        <w:numPr>
          <w:ilvl w:val="1"/>
          <w:numId w:val="3"/>
        </w:numPr>
        <w:tabs>
          <w:tab w:val="left" w:leader="none" w:pos="621"/>
        </w:tabs>
        <w:spacing w:after="0" w:before="292" w:line="240" w:lineRule="auto"/>
        <w:ind w:left="621" w:right="0" w:hanging="425"/>
        <w:jc w:val="left"/>
        <w:rPr/>
      </w:pPr>
      <w:r w:rsidDel="00000000" w:rsidR="00000000" w:rsidRPr="00000000">
        <w:rPr>
          <w:rtl w:val="0"/>
        </w:rPr>
        <w:t xml:space="preserve">Constitución Política</w:t>
      </w:r>
    </w:p>
    <w:p w:rsidR="00000000" w:rsidDel="00000000" w:rsidP="00000000" w:rsidRDefault="00000000" w:rsidRPr="00000000" w14:paraId="00000070">
      <w:pPr>
        <w:spacing w:before="46" w:lineRule="auto"/>
        <w:ind w:left="196" w:right="0" w:firstLine="0"/>
        <w:jc w:val="both"/>
        <w:rPr>
          <w:i w:val="1"/>
          <w:sz w:val="24"/>
          <w:szCs w:val="24"/>
        </w:rPr>
      </w:pPr>
      <w:r w:rsidDel="00000000" w:rsidR="00000000" w:rsidRPr="00000000">
        <w:rPr>
          <w:i w:val="1"/>
          <w:sz w:val="24"/>
          <w:szCs w:val="24"/>
          <w:rtl w:val="0"/>
        </w:rPr>
        <w:t xml:space="preserve">Artículo 313. Corresponde a los Concejos:</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spacing w:before="0" w:line="278.00000000000006" w:lineRule="auto"/>
        <w:ind w:left="196" w:right="670" w:firstLine="0"/>
        <w:jc w:val="left"/>
        <w:rPr>
          <w:i w:val="1"/>
          <w:sz w:val="24"/>
          <w:szCs w:val="24"/>
        </w:rPr>
      </w:pPr>
      <w:r w:rsidDel="00000000" w:rsidR="00000000" w:rsidRPr="00000000">
        <w:rPr>
          <w:i w:val="1"/>
          <w:sz w:val="24"/>
          <w:szCs w:val="24"/>
          <w:rtl w:val="0"/>
        </w:rPr>
        <w:t xml:space="preserve">1. Reglamentar las funciones y la eficiente prestación de los servicios a cargo del municipio. [...]</w:t>
      </w:r>
    </w:p>
    <w:p w:rsidR="00000000" w:rsidDel="00000000" w:rsidP="00000000" w:rsidRDefault="00000000" w:rsidRPr="00000000" w14:paraId="0000007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0" w:before="98" w:line="240" w:lineRule="auto"/>
        <w:ind w:left="196" w:right="411"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Dictar las normas necesarias para el control, la preservación y defensa del patrimonio ecológico y cultural del municipio”.</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pStyle w:val="Heading3"/>
        <w:numPr>
          <w:ilvl w:val="1"/>
          <w:numId w:val="1"/>
        </w:numPr>
        <w:tabs>
          <w:tab w:val="left" w:leader="none" w:pos="621"/>
        </w:tabs>
        <w:spacing w:after="0" w:before="0" w:line="240" w:lineRule="auto"/>
        <w:ind w:left="621" w:right="0" w:hanging="425"/>
        <w:jc w:val="left"/>
        <w:rPr/>
        <w:sectPr>
          <w:type w:val="nextPage"/>
          <w:pgSz w:h="15850" w:w="12250" w:orient="portrait"/>
          <w:pgMar w:bottom="280" w:top="2820" w:left="1220" w:right="1060" w:header="835" w:footer="0"/>
        </w:sectPr>
      </w:pPr>
      <w:r w:rsidDel="00000000" w:rsidR="00000000" w:rsidRPr="00000000">
        <w:rPr>
          <w:rtl w:val="0"/>
        </w:rPr>
        <w:t xml:space="preserve">Decreto ley 1421 de 1993</w:t>
      </w:r>
    </w:p>
    <w:p w:rsidR="00000000" w:rsidDel="00000000" w:rsidP="00000000" w:rsidRDefault="00000000" w:rsidRPr="00000000" w14:paraId="00000076">
      <w:pPr>
        <w:spacing w:before="280" w:line="276" w:lineRule="auto"/>
        <w:ind w:left="196" w:right="366" w:firstLine="0"/>
        <w:jc w:val="both"/>
        <w:rPr>
          <w:i w:val="1"/>
          <w:sz w:val="24"/>
          <w:szCs w:val="24"/>
        </w:rPr>
      </w:pPr>
      <w:r w:rsidDel="00000000" w:rsidR="00000000" w:rsidRPr="00000000">
        <w:rPr>
          <w:i w:val="1"/>
          <w:sz w:val="24"/>
          <w:szCs w:val="24"/>
          <w:rtl w:val="0"/>
        </w:rPr>
        <w:t xml:space="preserve">Artículo 12. Atribuciones. Corresponde al Concejo Distrital, de conformidad con la Constitución y la ley:</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spacing w:before="1" w:line="276" w:lineRule="auto"/>
        <w:ind w:left="196" w:right="0" w:firstLine="0"/>
        <w:jc w:val="left"/>
        <w:rPr>
          <w:i w:val="1"/>
          <w:sz w:val="24"/>
          <w:szCs w:val="24"/>
        </w:rPr>
      </w:pPr>
      <w:r w:rsidDel="00000000" w:rsidR="00000000" w:rsidRPr="00000000">
        <w:rPr>
          <w:i w:val="1"/>
          <w:sz w:val="24"/>
          <w:szCs w:val="24"/>
          <w:rtl w:val="0"/>
        </w:rPr>
        <w:t xml:space="preserve">1. Dictar las normas necesarias para garantizar el adecuado cumplimiento de las funciones y la eficiente prestación de los servicios a cargo del Distrito.</w:t>
      </w:r>
    </w:p>
    <w:p w:rsidR="00000000" w:rsidDel="00000000" w:rsidP="00000000" w:rsidRDefault="00000000" w:rsidRPr="00000000" w14:paraId="00000079">
      <w:pPr>
        <w:spacing w:before="1" w:lineRule="auto"/>
        <w:ind w:left="196" w:right="0" w:firstLine="0"/>
        <w:jc w:val="left"/>
        <w:rPr>
          <w:i w:val="1"/>
          <w:sz w:val="24"/>
          <w:szCs w:val="24"/>
        </w:rPr>
      </w:pPr>
      <w:r w:rsidDel="00000000" w:rsidR="00000000" w:rsidRPr="00000000">
        <w:rPr>
          <w:i w:val="1"/>
          <w:sz w:val="24"/>
          <w:szCs w:val="24"/>
          <w:rtl w:val="0"/>
        </w:rPr>
        <w:t xml:space="preserve">[...]</w:t>
      </w:r>
    </w:p>
    <w:p w:rsidR="00000000" w:rsidDel="00000000" w:rsidP="00000000" w:rsidRDefault="00000000" w:rsidRPr="00000000" w14:paraId="0000007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554"/>
        </w:tabs>
        <w:spacing w:after="0" w:before="43" w:line="240" w:lineRule="auto"/>
        <w:ind w:left="554" w:right="0" w:hanging="358"/>
        <w:jc w:val="left"/>
        <w:rPr>
          <w:smallCaps w:val="0"/>
          <w:strike w:val="0"/>
          <w:color w:val="000000"/>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Regular la preservación y defensa del patrimonio cultural.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pStyle w:val="Heading3"/>
        <w:numPr>
          <w:ilvl w:val="1"/>
          <w:numId w:val="6"/>
        </w:numPr>
        <w:tabs>
          <w:tab w:val="left" w:leader="none" w:pos="620"/>
        </w:tabs>
        <w:spacing w:after="0" w:before="0" w:line="240" w:lineRule="auto"/>
        <w:ind w:left="620" w:right="0" w:hanging="424"/>
        <w:jc w:val="both"/>
        <w:rPr/>
      </w:pPr>
      <w:r w:rsidDel="00000000" w:rsidR="00000000" w:rsidRPr="00000000">
        <w:rPr>
          <w:rtl w:val="0"/>
        </w:rPr>
        <w:t xml:space="preserve">Acuerdo 741 de 2019:</w:t>
      </w:r>
    </w:p>
    <w:p w:rsidR="00000000" w:rsidDel="00000000" w:rsidP="00000000" w:rsidRDefault="00000000" w:rsidRPr="00000000" w14:paraId="0000007D">
      <w:pPr>
        <w:spacing w:before="43" w:lineRule="auto"/>
        <w:ind w:left="196" w:right="351" w:firstLine="0"/>
        <w:jc w:val="both"/>
        <w:rPr>
          <w:i w:val="1"/>
          <w:sz w:val="24"/>
          <w:szCs w:val="24"/>
        </w:rPr>
      </w:pPr>
      <w:r w:rsidDel="00000000" w:rsidR="00000000" w:rsidRPr="00000000">
        <w:rPr>
          <w:i w:val="1"/>
          <w:sz w:val="24"/>
          <w:szCs w:val="24"/>
          <w:rtl w:val="0"/>
        </w:rPr>
        <w:t xml:space="preserve">Artículo 65. Iniciativa. 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 w:line="240" w:lineRule="auto"/>
        <w:ind w:left="196" w:right="354"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Teniendo en cuenta las normas antes señaladas se encuentra que el Concejo es competente para presentar el proyecto de Acuerdo, en lo ateniente a la defensa de patrimonio cultural del Distrito Capital.</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pStyle w:val="Heading1"/>
        <w:numPr>
          <w:ilvl w:val="0"/>
          <w:numId w:val="3"/>
        </w:numPr>
        <w:tabs>
          <w:tab w:val="left" w:leader="none" w:pos="477"/>
        </w:tabs>
        <w:spacing w:after="0" w:before="0" w:line="240" w:lineRule="auto"/>
        <w:ind w:left="477" w:right="0" w:hanging="358"/>
        <w:jc w:val="both"/>
        <w:rPr/>
      </w:pPr>
      <w:r w:rsidDel="00000000" w:rsidR="00000000" w:rsidRPr="00000000">
        <w:rPr>
          <w:rtl w:val="0"/>
        </w:rPr>
        <w:t xml:space="preserve">CONSIDERACIONES DEL PONENTE</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355"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relación entre Gabriel García Márquez y Bogotá es profunda y multifacética, destacando el significativo impacto que el célebre escritor colombiano ha tenido en la ciudad a lo largo de varias décadas. Su influencia no solo se refleja en la literatura y la cultura, sino también en la identidad cultural de Bogotá. A través de su obra, García Márquez ha dejado una huella imborrable en el imaginario colectivo bogotano y ha contribuido notablemente a la proyección internacional de la ciudad.</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357"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Gabriel García Márquez vivió en Bogotá en momentos cruciales de su carrera, especialmente durante las décadas de 1950 y 1960, cuando su obra comenzó a ganar reconocimiento. La ciudad no solo fue el escenario de su vida cotidiana, sino también un laboratorio para su creación literaria, que durante su trayectoria alcanzó logros como:</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916"/>
        </w:tabs>
        <w:spacing w:after="0" w:before="0" w:line="235" w:lineRule="auto"/>
        <w:ind w:left="916" w:right="356" w:hanging="360"/>
        <w:jc w:val="left"/>
        <w:rPr>
          <w:smallCaps w:val="0"/>
          <w:strike w:val="0"/>
          <w:color w:val="000000"/>
          <w:u w:val="none"/>
          <w:shd w:fill="auto" w:val="clear"/>
          <w:vertAlign w:val="baseline"/>
        </w:rPr>
        <w:sectPr>
          <w:type w:val="nextPage"/>
          <w:pgSz w:h="15850" w:w="12250" w:orient="portrait"/>
          <w:pgMar w:bottom="280" w:top="2820" w:left="1220" w:right="1060" w:header="835" w:footer="0"/>
        </w:sectPr>
      </w:pPr>
      <w:r w:rsidDel="00000000" w:rsidR="00000000" w:rsidRPr="00000000">
        <w:rPr>
          <w:rFonts w:ascii="Quattrocento Sans" w:cs="Quattrocento Sans" w:eastAsia="Quattrocento Sans" w:hAnsi="Quattrocento Sans"/>
          <w:b w:val="1"/>
          <w:i w:val="0"/>
          <w:smallCaps w:val="0"/>
          <w:strike w:val="0"/>
          <w:color w:val="000000"/>
          <w:sz w:val="21"/>
          <w:szCs w:val="21"/>
          <w:u w:val="none"/>
          <w:shd w:fill="auto" w:val="clear"/>
          <w:vertAlign w:val="baseline"/>
          <w:rtl w:val="0"/>
        </w:rPr>
        <w:t xml:space="preserve">Premio Nobel de Literatura (1982)</w:t>
      </w:r>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Recibió este premio debido a un gran reconocimiento por la producción de sus novelas e historias.</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Quattrocento Sans" w:cs="Quattrocento Sans" w:eastAsia="Quattrocento Sans" w:hAnsi="Quattrocento Sans"/>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916"/>
        </w:tabs>
        <w:spacing w:after="0" w:before="1" w:line="235" w:lineRule="auto"/>
        <w:ind w:left="916" w:right="352" w:hanging="360"/>
        <w:jc w:val="both"/>
        <w:rPr>
          <w:smallCaps w:val="0"/>
          <w:strike w:val="0"/>
          <w:color w:val="000000"/>
          <w:u w:val="none"/>
          <w:shd w:fill="auto" w:val="clear"/>
          <w:vertAlign w:val="baseline"/>
        </w:rPr>
      </w:pPr>
      <w:hyperlink r:id="rId7">
        <w:r w:rsidDel="00000000" w:rsidR="00000000" w:rsidRPr="00000000">
          <w:rPr>
            <w:rFonts w:ascii="Quattrocento Sans" w:cs="Quattrocento Sans" w:eastAsia="Quattrocento Sans" w:hAnsi="Quattrocento Sans"/>
            <w:b w:val="1"/>
            <w:i w:val="0"/>
            <w:smallCaps w:val="0"/>
            <w:strike w:val="0"/>
            <w:color w:val="000000"/>
            <w:sz w:val="21"/>
            <w:szCs w:val="21"/>
            <w:u w:val="none"/>
            <w:shd w:fill="auto" w:val="clear"/>
            <w:vertAlign w:val="baseline"/>
            <w:rtl w:val="0"/>
          </w:rPr>
          <w:t xml:space="preserve">Premio Rómulo Gallegos (1972)</w:t>
        </w:r>
      </w:hyperlink>
      <w:hyperlink r:id="rId8">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Reconocimiento otorgado por su novela “Cien años de</w:t>
        </w:r>
      </w:hyperlink>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w:t>
      </w:r>
      <w:hyperlink r:id="rId9">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soledad”</w:t>
        </w:r>
      </w:hyperlink>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916"/>
        </w:tabs>
        <w:spacing w:after="0" w:before="3" w:line="237" w:lineRule="auto"/>
        <w:ind w:left="916" w:right="352" w:hanging="360"/>
        <w:jc w:val="both"/>
        <w:rPr>
          <w:smallCaps w:val="0"/>
          <w:strike w:val="0"/>
          <w:color w:val="000000"/>
          <w:u w:val="none"/>
          <w:shd w:fill="auto" w:val="clear"/>
          <w:vertAlign w:val="baseline"/>
        </w:rPr>
      </w:pPr>
      <w:hyperlink r:id="rId10">
        <w:r w:rsidDel="00000000" w:rsidR="00000000" w:rsidRPr="00000000">
          <w:rPr>
            <w:rFonts w:ascii="Quattrocento Sans" w:cs="Quattrocento Sans" w:eastAsia="Quattrocento Sans" w:hAnsi="Quattrocento Sans"/>
            <w:b w:val="1"/>
            <w:i w:val="0"/>
            <w:smallCaps w:val="0"/>
            <w:strike w:val="0"/>
            <w:color w:val="000000"/>
            <w:sz w:val="21"/>
            <w:szCs w:val="21"/>
            <w:u w:val="none"/>
            <w:shd w:fill="auto" w:val="clear"/>
            <w:vertAlign w:val="baseline"/>
            <w:rtl w:val="0"/>
          </w:rPr>
          <w:t xml:space="preserve">Doctorado Honoris Causa de la Universidad Nacional de Colombia (1992)</w:t>
        </w:r>
      </w:hyperlink>
      <w:hyperlink r:id="rId11">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Nuestra</w:t>
        </w:r>
      </w:hyperlink>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w:t>
      </w:r>
      <w:hyperlink r:id="rId12">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Universidad Pública de Colombia en reconocimiento a su gran labor literaria, le</w:t>
        </w:r>
      </w:hyperlink>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otorgó el honor a nuestro Nobel.</w:t>
      </w:r>
    </w:p>
    <w:p w:rsidR="00000000" w:rsidDel="00000000" w:rsidP="00000000" w:rsidRDefault="00000000" w:rsidRPr="00000000" w14:paraId="0000008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916"/>
        </w:tabs>
        <w:spacing w:after="0" w:before="7" w:line="237" w:lineRule="auto"/>
        <w:ind w:left="916" w:right="354" w:hanging="360"/>
        <w:jc w:val="both"/>
        <w:rPr>
          <w:smallCaps w:val="0"/>
          <w:strike w:val="0"/>
          <w:color w:val="000000"/>
          <w:u w:val="none"/>
          <w:shd w:fill="auto" w:val="clear"/>
          <w:vertAlign w:val="baseline"/>
        </w:rPr>
      </w:pPr>
      <w:hyperlink r:id="rId13">
        <w:r w:rsidDel="00000000" w:rsidR="00000000" w:rsidRPr="00000000">
          <w:rPr>
            <w:rFonts w:ascii="Quattrocento Sans" w:cs="Quattrocento Sans" w:eastAsia="Quattrocento Sans" w:hAnsi="Quattrocento Sans"/>
            <w:b w:val="1"/>
            <w:i w:val="0"/>
            <w:smallCaps w:val="0"/>
            <w:strike w:val="0"/>
            <w:color w:val="000000"/>
            <w:sz w:val="21"/>
            <w:szCs w:val="21"/>
            <w:u w:val="none"/>
            <w:shd w:fill="auto" w:val="clear"/>
            <w:vertAlign w:val="baseline"/>
            <w:rtl w:val="0"/>
          </w:rPr>
          <w:t xml:space="preserve">Premio ESSO de Novela Colombiana (1961)</w:t>
        </w:r>
      </w:hyperlink>
      <w:hyperlink r:id="rId14">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Se ganó este premio por su novela "La mala</w:t>
        </w:r>
      </w:hyperlink>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w:t>
      </w:r>
      <w:hyperlink r:id="rId15">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hora"</w:t>
        </w:r>
      </w:hyperlink>
      <w:r w:rsidDel="00000000" w:rsidR="00000000" w:rsidRPr="00000000">
        <w:rPr>
          <w:rtl w:val="0"/>
        </w:rPr>
      </w:r>
    </w:p>
    <w:p w:rsidR="00000000" w:rsidDel="00000000" w:rsidP="00000000" w:rsidRDefault="00000000" w:rsidRPr="00000000" w14:paraId="0000008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916"/>
        </w:tabs>
        <w:spacing w:after="0" w:before="0" w:line="240" w:lineRule="auto"/>
        <w:ind w:left="916" w:right="352" w:hanging="360"/>
        <w:jc w:val="both"/>
        <w:rPr>
          <w:smallCaps w:val="0"/>
          <w:strike w:val="0"/>
          <w:color w:val="000000"/>
          <w:u w:val="none"/>
          <w:shd w:fill="auto" w:val="clear"/>
          <w:vertAlign w:val="baseline"/>
        </w:rPr>
      </w:pPr>
      <w:r w:rsidDel="00000000" w:rsidR="00000000" w:rsidRPr="00000000">
        <w:rPr>
          <w:rFonts w:ascii="Quattrocento Sans" w:cs="Quattrocento Sans" w:eastAsia="Quattrocento Sans" w:hAnsi="Quattrocento Sans"/>
          <w:b w:val="1"/>
          <w:i w:val="0"/>
          <w:smallCaps w:val="0"/>
          <w:strike w:val="0"/>
          <w:color w:val="000000"/>
          <w:sz w:val="21"/>
          <w:szCs w:val="21"/>
          <w:u w:val="none"/>
          <w:shd w:fill="auto" w:val="clear"/>
          <w:vertAlign w:val="baseline"/>
          <w:rtl w:val="0"/>
        </w:rPr>
        <w:t xml:space="preserve">Homenajes y monumentos</w:t>
      </w:r>
      <w:r w:rsidDel="00000000" w:rsidR="00000000" w:rsidRPr="00000000">
        <w:rPr>
          <w:rFonts w:ascii="Quattrocento Sans" w:cs="Quattrocento Sans" w:eastAsia="Quattrocento Sans" w:hAnsi="Quattrocento Sans"/>
          <w:b w:val="0"/>
          <w:i w:val="0"/>
          <w:smallCaps w:val="0"/>
          <w:strike w:val="0"/>
          <w:color w:val="000000"/>
          <w:sz w:val="21"/>
          <w:szCs w:val="21"/>
          <w:u w:val="none"/>
          <w:shd w:fill="auto" w:val="clear"/>
          <w:vertAlign w:val="baseline"/>
          <w:rtl w:val="0"/>
        </w:rPr>
        <w:t xml:space="preserve">: En nuestro país, hemos apreciado el éxito de nuestro escritor, que ha inspirado gran parte de sus obras en relatos colombianos, por eso, en diferentes partes tenemos monumentos y los espacios públicos en su honor, como el Centro Cultural Gabriel García Márquez en Bogotá.</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Quattrocento Sans" w:cs="Quattrocento Sans" w:eastAsia="Quattrocento Sans" w:hAnsi="Quattrocento Sans"/>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spacing w:before="1" w:lineRule="auto"/>
        <w:ind w:left="196" w:right="350" w:firstLine="0"/>
        <w:jc w:val="both"/>
        <w:rPr>
          <w:rFonts w:ascii="Quattrocento Sans" w:cs="Quattrocento Sans" w:eastAsia="Quattrocento Sans" w:hAnsi="Quattrocento Sans"/>
          <w:sz w:val="21"/>
          <w:szCs w:val="21"/>
        </w:rPr>
      </w:pPr>
      <w:r w:rsidDel="00000000" w:rsidR="00000000" w:rsidRPr="00000000">
        <w:rPr>
          <w:sz w:val="24"/>
          <w:szCs w:val="24"/>
          <w:rtl w:val="0"/>
        </w:rPr>
        <w:t xml:space="preserve">Por ello, es esencial establecer espacios y actividades que celebren su vida y obra, promoviendo así la cultura, la educación, el turismo y el patrimonio histórico en Bogotá. </w:t>
      </w:r>
      <w:r w:rsidDel="00000000" w:rsidR="00000000" w:rsidRPr="00000000">
        <w:rPr>
          <w:rFonts w:ascii="Quattrocento Sans" w:cs="Quattrocento Sans" w:eastAsia="Quattrocento Sans" w:hAnsi="Quattrocento Sans"/>
          <w:sz w:val="21"/>
          <w:szCs w:val="21"/>
          <w:rtl w:val="0"/>
        </w:rPr>
        <w:t xml:space="preserve">Gabriel García Márquez, uno de los escritores más importantes de Colombia y del mundo, ha recibido numerosos reconocimientos tanto en su país natal como a nivel internacional. Aquí te menciono algunos de los más destacados en Colombia:</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 w:right="0" w:firstLine="0"/>
        <w:jc w:val="left"/>
        <w:rPr>
          <w:rFonts w:ascii="Quattrocento Sans" w:cs="Quattrocento Sans" w:eastAsia="Quattrocento Sans" w:hAnsi="Quattrocento Sans"/>
          <w:b w:val="0"/>
          <w:i w:val="0"/>
          <w:smallCaps w:val="0"/>
          <w:strike w:val="0"/>
          <w:color w:val="000000"/>
          <w:sz w:val="20"/>
          <w:szCs w:val="20"/>
          <w:u w:val="none"/>
          <w:shd w:fill="auto" w:val="clear"/>
          <w:vertAlign w:val="baseline"/>
        </w:rPr>
      </w:pPr>
      <w:r w:rsidDel="00000000" w:rsidR="00000000" w:rsidRPr="00000000">
        <w:rPr>
          <w:rFonts w:ascii="Quattrocento Sans" w:cs="Quattrocento Sans" w:eastAsia="Quattrocento Sans" w:hAnsi="Quattrocento Sans"/>
          <w:b w:val="0"/>
          <w:i w:val="0"/>
          <w:smallCaps w:val="0"/>
          <w:strike w:val="0"/>
          <w:color w:val="000000"/>
          <w:sz w:val="20"/>
          <w:szCs w:val="20"/>
          <w:u w:val="none"/>
          <w:shd w:fill="auto" w:val="clear"/>
          <w:vertAlign w:val="baseline"/>
        </w:rPr>
        <mc:AlternateContent>
          <mc:Choice Requires="wps">
            <w:drawing>
              <wp:inline distB="0" distT="0" distL="0" distR="0">
                <wp:extent cx="6011545" cy="179070"/>
                <wp:effectExtent b="0" l="0" r="0" t="0"/>
                <wp:docPr id="2" name=""/>
                <a:graphic>
                  <a:graphicData uri="http://schemas.microsoft.com/office/word/2010/wordprocessingGroup">
                    <wpg:wgp>
                      <wpg:cNvGrpSpPr/>
                      <wpg:cNvPr id="4" name="Group 4"/>
                      <wpg:grpSpPr>
                        <a:xfrm>
                          <a:off x="0" y="0"/>
                          <a:ext cx="6011545" cy="179070"/>
                          <a:chExt cx="6011545" cy="179070"/>
                        </a:xfrm>
                      </wpg:grpSpPr>
                      <wps:wsp>
                        <wps:cNvSpPr/>
                        <wps:cNvPr id="5" name="Graphic 5"/>
                        <wps:spPr>
                          <a:xfrm>
                            <a:off x="0" y="0"/>
                            <a:ext cx="6011545" cy="179070"/>
                          </a:xfrm>
                          <a:custGeom>
                            <a:avLst/>
                            <a:gdLst/>
                            <a:ahLst/>
                            <a:cxnLst/>
                            <a:rect b="b" l="l" r="r" t="t"/>
                            <a:pathLst>
                              <a:path h="179070" w="6011545">
                                <a:moveTo>
                                  <a:pt x="6011545" y="0"/>
                                </a:moveTo>
                                <a:lnTo>
                                  <a:pt x="0" y="0"/>
                                </a:lnTo>
                                <a:lnTo>
                                  <a:pt x="0" y="178612"/>
                                </a:lnTo>
                                <a:lnTo>
                                  <a:pt x="6011545" y="178612"/>
                                </a:lnTo>
                                <a:lnTo>
                                  <a:pt x="6011545" y="0"/>
                                </a:lnTo>
                                <a:close/>
                              </a:path>
                            </a:pathLst>
                          </a:custGeom>
                          <a:solidFill>
                            <a:srgbClr val="F3F3F3"/>
                          </a:solidFill>
                        </wps:spPr>
                        <wps:bodyPr bIns="0" rtlCol="0" lIns="0" rIns="0" wrap="square" tIns="0">
                          <a:prstTxWarp prst="textNoShape">
                            <a:avLst/>
                          </a:prstTxWarp>
                          <a:noAutofit/>
                        </wps:bodyPr>
                      </wps:wsp>
                    </wpg:wgp>
                  </a:graphicData>
                </a:graphic>
              </wp:inline>
            </w:drawing>
          </mc:Choice>
          <mc:Fallback>
            <w:drawing>
              <wp:inline distB="0" distT="0" distL="0" distR="0">
                <wp:extent cx="6011545" cy="179070"/>
                <wp:effectExtent b="0" l="0" r="0" t="0"/>
                <wp:docPr id="2"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6011545" cy="17907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35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 este contexto, diversas organizaciones tanto públicas como privadas, han emprendido esfuerzos para preservar y promover el legado de García Márquez. Un ejemplo destacado es la Fundación Gabo, que organiza el Festival Gabo en Bogotá. Este festival tiene el propósito de apoyar el periodismo, el arte, la literatura, la música, el teatro, el cine y la diversidad cultural de nuestra región, resaltando el legado y la influencia del Nobel en el ámbito periodístico y literario.</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 w:line="240" w:lineRule="auto"/>
        <w:ind w:left="196" w:right="353"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existencia de una industria creativa en Bogotá, aunque aún en desarrollo, demuestra el potencial para establecer colaboraciones entre entidades públicas y privadas. Aprovechando sus recursos y talentos, estas entidades pueden llevar a cabo actividades culturales que celebren y profundicen el conocimiento sobre la vida y obra de García Márquez. Esto no solo fortalecerá el papel de Bogotá como un centro vibrante de creatividad y cultura, sino que también consolidará su posición como un referente internacional en el ámbito de las letras y el pensamiento crítico.</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 w:line="240" w:lineRule="auto"/>
        <w:ind w:left="196" w:right="358"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Este proyecto busca promover actividades y escenarios que contribuyan a que Bogotá se convierta en un referente de Gabriel García Márquez y del mundo literario. Estas iniciativas incluyen:</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pStyle w:val="Heading2"/>
        <w:numPr>
          <w:ilvl w:val="0"/>
          <w:numId w:val="4"/>
        </w:numPr>
        <w:tabs>
          <w:tab w:val="left" w:leader="none" w:pos="622"/>
        </w:tabs>
        <w:spacing w:after="0" w:before="0" w:line="240" w:lineRule="auto"/>
        <w:ind w:left="622" w:right="0" w:hanging="359"/>
        <w:jc w:val="left"/>
        <w:rPr/>
        <w:sectPr>
          <w:type w:val="nextPage"/>
          <w:pgSz w:h="15850" w:w="12250" w:orient="portrait"/>
          <w:pgMar w:bottom="280" w:top="2820" w:left="1220" w:right="1060" w:header="835" w:footer="0"/>
        </w:sectPr>
      </w:pPr>
      <w:r w:rsidDel="00000000" w:rsidR="00000000" w:rsidRPr="00000000">
        <w:rPr>
          <w:rtl w:val="0"/>
        </w:rPr>
        <w:t xml:space="preserve">Eventos Culturales:</w:t>
      </w:r>
    </w:p>
    <w:p w:rsidR="00000000" w:rsidDel="00000000" w:rsidP="00000000" w:rsidRDefault="00000000" w:rsidRPr="00000000" w14:paraId="00000094">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280" w:line="276" w:lineRule="auto"/>
        <w:ind w:left="623" w:right="354"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Exposiciones: Organizar exposiciones en museos y centros culturales que presenten manuscritos originales, fotografías y objetos personales de García Márquez.</w:t>
      </w:r>
    </w:p>
    <w:p w:rsidR="00000000" w:rsidDel="00000000" w:rsidP="00000000" w:rsidRDefault="00000000" w:rsidRPr="00000000" w14:paraId="00000095">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8.00000000000006" w:lineRule="auto"/>
        <w:ind w:left="623" w:right="351"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Cine: Proyectar adaptaciones cinematográficas de sus novelas, como "Cien años de soledad" (aún en desarrollo) y "El amor en los tiempos del cólera," en espacios públicos y cines locales.</w:t>
      </w:r>
    </w:p>
    <w:p w:rsidR="00000000" w:rsidDel="00000000" w:rsidP="00000000" w:rsidRDefault="00000000" w:rsidRPr="00000000" w14:paraId="00000096">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8.00000000000006" w:lineRule="auto"/>
        <w:ind w:left="623" w:right="361"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Lecturas Públicas: Facilitar lecturas públicas y dramatizaciones de sus obras en parques, bibliotecas y colegios para atraer a diferentes audiencias.</w:t>
      </w:r>
    </w:p>
    <w:p w:rsidR="00000000" w:rsidDel="00000000" w:rsidP="00000000" w:rsidRDefault="00000000" w:rsidRPr="00000000" w14:paraId="00000097">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6" w:lineRule="auto"/>
        <w:ind w:left="623" w:right="363"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Concursos Literarios: Organizar concursos de escritura que emulen el estilo de García Márquez, incentivando la creatividad y el interés en la literatura.</w:t>
      </w:r>
    </w:p>
    <w:p w:rsidR="00000000" w:rsidDel="00000000" w:rsidP="00000000" w:rsidRDefault="00000000" w:rsidRPr="00000000" w14:paraId="00000098">
      <w:pPr>
        <w:pStyle w:val="Heading2"/>
        <w:numPr>
          <w:ilvl w:val="0"/>
          <w:numId w:val="4"/>
        </w:numPr>
        <w:tabs>
          <w:tab w:val="left" w:leader="none" w:pos="622"/>
        </w:tabs>
        <w:spacing w:after="0" w:before="265" w:line="240" w:lineRule="auto"/>
        <w:ind w:left="622" w:right="0" w:hanging="359"/>
        <w:jc w:val="both"/>
        <w:rPr/>
      </w:pPr>
      <w:r w:rsidDel="00000000" w:rsidR="00000000" w:rsidRPr="00000000">
        <w:rPr>
          <w:rtl w:val="0"/>
        </w:rPr>
        <w:t xml:space="preserve">Educación y Formación:</w:t>
      </w:r>
    </w:p>
    <w:p w:rsidR="00000000" w:rsidDel="00000000" w:rsidP="00000000" w:rsidRDefault="00000000" w:rsidRPr="00000000" w14:paraId="00000099">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43" w:line="276" w:lineRule="auto"/>
        <w:ind w:left="623" w:right="353" w:hanging="360"/>
        <w:jc w:val="both"/>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Programas Educativos: Implementar programas educativos en colegios y universidades que incluyan estudios detallados de las obras de García Márquez, promoviendo el análisis crítico y la apreciación literaria.</w:t>
      </w:r>
    </w:p>
    <w:p w:rsidR="00000000" w:rsidDel="00000000" w:rsidP="00000000" w:rsidRDefault="00000000" w:rsidRPr="00000000" w14:paraId="0000009A">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8.00000000000006" w:lineRule="auto"/>
        <w:ind w:left="623" w:right="360" w:hanging="360"/>
        <w:jc w:val="both"/>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Material Educativo: Distribuir guías de lectura y recursos digitales para apoyar la enseñanza de su obra en las aulas.</w:t>
      </w:r>
    </w:p>
    <w:p w:rsidR="00000000" w:rsidDel="00000000" w:rsidP="00000000" w:rsidRDefault="00000000" w:rsidRPr="00000000" w14:paraId="0000009B">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6" w:lineRule="auto"/>
        <w:ind w:left="623" w:right="362" w:hanging="360"/>
        <w:jc w:val="both"/>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Clubes de Lectura: Establecer clubes de lectura en instituciones educativas y bibliotecas públicas para fomentar el debate y la reflexión sobre su obra.</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pStyle w:val="Heading2"/>
        <w:numPr>
          <w:ilvl w:val="0"/>
          <w:numId w:val="4"/>
        </w:numPr>
        <w:tabs>
          <w:tab w:val="left" w:leader="none" w:pos="622"/>
        </w:tabs>
        <w:spacing w:after="0" w:before="0" w:line="240" w:lineRule="auto"/>
        <w:ind w:left="622" w:right="0" w:hanging="359"/>
        <w:jc w:val="both"/>
        <w:rPr/>
      </w:pPr>
      <w:r w:rsidDel="00000000" w:rsidR="00000000" w:rsidRPr="00000000">
        <w:rPr>
          <w:rtl w:val="0"/>
        </w:rPr>
        <w:t xml:space="preserve">Espacios Culturales Permanentes:</w:t>
      </w:r>
    </w:p>
    <w:p w:rsidR="00000000" w:rsidDel="00000000" w:rsidP="00000000" w:rsidRDefault="00000000" w:rsidRPr="00000000" w14:paraId="0000009E">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43" w:line="276" w:lineRule="auto"/>
        <w:ind w:left="623" w:right="355" w:hanging="360"/>
        <w:jc w:val="both"/>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Espacio Cultural en la BibloRed: Crear un centro cultural permanente en una de las bibliotecas públicas de Bogotá para exhibir materiales relacionados con García Márquez, incluyendo manuscritos, primeras ediciones y artefactos personales.</w:t>
      </w:r>
    </w:p>
    <w:p w:rsidR="00000000" w:rsidDel="00000000" w:rsidP="00000000" w:rsidRDefault="00000000" w:rsidRPr="00000000" w14:paraId="0000009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2" w:line="276" w:lineRule="auto"/>
        <w:ind w:left="623" w:right="359" w:hanging="360"/>
        <w:jc w:val="both"/>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Nombramiento de Espacios Públicos: Designar una calle, plaza o parque con el nombre de García Márquez, que incluya señalización y eventos conmemorativos regulares para celebrar su legado.</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pStyle w:val="Heading2"/>
        <w:numPr>
          <w:ilvl w:val="0"/>
          <w:numId w:val="4"/>
        </w:numPr>
        <w:tabs>
          <w:tab w:val="left" w:leader="none" w:pos="622"/>
        </w:tabs>
        <w:spacing w:after="0" w:before="0" w:line="240" w:lineRule="auto"/>
        <w:ind w:left="622" w:right="0" w:hanging="359"/>
        <w:jc w:val="left"/>
        <w:rPr/>
      </w:pPr>
      <w:r w:rsidDel="00000000" w:rsidR="00000000" w:rsidRPr="00000000">
        <w:rPr>
          <w:rtl w:val="0"/>
        </w:rPr>
        <w:t xml:space="preserve">Difusión y Promoción:</w:t>
      </w:r>
    </w:p>
    <w:p w:rsidR="00000000" w:rsidDel="00000000" w:rsidP="00000000" w:rsidRDefault="00000000" w:rsidRPr="00000000" w14:paraId="000000A2">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43" w:line="278.00000000000006" w:lineRule="auto"/>
        <w:ind w:left="623" w:right="362"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Medios de Comunicación: Utilizar medios de comunicación locales para promover la vida y obra de García Márquez a través de documentales, entrevistas y reportajes.</w:t>
      </w:r>
    </w:p>
    <w:p w:rsidR="00000000" w:rsidDel="00000000" w:rsidP="00000000" w:rsidRDefault="00000000" w:rsidRPr="00000000" w14:paraId="000000A3">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6" w:lineRule="auto"/>
        <w:ind w:left="623" w:right="353" w:hanging="360"/>
        <w:jc w:val="left"/>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Redes Sociales: Emplear plataformas digitales para compartir citas, artículos y recursos sobre García Márquez, aumentando la visibilidad de su trabajo.</w:t>
      </w:r>
    </w:p>
    <w:p w:rsidR="00000000" w:rsidDel="00000000" w:rsidP="00000000" w:rsidRDefault="00000000" w:rsidRPr="00000000" w14:paraId="000000A4">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6" w:lineRule="auto"/>
        <w:ind w:left="623" w:right="362" w:hanging="360"/>
        <w:jc w:val="left"/>
        <w:rPr>
          <w:smallCaps w:val="0"/>
          <w:strike w:val="0"/>
          <w:color w:val="000000"/>
          <w:u w:val="none"/>
          <w:shd w:fill="auto" w:val="clear"/>
          <w:vertAlign w:val="baseline"/>
        </w:rPr>
        <w:sectPr>
          <w:type w:val="nextPage"/>
          <w:pgSz w:h="15850" w:w="12250" w:orient="portrait"/>
          <w:pgMar w:bottom="280" w:top="2820" w:left="1220" w:right="1060" w:header="835" w:footer="0"/>
        </w:sect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Festivales Literarios: Colaborar con festivales literarios y eventos culturales para incluir a García Márquez en sus programas, promoviendo su obra en contextos internacionales.</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pStyle w:val="Heading2"/>
        <w:numPr>
          <w:ilvl w:val="0"/>
          <w:numId w:val="4"/>
        </w:numPr>
        <w:tabs>
          <w:tab w:val="left" w:leader="none" w:pos="622"/>
        </w:tabs>
        <w:spacing w:after="0" w:before="0" w:line="240" w:lineRule="auto"/>
        <w:ind w:left="622" w:right="0" w:hanging="359"/>
        <w:jc w:val="both"/>
        <w:rPr/>
      </w:pPr>
      <w:r w:rsidDel="00000000" w:rsidR="00000000" w:rsidRPr="00000000">
        <w:rPr>
          <w:rtl w:val="0"/>
        </w:rPr>
        <w:t xml:space="preserve">Investigación:</w:t>
      </w:r>
    </w:p>
    <w:p w:rsidR="00000000" w:rsidDel="00000000" w:rsidP="00000000" w:rsidRDefault="00000000" w:rsidRPr="00000000" w14:paraId="000000A7">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43" w:line="276" w:lineRule="auto"/>
        <w:ind w:left="623" w:right="361" w:hanging="360"/>
        <w:jc w:val="both"/>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Investigación Académica: Fomentar la investigación sobre la influencia de García Márquez en Bogotá, financiando estudios académicos y publicaciones que exploren su impacto en la cultura y la literatura local.</w:t>
      </w:r>
    </w:p>
    <w:p w:rsidR="00000000" w:rsidDel="00000000" w:rsidP="00000000" w:rsidRDefault="00000000" w:rsidRPr="00000000" w14:paraId="000000A8">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23"/>
        </w:tabs>
        <w:spacing w:after="0" w:before="0" w:line="278.00000000000006" w:lineRule="auto"/>
        <w:ind w:left="623" w:right="364" w:hanging="360"/>
        <w:jc w:val="both"/>
        <w:rPr>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Publicaciones: Apoyar la publicación de obras que documenten su vida, su influencia en la ciudad y su legado literario.</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96" w:right="358"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Este proyecto se fundamenta en datos de la Dirección de Lectura y Bibliotecas y el Observatorio de Gestión del Conocimiento Cultural. En 2022, el 17% de los bogotanos no lee por falta de interés, mientras que el 20% disfruta de la cuentería, lo cual sugiere que hay un potencial significativo para captar el interés de nuevos lectores mediante actividades culturales que celebren a García Márquez. Además, el 53% de los bogotanos utiliza sus celulares para leer en plataformas digitales, lo que indica una oportunidad para desarrollar aplicaciones y recursos digitales que faciliten el acceso a la obra de García Márquez.</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mc:AlternateContent>
          <mc:Choice Requires="wps">
            <w:drawing>
              <wp:inline distB="0" distT="0" distL="0" distR="0">
                <wp:extent cx="6011545" cy="1925320"/>
                <wp:effectExtent b="0" l="0" r="0" t="0"/>
                <wp:docPr id="1" name=""/>
                <a:graphic>
                  <a:graphicData uri="http://schemas.microsoft.com/office/word/2010/wordprocessingShape">
                    <wps:wsp>
                      <wps:cNvSpPr txBox="1"/>
                      <wps:cNvPr id="6" name="Textbox 6"/>
                      <wps:spPr>
                        <a:xfrm>
                          <a:off x="0" y="0"/>
                          <a:ext cx="6011545" cy="1925320"/>
                        </a:xfrm>
                        <a:prstGeom prst="rect">
                          <a:avLst/>
                        </a:prstGeom>
                        <a:solidFill>
                          <a:srgbClr val="F7F7F7"/>
                        </a:solidFill>
                      </wps:spPr>
                      <wps:txbx>
                        <w:txbxContent>
                          <w:p w:rsidR="00000000" w:rsidDel="00000000" w:rsidP="00000000" w:rsidRDefault="00000000" w:rsidRPr="00000000">
                            <w:pPr>
                              <w:pStyle w:val="BodyText"/>
                              <w:spacing w:line="276" w:lineRule="auto"/>
                              <w:ind w:left="28" w:right="22"/>
                              <w:jc w:val="both"/>
                              <w:rPr>
                                <w:color w:val="000000"/>
                              </w:rPr>
                            </w:pPr>
                            <w:r w:rsidDel="00000000" w:rsidR="00000000" w:rsidRPr="00000000">
                              <w:rPr>
                                <w:color w:val="000000"/>
                              </w:rPr>
                              <w:t>Adicionalmente el sector de la cultura ha impulsado de forma significativa el crecimiento de la ciudad y ha permitido el crecimiento del sector turístico también. El Sector cultura ha representado</w:t>
                            </w:r>
                            <w:r w:rsidDel="00000000" w:rsidR="00000000" w:rsidRPr="00000000">
                              <w:rPr>
                                <w:color w:val="000000"/>
                                <w:spacing w:val="-6"/>
                              </w:rPr>
                              <w:t> </w:t>
                            </w:r>
                            <w:r w:rsidDel="00000000" w:rsidR="00000000" w:rsidRPr="00000000">
                              <w:rPr>
                                <w:color w:val="000000"/>
                              </w:rPr>
                              <w:t>un</w:t>
                            </w:r>
                            <w:r w:rsidDel="00000000" w:rsidR="00000000" w:rsidRPr="00000000">
                              <w:rPr>
                                <w:color w:val="000000"/>
                                <w:spacing w:val="-4"/>
                              </w:rPr>
                              <w:t> </w:t>
                            </w:r>
                            <w:r w:rsidDel="00000000" w:rsidR="00000000" w:rsidRPr="00000000">
                              <w:rPr>
                                <w:color w:val="000000"/>
                              </w:rPr>
                              <w:t>crecimiento</w:t>
                            </w:r>
                            <w:r w:rsidDel="00000000" w:rsidR="00000000" w:rsidRPr="00000000">
                              <w:rPr>
                                <w:color w:val="000000"/>
                                <w:spacing w:val="-8"/>
                              </w:rPr>
                              <w:t> </w:t>
                            </w:r>
                            <w:r w:rsidDel="00000000" w:rsidR="00000000" w:rsidRPr="00000000">
                              <w:rPr>
                                <w:color w:val="000000"/>
                              </w:rPr>
                              <w:t>del</w:t>
                            </w:r>
                            <w:r w:rsidDel="00000000" w:rsidR="00000000" w:rsidRPr="00000000">
                              <w:rPr>
                                <w:color w:val="000000"/>
                                <w:spacing w:val="-6"/>
                              </w:rPr>
                              <w:t> </w:t>
                            </w:r>
                            <w:r w:rsidDel="00000000" w:rsidR="00000000" w:rsidRPr="00000000">
                              <w:rPr>
                                <w:color w:val="000000"/>
                              </w:rPr>
                              <w:t>3.3%</w:t>
                            </w:r>
                            <w:r w:rsidDel="00000000" w:rsidR="00000000" w:rsidRPr="00000000">
                              <w:rPr>
                                <w:color w:val="000000"/>
                                <w:spacing w:val="-5"/>
                              </w:rPr>
                              <w:t> </w:t>
                            </w:r>
                            <w:r w:rsidDel="00000000" w:rsidR="00000000" w:rsidRPr="00000000">
                              <w:rPr>
                                <w:color w:val="000000"/>
                              </w:rPr>
                              <w:t>del</w:t>
                            </w:r>
                            <w:r w:rsidDel="00000000" w:rsidR="00000000" w:rsidRPr="00000000">
                              <w:rPr>
                                <w:color w:val="000000"/>
                                <w:spacing w:val="-6"/>
                              </w:rPr>
                              <w:t> </w:t>
                            </w:r>
                            <w:r w:rsidDel="00000000" w:rsidR="00000000" w:rsidRPr="00000000">
                              <w:rPr>
                                <w:color w:val="000000"/>
                              </w:rPr>
                              <w:t>PIB</w:t>
                            </w:r>
                            <w:r w:rsidDel="00000000" w:rsidR="00000000" w:rsidRPr="00000000">
                              <w:rPr>
                                <w:color w:val="000000"/>
                                <w:spacing w:val="-5"/>
                              </w:rPr>
                              <w:t> </w:t>
                            </w:r>
                            <w:r w:rsidDel="00000000" w:rsidR="00000000" w:rsidRPr="00000000">
                              <w:rPr>
                                <w:color w:val="000000"/>
                              </w:rPr>
                              <w:t>en</w:t>
                            </w:r>
                            <w:r w:rsidDel="00000000" w:rsidR="00000000" w:rsidRPr="00000000">
                              <w:rPr>
                                <w:color w:val="000000"/>
                                <w:spacing w:val="-8"/>
                              </w:rPr>
                              <w:t> </w:t>
                            </w:r>
                            <w:r w:rsidDel="00000000" w:rsidR="00000000" w:rsidRPr="00000000">
                              <w:rPr>
                                <w:color w:val="000000"/>
                              </w:rPr>
                              <w:t>Bogotá</w:t>
                            </w:r>
                            <w:r w:rsidDel="00000000" w:rsidR="00000000" w:rsidRPr="00000000">
                              <w:rPr>
                                <w:color w:val="000000"/>
                                <w:spacing w:val="-4"/>
                              </w:rPr>
                              <w:t> </w:t>
                            </w:r>
                            <w:r w:rsidDel="00000000" w:rsidR="00000000" w:rsidRPr="00000000">
                              <w:rPr>
                                <w:color w:val="000000"/>
                              </w:rPr>
                              <w:t>y</w:t>
                            </w:r>
                            <w:r w:rsidDel="00000000" w:rsidR="00000000" w:rsidRPr="00000000">
                              <w:rPr>
                                <w:color w:val="000000"/>
                                <w:spacing w:val="-7"/>
                              </w:rPr>
                              <w:t> </w:t>
                            </w:r>
                            <w:r w:rsidDel="00000000" w:rsidR="00000000" w:rsidRPr="00000000">
                              <w:rPr>
                                <w:color w:val="000000"/>
                              </w:rPr>
                              <w:t>en</w:t>
                            </w:r>
                            <w:r w:rsidDel="00000000" w:rsidR="00000000" w:rsidRPr="00000000">
                              <w:rPr>
                                <w:color w:val="000000"/>
                                <w:spacing w:val="-5"/>
                              </w:rPr>
                              <w:t> </w:t>
                            </w:r>
                            <w:r w:rsidDel="00000000" w:rsidR="00000000" w:rsidRPr="00000000">
                              <w:rPr>
                                <w:color w:val="000000"/>
                              </w:rPr>
                              <w:t>Colombia,</w:t>
                            </w:r>
                            <w:r w:rsidDel="00000000" w:rsidR="00000000" w:rsidRPr="00000000">
                              <w:rPr>
                                <w:color w:val="000000"/>
                                <w:spacing w:val="-6"/>
                              </w:rPr>
                              <w:t> </w:t>
                            </w:r>
                            <w:r w:rsidDel="00000000" w:rsidR="00000000" w:rsidRPr="00000000">
                              <w:rPr>
                                <w:color w:val="000000"/>
                              </w:rPr>
                              <w:t>las</w:t>
                            </w:r>
                            <w:r w:rsidDel="00000000" w:rsidR="00000000" w:rsidRPr="00000000">
                              <w:rPr>
                                <w:color w:val="000000"/>
                                <w:spacing w:val="-5"/>
                              </w:rPr>
                              <w:t> </w:t>
                            </w:r>
                            <w:r w:rsidDel="00000000" w:rsidR="00000000" w:rsidRPr="00000000">
                              <w:rPr>
                                <w:color w:val="000000"/>
                              </w:rPr>
                              <w:t>actividades</w:t>
                            </w:r>
                            <w:r w:rsidDel="00000000" w:rsidR="00000000" w:rsidRPr="00000000">
                              <w:rPr>
                                <w:color w:val="000000"/>
                                <w:spacing w:val="-6"/>
                              </w:rPr>
                              <w:t> </w:t>
                            </w:r>
                            <w:r w:rsidDel="00000000" w:rsidR="00000000" w:rsidRPr="00000000">
                              <w:rPr>
                                <w:color w:val="000000"/>
                              </w:rPr>
                              <w:t>artísticas, de entretenimiento y recreación y otras actividades de servicios; creció un 11,1% durante el segundo semestre de 2024</w:t>
                            </w:r>
                            <w:r w:rsidDel="00000000" w:rsidR="00000000" w:rsidRPr="00000000">
                              <w:rPr>
                                <w:color w:val="000000"/>
                                <w:vertAlign w:val="superscript"/>
                              </w:rPr>
                              <w:t>1</w:t>
                            </w:r>
                            <w:r w:rsidDel="00000000" w:rsidR="00000000" w:rsidRPr="00000000">
                              <w:rPr>
                                <w:color w:val="000000"/>
                                <w:vertAlign w:val="baseline"/>
                              </w:rPr>
                              <w:t>. Por su parte, en Bogotá se han realizado grandes esfuerzos para promover el arte y la cultura, por lo que las iniciativas que se presenten al sector siempre redundarán en resultados positivos para los ciudadanos, durante el 2023 la administración Distrital destinó más de 50.000 millones de pesos en iniciativas culturales y creativas</w:t>
                            </w:r>
                            <w:r w:rsidDel="00000000" w:rsidR="00000000" w:rsidRPr="00000000">
                              <w:rPr>
                                <w:color w:val="000000"/>
                                <w:vertAlign w:val="superscript"/>
                              </w:rPr>
                              <w:t>2</w:t>
                            </w:r>
                            <w:r w:rsidDel="00000000" w:rsidR="00000000" w:rsidRPr="00000000">
                              <w:rPr>
                                <w:color w:val="000000"/>
                                <w:vertAlign w:val="baseline"/>
                              </w:rPr>
                              <w:t>.</w:t>
                            </w:r>
                          </w:p>
                        </w:txbxContent>
                      </wps:txbx>
                      <wps:bodyPr bIns="0" rtlCol="0" lIns="0" rIns="0" wrap="square" tIns="0">
                        <a:noAutofit/>
                      </wps:bodyPr>
                    </wps:wsp>
                  </a:graphicData>
                </a:graphic>
              </wp:inline>
            </w:drawing>
          </mc:Choice>
          <mc:Fallback>
            <w:drawing>
              <wp:inline distB="0" distT="0" distL="0" distR="0">
                <wp:extent cx="6011545" cy="1925320"/>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6011545" cy="192532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96" w:right="357"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 Acuerdo también responde a la necesidad de descentralizar la oferta cultural, llevando la literatura y el legado de García Márquez a barrios y comunidades que tradicionalmente tienen menos acceso a eventos culturales. Esta estrategia está alineada con el Plan Institucional de Bienestar Social, que promueve el arte y la cultura como herramientas para el bienestar ciudadano.</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124763</wp:posOffset>
                </wp:positionH>
                <wp:positionV relativeFrom="paragraph">
                  <wp:posOffset>300755</wp:posOffset>
                </wp:positionV>
                <wp:extent cx="1829435" cy="7620"/>
                <wp:effectExtent b="0" l="0" r="0" t="0"/>
                <wp:wrapTopAndBottom distB="0" distT="0"/>
                <wp:docPr id="3" name=""/>
                <a:graphic>
                  <a:graphicData uri="http://schemas.microsoft.com/office/word/2010/wordprocessingShape">
                    <wps:wsp>
                      <wps:cNvSpPr/>
                      <wps:cNvPr id="7" name="Graphic 7"/>
                      <wps:spPr>
                        <a:xfrm>
                          <a:off x="0" y="0"/>
                          <a:ext cx="1829435" cy="7620"/>
                        </a:xfrm>
                        <a:custGeom>
                          <a:avLst/>
                          <a:gdLst/>
                          <a:ahLst/>
                          <a:cxnLst/>
                          <a:rect b="b" l="l" r="r" t="t"/>
                          <a:pathLst>
                            <a:path h="7620" w="1829435">
                              <a:moveTo>
                                <a:pt x="1829053" y="0"/>
                              </a:moveTo>
                              <a:lnTo>
                                <a:pt x="0" y="0"/>
                              </a:lnTo>
                              <a:lnTo>
                                <a:pt x="0" y="7619"/>
                              </a:lnTo>
                              <a:lnTo>
                                <a:pt x="1829053" y="7619"/>
                              </a:lnTo>
                              <a:lnTo>
                                <a:pt x="1829053" y="0"/>
                              </a:lnTo>
                              <a:close/>
                            </a:path>
                          </a:pathLst>
                        </a:custGeom>
                        <a:solidFill>
                          <a:srgbClr val="000000"/>
                        </a:solidFill>
                      </wps:spPr>
                      <wps:bodyPr bIns="0" rtlCol="0" lIns="0" rIns="0" wrap="square" tIns="0">
                        <a:prstTxWarp prst="textNoShape">
                          <a:avLst/>
                        </a:prstTxWarp>
                        <a:noAutofit/>
                      </wps:bodyPr>
                    </wps:wsp>
                  </a:graphicData>
                </a:graphic>
              </wp:anchor>
            </w:drawing>
          </mc:Choice>
          <mc:Fallback>
            <w:drawing>
              <wp:anchor allowOverlap="1" behindDoc="0" distB="0" distT="0" distL="0" distR="0" hidden="0" layoutInCell="1" locked="0" relativeHeight="0" simplePos="0">
                <wp:simplePos x="0" y="0"/>
                <wp:positionH relativeFrom="column">
                  <wp:posOffset>124763</wp:posOffset>
                </wp:positionH>
                <wp:positionV relativeFrom="paragraph">
                  <wp:posOffset>300755</wp:posOffset>
                </wp:positionV>
                <wp:extent cx="1829435" cy="7620"/>
                <wp:effectExtent b="0" l="0" r="0" t="0"/>
                <wp:wrapTopAndBottom distB="0" distT="0"/>
                <wp:docPr id="3" name="image3.png"/>
                <a:graphic>
                  <a:graphicData uri="http://schemas.openxmlformats.org/drawingml/2006/picture">
                    <pic:pic>
                      <pic:nvPicPr>
                        <pic:cNvPr id="0" name="image3.png"/>
                        <pic:cNvPicPr preferRelativeResize="0"/>
                      </pic:nvPicPr>
                      <pic:blipFill>
                        <a:blip r:embed="rId18"/>
                        <a:srcRect b="0" l="0" r="0" t="0"/>
                        <a:stretch>
                          <a:fillRect/>
                        </a:stretch>
                      </pic:blipFill>
                      <pic:spPr>
                        <a:xfrm>
                          <a:off x="0" y="0"/>
                          <a:ext cx="1829435" cy="7620"/>
                        </a:xfrm>
                        <a:prstGeom prst="rect"/>
                        <a:ln/>
                      </pic:spPr>
                    </pic:pic>
                  </a:graphicData>
                </a:graphic>
              </wp:anchor>
            </w:drawing>
          </mc:Fallback>
        </mc:AlternateContent>
      </w:r>
    </w:p>
    <w:p w:rsidR="00000000" w:rsidDel="00000000" w:rsidP="00000000" w:rsidRDefault="00000000" w:rsidRPr="00000000" w14:paraId="000000AE">
      <w:pPr>
        <w:spacing w:before="103" w:lineRule="auto"/>
        <w:ind w:left="196" w:right="1176" w:firstLine="0"/>
        <w:jc w:val="left"/>
        <w:rPr>
          <w:rFonts w:ascii="Arial" w:cs="Arial" w:eastAsia="Arial" w:hAnsi="Arial"/>
          <w:sz w:val="20"/>
          <w:szCs w:val="20"/>
        </w:rPr>
      </w:pPr>
      <w:r w:rsidDel="00000000" w:rsidR="00000000" w:rsidRPr="00000000">
        <w:rPr>
          <w:rFonts w:ascii="Arial" w:cs="Arial" w:eastAsia="Arial" w:hAnsi="Arial"/>
          <w:sz w:val="21.666666666666668"/>
          <w:szCs w:val="21.666666666666668"/>
          <w:vertAlign w:val="superscript"/>
          <w:rtl w:val="0"/>
        </w:rPr>
        <w:t xml:space="preserve">1</w:t>
      </w:r>
      <w:r w:rsidDel="00000000" w:rsidR="00000000" w:rsidRPr="00000000">
        <w:rPr>
          <w:rFonts w:ascii="Arial" w:cs="Arial" w:eastAsia="Arial" w:hAnsi="Arial"/>
          <w:sz w:val="20"/>
          <w:szCs w:val="20"/>
          <w:rtl w:val="0"/>
        </w:rPr>
        <w:t xml:space="preserve">DANE - </w:t>
      </w:r>
      <w:hyperlink r:id="rId19">
        <w:r w:rsidDel="00000000" w:rsidR="00000000" w:rsidRPr="00000000">
          <w:rPr>
            <w:rFonts w:ascii="Arial" w:cs="Arial" w:eastAsia="Arial" w:hAnsi="Arial"/>
            <w:color w:val="0000ff"/>
            <w:sz w:val="20"/>
            <w:szCs w:val="20"/>
            <w:u w:val="single"/>
            <w:rtl w:val="0"/>
          </w:rPr>
          <w:t xml:space="preserve">https://www.dane.gov.co/index.php/estadisticas-por-tema/cuentas-nacionales/cuentas-</w:t>
        </w:r>
      </w:hyperlink>
      <w:r w:rsidDel="00000000" w:rsidR="00000000" w:rsidRPr="00000000">
        <w:rPr>
          <w:rFonts w:ascii="Arial" w:cs="Arial" w:eastAsia="Arial" w:hAnsi="Arial"/>
          <w:color w:val="0000ff"/>
          <w:sz w:val="20"/>
          <w:szCs w:val="20"/>
          <w:rtl w:val="0"/>
        </w:rPr>
        <w:t xml:space="preserve"> </w:t>
      </w:r>
      <w:hyperlink r:id="rId20">
        <w:r w:rsidDel="00000000" w:rsidR="00000000" w:rsidRPr="00000000">
          <w:rPr>
            <w:rFonts w:ascii="Arial" w:cs="Arial" w:eastAsia="Arial" w:hAnsi="Arial"/>
            <w:color w:val="0000ff"/>
            <w:sz w:val="20"/>
            <w:szCs w:val="20"/>
            <w:u w:val="single"/>
            <w:rtl w:val="0"/>
          </w:rPr>
          <w:t xml:space="preserve">nacionales-trimestrales/pib-informacion-tecnica</w:t>
        </w:r>
      </w:hyperlink>
      <w:r w:rsidDel="00000000" w:rsidR="00000000" w:rsidRPr="00000000">
        <w:rPr>
          <w:rtl w:val="0"/>
        </w:rPr>
      </w:r>
    </w:p>
    <w:p w:rsidR="00000000" w:rsidDel="00000000" w:rsidP="00000000" w:rsidRDefault="00000000" w:rsidRPr="00000000" w14:paraId="000000AF">
      <w:pPr>
        <w:spacing w:before="0" w:lineRule="auto"/>
        <w:ind w:left="196" w:right="0" w:firstLine="0"/>
        <w:jc w:val="left"/>
        <w:rPr>
          <w:rFonts w:ascii="Arial" w:cs="Arial" w:eastAsia="Arial" w:hAnsi="Arial"/>
          <w:sz w:val="20"/>
          <w:szCs w:val="20"/>
        </w:rPr>
        <w:sectPr>
          <w:type w:val="nextPage"/>
          <w:pgSz w:h="15850" w:w="12250" w:orient="portrait"/>
          <w:pgMar w:bottom="280" w:top="2820" w:left="1220" w:right="1060" w:header="835" w:footer="0"/>
        </w:sectPr>
      </w:pPr>
      <w:r w:rsidDel="00000000" w:rsidR="00000000" w:rsidRPr="00000000">
        <w:rPr>
          <w:rFonts w:ascii="Arial" w:cs="Arial" w:eastAsia="Arial" w:hAnsi="Arial"/>
          <w:sz w:val="21.666666666666668"/>
          <w:szCs w:val="21.666666666666668"/>
          <w:vertAlign w:val="superscript"/>
          <w:rtl w:val="0"/>
        </w:rPr>
        <w:t xml:space="preserve">2 </w:t>
      </w:r>
      <w:r w:rsidDel="00000000" w:rsidR="00000000" w:rsidRPr="00000000">
        <w:rPr>
          <w:rFonts w:ascii="Arial" w:cs="Arial" w:eastAsia="Arial" w:hAnsi="Arial"/>
          <w:sz w:val="20"/>
          <w:szCs w:val="20"/>
          <w:rtl w:val="0"/>
        </w:rPr>
        <w:t xml:space="preserve">Secretaría de Hacienda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96" w:right="35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Para concluir, el proyecto destinado a celebrar el legado de Gabriel García Márquez en Bogotá tiene el potencial de fortalecer la identidad cultural de la ciudad, promover la lectura y el pensamiento crítico, y consolidar a Bogotá como un centro vibrante de creatividad literaria. Al involucrar tanto a entidades públicas como privadas en la promoción de su obra, la ciudad podrá asegurar que el impacto de García Márquez siga resonando en futuras generaciones. La implementación de estas iniciativas no solo rendirá homenaje a uno de los más grandes escritores de la literatura, sino que también contribuirá al enriquecimiento cultural y educativo de Bogotá.</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pStyle w:val="Heading1"/>
        <w:numPr>
          <w:ilvl w:val="0"/>
          <w:numId w:val="3"/>
        </w:numPr>
        <w:tabs>
          <w:tab w:val="left" w:leader="none" w:pos="477"/>
        </w:tabs>
        <w:spacing w:after="0" w:before="0" w:line="240" w:lineRule="auto"/>
        <w:ind w:left="477" w:right="0" w:hanging="358"/>
        <w:jc w:val="left"/>
        <w:rPr/>
      </w:pPr>
      <w:r w:rsidDel="00000000" w:rsidR="00000000" w:rsidRPr="00000000">
        <w:rPr>
          <w:rtl w:val="0"/>
        </w:rPr>
        <w:t xml:space="preserve">ANÁLISIS DEL IMPACTO FISCAL</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96" w:right="352"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continuación, se expone el análisis del Proyecto de Acuerdo No. 549 de 2024, de conformidad con el artículo 7° de la Ley 819 de 2003, establece lo siguiente:</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spacing w:before="0" w:lineRule="auto"/>
        <w:ind w:left="196" w:right="354" w:firstLine="0"/>
        <w:jc w:val="both"/>
        <w:rPr>
          <w:i w:val="1"/>
          <w:sz w:val="24"/>
          <w:szCs w:val="24"/>
        </w:rPr>
      </w:pPr>
      <w:r w:rsidDel="00000000" w:rsidR="00000000" w:rsidRPr="00000000">
        <w:rPr>
          <w:b w:val="1"/>
          <w:i w:val="1"/>
          <w:sz w:val="24"/>
          <w:szCs w:val="24"/>
          <w:rtl w:val="0"/>
        </w:rPr>
        <w:t xml:space="preserve">“Artículo 7º. </w:t>
      </w:r>
      <w:r w:rsidDel="00000000" w:rsidR="00000000" w:rsidRPr="00000000">
        <w:rPr>
          <w:i w:val="1"/>
          <w:sz w:val="24"/>
          <w:szCs w:val="24"/>
          <w:rtl w:val="0"/>
        </w:rPr>
        <w:t xml:space="preserve">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rsidR="00000000" w:rsidDel="00000000" w:rsidP="00000000" w:rsidRDefault="00000000" w:rsidRPr="00000000" w14:paraId="000000B8">
      <w:pPr>
        <w:spacing w:before="292" w:lineRule="auto"/>
        <w:ind w:left="196" w:right="361" w:firstLine="0"/>
        <w:jc w:val="both"/>
        <w:rPr>
          <w:i w:val="1"/>
          <w:sz w:val="24"/>
          <w:szCs w:val="24"/>
        </w:rPr>
      </w:pPr>
      <w:r w:rsidDel="00000000" w:rsidR="00000000" w:rsidRPr="00000000">
        <w:rPr>
          <w:i w:val="1"/>
          <w:sz w:val="24"/>
          <w:szCs w:val="24"/>
          <w:rtl w:val="0"/>
        </w:rPr>
        <w:t xml:space="preserve">Para estos propósitos, deberá incluirse expresamente en la exposición de motivos y en las ponencias de trámite respectivas los costos fiscales de la iniciativa y la fuente de ingreso adicional generada para el financiamiento de dicho costo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spacing w:before="0" w:lineRule="auto"/>
        <w:ind w:left="196" w:right="350" w:firstLine="0"/>
        <w:jc w:val="both"/>
        <w:rPr>
          <w:i w:val="1"/>
          <w:sz w:val="24"/>
          <w:szCs w:val="24"/>
        </w:rPr>
      </w:pPr>
      <w:r w:rsidDel="00000000" w:rsidR="00000000" w:rsidRPr="00000000">
        <w:rPr>
          <w:sz w:val="24"/>
          <w:szCs w:val="24"/>
          <w:rtl w:val="0"/>
        </w:rPr>
        <w:t xml:space="preserve">Sin embargo, el contenido de la Sentencia C-911 de 2007 de la Corte Constitucional, en donde manifiesta que el impacto fiscal de las normas no puede convertirse en impedimento para que las corporaciones públicas ejerzan su función legislativa y normativa. Al respecto, </w:t>
      </w:r>
      <w:r w:rsidDel="00000000" w:rsidR="00000000" w:rsidRPr="00000000">
        <w:rPr>
          <w:i w:val="1"/>
          <w:sz w:val="24"/>
          <w:szCs w:val="24"/>
          <w:rtl w:val="0"/>
        </w:rPr>
        <w:t xml:space="preserve">“Precisamente, los obstáculos casi insuperables que se generarían para la actividad legislativa del Congreso de la República conducirían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96" w:right="357" w:firstLine="0"/>
        <w:jc w:val="both"/>
        <w:rPr>
          <w:rFonts w:ascii="Calibri" w:cs="Calibri" w:eastAsia="Calibri" w:hAnsi="Calibri"/>
          <w:b w:val="0"/>
          <w:i w:val="0"/>
          <w:smallCaps w:val="0"/>
          <w:strike w:val="0"/>
          <w:color w:val="000000"/>
          <w:sz w:val="24"/>
          <w:szCs w:val="24"/>
          <w:u w:val="none"/>
          <w:shd w:fill="auto" w:val="clear"/>
          <w:vertAlign w:val="baseline"/>
        </w:rPr>
        <w:sectPr>
          <w:type w:val="nextPage"/>
          <w:pgSz w:h="15850" w:w="12250" w:orient="portrait"/>
          <w:pgMar w:bottom="280" w:top="2820" w:left="1220" w:right="1060" w:header="835" w:footer="0"/>
        </w:sect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Según lo anterior, se concluye que el Proyecto de Acuerdo en estudio no tiene impacto fiscal. Los gastos que genere la presente iniciativa se entenderán incluidos en los presupuestos y en el Plan Operativo Anual de Inversión de las entidades competentes.</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F">
      <w:pPr>
        <w:pStyle w:val="Heading1"/>
        <w:numPr>
          <w:ilvl w:val="0"/>
          <w:numId w:val="3"/>
        </w:numPr>
        <w:tabs>
          <w:tab w:val="left" w:leader="none" w:pos="477"/>
        </w:tabs>
        <w:spacing w:after="0" w:before="0" w:line="240" w:lineRule="auto"/>
        <w:ind w:left="477" w:right="0" w:hanging="358"/>
        <w:jc w:val="left"/>
        <w:rPr/>
      </w:pPr>
      <w:r w:rsidDel="00000000" w:rsidR="00000000" w:rsidRPr="00000000">
        <w:rPr>
          <w:rtl w:val="0"/>
        </w:rPr>
        <w:t xml:space="preserve">CONCLUSIÓN.</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spacing w:before="1" w:line="276" w:lineRule="auto"/>
        <w:ind w:left="196" w:right="354" w:firstLine="0"/>
        <w:jc w:val="both"/>
        <w:rPr>
          <w:i w:val="1"/>
          <w:sz w:val="24"/>
          <w:szCs w:val="24"/>
        </w:rPr>
      </w:pPr>
      <w:r w:rsidDel="00000000" w:rsidR="00000000" w:rsidRPr="00000000">
        <w:rPr>
          <w:sz w:val="24"/>
          <w:szCs w:val="24"/>
          <w:rtl w:val="0"/>
        </w:rPr>
        <w:t xml:space="preserve">Conforme a los argumentos expuestos en el presente documento, me permito presentar </w:t>
      </w:r>
      <w:r w:rsidDel="00000000" w:rsidR="00000000" w:rsidRPr="00000000">
        <w:rPr>
          <w:b w:val="1"/>
          <w:sz w:val="24"/>
          <w:szCs w:val="24"/>
          <w:rtl w:val="0"/>
        </w:rPr>
        <w:t xml:space="preserve">ponencia positiva </w:t>
      </w:r>
      <w:r w:rsidDel="00000000" w:rsidR="00000000" w:rsidRPr="00000000">
        <w:rPr>
          <w:sz w:val="24"/>
          <w:szCs w:val="24"/>
          <w:rtl w:val="0"/>
        </w:rPr>
        <w:t xml:space="preserve">al Proyecto de Acuerdo 549 de 2024 </w:t>
      </w:r>
      <w:r w:rsidDel="00000000" w:rsidR="00000000" w:rsidRPr="00000000">
        <w:rPr>
          <w:i w:val="1"/>
          <w:sz w:val="24"/>
          <w:szCs w:val="24"/>
          <w:rtl w:val="0"/>
        </w:rPr>
        <w:t xml:space="preserve">“Por medio del cual se enaltece la vida, obra y legado del nobel de literatura colombiano, Gabriel García Márquez mediante procesos, proyectos y actividades culturales en la ciudad de Bogotá”</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Cordialmente,</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2"/>
          <w:szCs w:val="12"/>
        </w:rPr>
      </w:pPr>
      <w:r w:rsidDel="00000000" w:rsidR="00000000" w:rsidRPr="00000000">
        <w:rPr>
          <w:rtl w:val="0"/>
        </w:rPr>
      </w:r>
    </w:p>
    <w:p w:rsidR="00000000" w:rsidDel="00000000" w:rsidP="00000000" w:rsidRDefault="00000000" w:rsidRPr="00000000" w14:paraId="000000CD">
      <w:pPr>
        <w:pStyle w:val="Heading1"/>
        <w:spacing w:before="12" w:lineRule="auto"/>
        <w:ind w:left="196" w:firstLine="0"/>
        <w:rPr/>
      </w:pPr>
      <w:r w:rsidDel="00000000" w:rsidR="00000000" w:rsidRPr="00000000">
        <w:rPr>
          <w:rtl w:val="0"/>
        </w:rPr>
        <w:t xml:space="preserve">SANDRA FORERO RAMÍREZ</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19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Concejal de Bogotá</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76" w:lineRule="auto"/>
        <w:ind w:left="196" w:right="6281"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Partido Centro Democrático Ponente</w:t>
      </w:r>
    </w:p>
    <w:sectPr>
      <w:type w:val="nextPage"/>
      <w:pgSz w:h="15850" w:w="12250" w:orient="portrait"/>
      <w:pgMar w:bottom="280" w:top="2820" w:left="1220" w:right="1060" w:header="835"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Quattrocento Sans"/>
  <w:font w:name="Noto Sans Symbols"/>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mc:AlternateContent>
        <mc:Choice Requires="wps">
          <w:drawing>
            <wp:anchor allowOverlap="1" behindDoc="0" distB="0" distT="0" distL="0" distR="0" hidden="0" layoutInCell="1" locked="0" relativeHeight="0" simplePos="0">
              <wp:simplePos x="0" y="0"/>
              <wp:positionH relativeFrom="page">
                <wp:posOffset>861363</wp:posOffset>
              </wp:positionH>
              <wp:positionV relativeFrom="page">
                <wp:posOffset>527303</wp:posOffset>
              </wp:positionV>
              <wp:extent cx="6050280" cy="1271905"/>
              <wp:effectExtent b="0" l="0" r="0" t="0"/>
              <wp:wrapNone/>
              <wp:docPr id="4" name=""/>
              <a:graphic>
                <a:graphicData uri="http://schemas.microsoft.com/office/word/2010/wordprocessingShape">
                  <wps:wsp>
                    <wps:cNvSpPr txBox="1"/>
                    <wps:cNvPr id="1" name="Textbox 1"/>
                    <wps:spPr>
                      <a:xfrm>
                        <a:off x="0" y="0"/>
                        <a:ext cx="6050280" cy="1271905"/>
                      </a:xfrm>
                      <a:prstGeom prst="rect">
                        <a:avLst/>
                      </a:prstGeom>
                    </wps:spPr>
                    <wps:txbx>
                      <w:txbxContent>
                        <w:tbl>
                          <w:tblPr>
                            <w:tblW w:w="0.0" w:type="auto"/>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CellMar>
                              <w:top w:w="0.0" w:type="dxa"/>
                              <w:left w:w="0.0" w:type="dxa"/>
                              <w:bottom w:w="0.0" w:type="dxa"/>
                              <w:right w:w="0.0" w:type="dxa"/>
                            </w:tblCellMar>
                            <w:tblLook w:val="01E0"/>
                          </w:tblPr>
                          <w:tblGrid>
                            <w:gridCol w:w="2513"/>
                            <w:gridCol w:w="4507"/>
                            <w:gridCol w:w="2376"/>
                          </w:tblGrid>
                          <w:tr>
                            <w:trPr>
                              <w:trHeight w:val="654" w:hRule="atLeast"/>
                            </w:trPr>
                            <w:tc>
                              <w:tcPr>
                                <w:tcW w:w="2513.0" w:type="dxa"/>
                                <w:vMerge w:val="restart"/>
                              </w:tcPr>
                              <w:p w:rsidR="00000000" w:rsidDel="00000000" w:rsidP="00000000" w:rsidRDefault="00000000" w:rsidRPr="00000000">
                                <w:pPr>
                                  <w:pStyle w:val="TableParagraph"/>
                                  <w:rPr>
                                    <w:rFonts w:ascii="Times New Roman"/>
                                    <w:sz w:val="22"/>
                                  </w:rPr>
                                </w:pPr>
                              </w:p>
                            </w:tc>
                            <w:tc>
                              <w:tcPr>
                                <w:tcW w:w="4507.0" w:type="dxa"/>
                              </w:tcPr>
                              <w:p w:rsidR="00000000" w:rsidDel="00000000" w:rsidP="00000000" w:rsidRDefault="00000000" w:rsidRPr="00000000">
                                <w:pPr>
                                  <w:pStyle w:val="TableParagraph"/>
                                  <w:spacing w:before="17"/>
                                  <w:rPr>
                                    <w:rFonts w:ascii="Times New Roman"/>
                                    <w:sz w:val="18"/>
                                  </w:rPr>
                                </w:pPr>
                              </w:p>
                              <w:p w:rsidR="00000000" w:rsidDel="00000000" w:rsidP="00000000" w:rsidRDefault="00000000" w:rsidRPr="00000000">
                                <w:pPr>
                                  <w:pStyle w:val="TableParagraph"/>
                                  <w:ind w:left="816"/>
                                  <w:rPr>
                                    <w:rFonts w:ascii="Arial MT" w:hAnsi="Arial MT"/>
                                    <w:sz w:val="18"/>
                                  </w:rPr>
                                </w:pPr>
                                <w:r w:rsidDel="00000000" w:rsidR="00000000" w:rsidRPr="00000000">
                                  <w:rPr>
                                    <w:rFonts w:ascii="Arial MT" w:hAnsi="Arial MT"/>
                                    <w:sz w:val="18"/>
                                  </w:rPr>
                                  <w:t>PROCESO</w:t>
                                </w:r>
                                <w:r w:rsidDel="00000000" w:rsidR="00000000" w:rsidRPr="00000000">
                                  <w:rPr>
                                    <w:rFonts w:ascii="Arial MT" w:hAnsi="Arial MT"/>
                                    <w:spacing w:val="-4"/>
                                    <w:sz w:val="18"/>
                                  </w:rPr>
                                  <w:t> </w:t>
                                </w:r>
                                <w:r w:rsidDel="00000000" w:rsidR="00000000" w:rsidRPr="00000000">
                                  <w:rPr>
                                    <w:rFonts w:ascii="Arial MT" w:hAnsi="Arial MT"/>
                                    <w:sz w:val="18"/>
                                  </w:rPr>
                                  <w:t>GESTIÓN</w:t>
                                </w:r>
                                <w:r w:rsidDel="00000000" w:rsidR="00000000" w:rsidRPr="00000000">
                                  <w:rPr>
                                    <w:rFonts w:ascii="Arial MT" w:hAnsi="Arial MT"/>
                                    <w:spacing w:val="-2"/>
                                    <w:sz w:val="18"/>
                                  </w:rPr>
                                  <w:t> NORMATIVA</w:t>
                                </w:r>
                              </w:p>
                            </w:tc>
                            <w:tc>
                              <w:tcPr>
                                <w:tcW w:w="2376.0" w:type="dxa"/>
                              </w:tcPr>
                              <w:p w:rsidR="00000000" w:rsidDel="00000000" w:rsidP="00000000" w:rsidRDefault="00000000" w:rsidRPr="00000000">
                                <w:pPr>
                                  <w:pStyle w:val="TableParagraph"/>
                                  <w:spacing w:before="49"/>
                                  <w:rPr>
                                    <w:rFonts w:ascii="Times New Roman"/>
                                    <w:sz w:val="16"/>
                                  </w:rPr>
                                </w:pPr>
                              </w:p>
                              <w:p w:rsidR="00000000" w:rsidDel="00000000" w:rsidP="00000000" w:rsidRDefault="00000000" w:rsidRPr="00000000">
                                <w:pPr>
                                  <w:pStyle w:val="TableParagraph"/>
                                  <w:ind w:left="115"/>
                                  <w:rPr>
                                    <w:rFonts w:ascii="Arial MT" w:hAnsi="Arial MT"/>
                                    <w:sz w:val="16"/>
                                  </w:rPr>
                                </w:pPr>
                                <w:r w:rsidDel="00000000" w:rsidR="00000000" w:rsidRPr="00000000">
                                  <w:rPr>
                                    <w:rFonts w:ascii="Arial MT" w:hAnsi="Arial MT"/>
                                    <w:sz w:val="16"/>
                                  </w:rPr>
                                  <w:t>CÓDIGO</w:t>
                                </w:r>
                                <w:r w:rsidDel="00000000" w:rsidR="00000000" w:rsidRPr="00000000">
                                  <w:rPr>
                                    <w:rFonts w:ascii="Arial MT" w:hAnsi="Arial MT"/>
                                    <w:color w:val="3366ff"/>
                                    <w:sz w:val="16"/>
                                  </w:rPr>
                                  <w:t>:</w:t>
                                </w:r>
                                <w:r w:rsidDel="00000000" w:rsidR="00000000" w:rsidRPr="00000000">
                                  <w:rPr>
                                    <w:rFonts w:ascii="Arial MT" w:hAnsi="Arial MT"/>
                                    <w:color w:val="3366ff"/>
                                    <w:spacing w:val="-9"/>
                                    <w:sz w:val="16"/>
                                  </w:rPr>
                                  <w:t> </w:t>
                                </w:r>
                                <w:r w:rsidDel="00000000" w:rsidR="00000000" w:rsidRPr="00000000">
                                  <w:rPr>
                                    <w:rFonts w:ascii="Arial MT" w:hAnsi="Arial MT"/>
                                    <w:sz w:val="16"/>
                                  </w:rPr>
                                  <w:t>GNV-FO-</w:t>
                                </w:r>
                                <w:r w:rsidDel="00000000" w:rsidR="00000000" w:rsidRPr="00000000">
                                  <w:rPr>
                                    <w:rFonts w:ascii="Arial MT" w:hAnsi="Arial MT"/>
                                    <w:spacing w:val="-5"/>
                                    <w:sz w:val="16"/>
                                  </w:rPr>
                                  <w:t>002</w:t>
                                </w:r>
                              </w:p>
                            </w:tc>
                          </w:tr>
                          <w:tr>
                            <w:trPr>
                              <w:trHeight w:val="655" w:hRule="atLeast"/>
                            </w:trPr>
                            <w:tc>
                              <w:tcPr>
                                <w:tcW w:w="2513.0" w:type="dxa"/>
                                <w:vMerge w:val="continue"/>
                                <w:tcBorders>
                                  <w:top w:space="0" w:sz="0" w:val="nil"/>
                                </w:tcBorders>
                              </w:tcPr>
                              <w:p w:rsidR="00000000" w:rsidDel="00000000" w:rsidP="00000000" w:rsidRDefault="00000000" w:rsidRPr="00000000">
                                <w:pPr>
                                  <w:rPr>
                                    <w:sz w:val="2"/>
                                    <w:szCs w:val="2"/>
                                  </w:rPr>
                                </w:pPr>
                              </w:p>
                            </w:tc>
                            <w:tc>
                              <w:tcPr>
                                <w:tcW w:w="4507.0" w:type="dxa"/>
                                <w:vMerge w:val="restart"/>
                              </w:tcPr>
                              <w:p w:rsidR="00000000" w:rsidDel="00000000" w:rsidP="00000000" w:rsidRDefault="00000000" w:rsidRPr="00000000">
                                <w:pPr>
                                  <w:pStyle w:val="TableParagraph"/>
                                  <w:rPr>
                                    <w:rFonts w:ascii="Times New Roman"/>
                                    <w:sz w:val="20"/>
                                  </w:rPr>
                                </w:pPr>
                              </w:p>
                              <w:p w:rsidR="00000000" w:rsidDel="00000000" w:rsidP="00000000" w:rsidRDefault="00000000" w:rsidRPr="00000000">
                                <w:pPr>
                                  <w:pStyle w:val="TableParagraph"/>
                                  <w:spacing w:before="84"/>
                                  <w:rPr>
                                    <w:rFonts w:ascii="Times New Roman"/>
                                    <w:sz w:val="20"/>
                                  </w:rPr>
                                </w:pPr>
                              </w:p>
                              <w:p w:rsidR="00000000" w:rsidDel="00000000" w:rsidP="00000000" w:rsidRDefault="00000000" w:rsidRPr="00000000">
                                <w:pPr>
                                  <w:pStyle w:val="TableParagraph"/>
                                  <w:ind w:left="849"/>
                                  <w:rPr>
                                    <w:rFonts w:ascii="Arial MT" w:hAnsi="Arial MT"/>
                                    <w:sz w:val="20"/>
                                  </w:rPr>
                                </w:pPr>
                                <w:r w:rsidDel="00000000" w:rsidR="00000000" w:rsidRPr="00000000">
                                  <w:rPr>
                                    <w:rFonts w:ascii="Arial MT" w:hAnsi="Arial MT"/>
                                    <w:spacing w:val="-2"/>
                                    <w:sz w:val="20"/>
                                  </w:rPr>
                                  <w:t>PRESENTACIÓN</w:t>
                                </w:r>
                                <w:r w:rsidDel="00000000" w:rsidR="00000000" w:rsidRPr="00000000">
                                  <w:rPr>
                                    <w:rFonts w:ascii="Arial MT" w:hAnsi="Arial MT"/>
                                    <w:spacing w:val="8"/>
                                    <w:sz w:val="20"/>
                                  </w:rPr>
                                  <w:t> </w:t>
                                </w:r>
                                <w:r w:rsidDel="00000000" w:rsidR="00000000" w:rsidRPr="00000000">
                                  <w:rPr>
                                    <w:rFonts w:ascii="Arial MT" w:hAnsi="Arial MT"/>
                                    <w:spacing w:val="-2"/>
                                    <w:sz w:val="20"/>
                                  </w:rPr>
                                  <w:t>PONENCIAS</w:t>
                                </w:r>
                              </w:p>
                            </w:tc>
                            <w:tc>
                              <w:tcPr>
                                <w:tcW w:w="2376.0" w:type="dxa"/>
                              </w:tcPr>
                              <w:p w:rsidR="00000000" w:rsidDel="00000000" w:rsidP="00000000" w:rsidRDefault="00000000" w:rsidRPr="00000000">
                                <w:pPr>
                                  <w:pStyle w:val="TableParagraph"/>
                                  <w:spacing w:before="50"/>
                                  <w:rPr>
                                    <w:rFonts w:ascii="Times New Roman"/>
                                    <w:sz w:val="16"/>
                                  </w:rPr>
                                </w:pPr>
                              </w:p>
                              <w:p w:rsidR="00000000" w:rsidDel="00000000" w:rsidP="00000000" w:rsidRDefault="00000000" w:rsidRPr="00000000">
                                <w:pPr>
                                  <w:pStyle w:val="TableParagraph"/>
                                  <w:ind w:left="115"/>
                                  <w:rPr>
                                    <w:rFonts w:ascii="Arial MT" w:hAnsi="Arial MT"/>
                                    <w:sz w:val="16"/>
                                  </w:rPr>
                                </w:pPr>
                                <w:r w:rsidDel="00000000" w:rsidR="00000000" w:rsidRPr="00000000">
                                  <w:rPr>
                                    <w:rFonts w:ascii="Arial MT" w:hAnsi="Arial MT"/>
                                    <w:sz w:val="16"/>
                                  </w:rPr>
                                  <w:t>VERSIÓN:</w:t>
                                </w:r>
                                <w:r w:rsidDel="00000000" w:rsidR="00000000" w:rsidRPr="00000000">
                                  <w:rPr>
                                    <w:rFonts w:ascii="Arial MT" w:hAnsi="Arial MT"/>
                                    <w:spacing w:val="41"/>
                                    <w:sz w:val="16"/>
                                  </w:rPr>
                                  <w:t>  </w:t>
                                </w:r>
                                <w:r w:rsidDel="00000000" w:rsidR="00000000" w:rsidRPr="00000000">
                                  <w:rPr>
                                    <w:rFonts w:ascii="Arial MT" w:hAnsi="Arial MT"/>
                                    <w:spacing w:val="-5"/>
                                    <w:sz w:val="16"/>
                                  </w:rPr>
                                  <w:t>01</w:t>
                                </w:r>
                              </w:p>
                            </w:tc>
                          </w:tr>
                          <w:tr>
                            <w:trPr>
                              <w:trHeight w:val="654" w:hRule="atLeast"/>
                            </w:trPr>
                            <w:tc>
                              <w:tcPr>
                                <w:tcW w:w="2513.0" w:type="dxa"/>
                                <w:vMerge w:val="continue"/>
                                <w:tcBorders>
                                  <w:top w:space="0" w:sz="0" w:val="nil"/>
                                </w:tcBorders>
                              </w:tcPr>
                              <w:p w:rsidR="00000000" w:rsidDel="00000000" w:rsidP="00000000" w:rsidRDefault="00000000" w:rsidRPr="00000000">
                                <w:pPr>
                                  <w:rPr>
                                    <w:sz w:val="2"/>
                                    <w:szCs w:val="2"/>
                                  </w:rPr>
                                </w:pPr>
                              </w:p>
                            </w:tc>
                            <w:tc>
                              <w:tcPr>
                                <w:tcW w:w="4507.0" w:type="dxa"/>
                                <w:vMerge w:val="continue"/>
                                <w:tcBorders>
                                  <w:top w:space="0" w:sz="0" w:val="nil"/>
                                </w:tcBorders>
                              </w:tcPr>
                              <w:p w:rsidR="00000000" w:rsidDel="00000000" w:rsidP="00000000" w:rsidRDefault="00000000" w:rsidRPr="00000000">
                                <w:pPr>
                                  <w:rPr>
                                    <w:sz w:val="2"/>
                                    <w:szCs w:val="2"/>
                                  </w:rPr>
                                </w:pPr>
                              </w:p>
                            </w:tc>
                            <w:tc>
                              <w:tcPr>
                                <w:tcW w:w="2376.0" w:type="dxa"/>
                              </w:tcPr>
                              <w:p w:rsidR="00000000" w:rsidDel="00000000" w:rsidP="00000000" w:rsidRDefault="00000000" w:rsidRPr="00000000">
                                <w:pPr>
                                  <w:pStyle w:val="TableParagraph"/>
                                  <w:spacing w:before="49"/>
                                  <w:rPr>
                                    <w:rFonts w:ascii="Times New Roman"/>
                                    <w:sz w:val="16"/>
                                  </w:rPr>
                                </w:pPr>
                              </w:p>
                              <w:p w:rsidR="00000000" w:rsidDel="00000000" w:rsidP="00000000" w:rsidRDefault="00000000" w:rsidRPr="00000000">
                                <w:pPr>
                                  <w:pStyle w:val="TableParagraph"/>
                                  <w:ind w:left="115"/>
                                  <w:rPr>
                                    <w:rFonts w:ascii="Arial MT"/>
                                    <w:sz w:val="16"/>
                                  </w:rPr>
                                </w:pPr>
                                <w:r w:rsidDel="00000000" w:rsidR="00000000" w:rsidRPr="00000000">
                                  <w:rPr>
                                    <w:rFonts w:ascii="Arial MT"/>
                                    <w:sz w:val="16"/>
                                  </w:rPr>
                                  <w:t>FECHA:</w:t>
                                </w:r>
                                <w:r w:rsidDel="00000000" w:rsidR="00000000" w:rsidRPr="00000000">
                                  <w:rPr>
                                    <w:rFonts w:ascii="Arial MT"/>
                                    <w:spacing w:val="-10"/>
                                    <w:sz w:val="16"/>
                                  </w:rPr>
                                  <w:t> </w:t>
                                </w:r>
                                <w:r w:rsidDel="00000000" w:rsidR="00000000" w:rsidRPr="00000000">
                                  <w:rPr>
                                    <w:rFonts w:ascii="Arial MT"/>
                                    <w:sz w:val="16"/>
                                  </w:rPr>
                                  <w:t>14-Nov-</w:t>
                                </w:r>
                                <w:r w:rsidDel="00000000" w:rsidR="00000000" w:rsidRPr="00000000">
                                  <w:rPr>
                                    <w:rFonts w:ascii="Arial MT"/>
                                    <w:spacing w:val="-4"/>
                                    <w:sz w:val="16"/>
                                  </w:rPr>
                                  <w:t>2019</w:t>
                                </w:r>
                              </w:p>
                            </w:tc>
                          </w:tr>
                        </w:tbl>
                        <w:p w:rsidR="00000000" w:rsidDel="00000000" w:rsidP="00000000" w:rsidRDefault="00000000" w:rsidRPr="00000000">
                          <w:pPr>
                            <w:pStyle w:val="BodyText"/>
                          </w:pPr>
                        </w:p>
                      </w:txbxContent>
                    </wps:txbx>
                    <wps:bodyPr bIns="0" rtlCol="0" lIns="0"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page">
                <wp:posOffset>861363</wp:posOffset>
              </wp:positionH>
              <wp:positionV relativeFrom="page">
                <wp:posOffset>527303</wp:posOffset>
              </wp:positionV>
              <wp:extent cx="6050280" cy="1271905"/>
              <wp:effectExtent b="0" l="0" r="0" t="0"/>
              <wp:wrapNone/>
              <wp:docPr id="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6050280" cy="1271905"/>
                      </a:xfrm>
                      <a:prstGeom prst="rect"/>
                      <a:ln/>
                    </pic:spPr>
                  </pic:pic>
                </a:graphicData>
              </a:graphic>
            </wp:anchor>
          </w:drawing>
        </mc:Fallback>
      </mc:AlternateConten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1318545</wp:posOffset>
          </wp:positionH>
          <wp:positionV relativeFrom="page">
            <wp:posOffset>729904</wp:posOffset>
          </wp:positionV>
          <wp:extent cx="743298" cy="876645"/>
          <wp:effectExtent b="0" l="0" r="0" t="0"/>
          <wp:wrapNone/>
          <wp:docPr id="5"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743298" cy="87664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8"/>
      <w:numFmt w:val="decimal"/>
      <w:lvlText w:val="%1."/>
      <w:lvlJc w:val="left"/>
      <w:pPr>
        <w:ind w:left="196" w:hanging="240"/>
      </w:pPr>
      <w:rPr/>
    </w:lvl>
    <w:lvl w:ilvl="1">
      <w:start w:val="0"/>
      <w:numFmt w:val="bullet"/>
      <w:lvlText w:val="●"/>
      <w:lvlJc w:val="left"/>
      <w:pPr>
        <w:ind w:left="479" w:hanging="360"/>
      </w:pPr>
      <w:rPr>
        <w:rFonts w:ascii="Calibri" w:cs="Calibri" w:eastAsia="Calibri" w:hAnsi="Calibri"/>
        <w:b w:val="0"/>
        <w:i w:val="0"/>
        <w:sz w:val="24"/>
        <w:szCs w:val="24"/>
      </w:rPr>
    </w:lvl>
    <w:lvl w:ilvl="2">
      <w:start w:val="0"/>
      <w:numFmt w:val="bullet"/>
      <w:lvlText w:val="-"/>
      <w:lvlJc w:val="left"/>
      <w:pPr>
        <w:ind w:left="916" w:hanging="360"/>
      </w:pPr>
      <w:rPr>
        <w:rFonts w:ascii="Calibri" w:cs="Calibri" w:eastAsia="Calibri" w:hAnsi="Calibri"/>
        <w:b w:val="0"/>
        <w:i w:val="0"/>
        <w:sz w:val="24"/>
        <w:szCs w:val="24"/>
      </w:rPr>
    </w:lvl>
    <w:lvl w:ilvl="3">
      <w:start w:val="0"/>
      <w:numFmt w:val="bullet"/>
      <w:lvlText w:val="•"/>
      <w:lvlJc w:val="left"/>
      <w:pPr>
        <w:ind w:left="920" w:hanging="360"/>
      </w:pPr>
      <w:rPr/>
    </w:lvl>
    <w:lvl w:ilvl="4">
      <w:start w:val="0"/>
      <w:numFmt w:val="bullet"/>
      <w:lvlText w:val="•"/>
      <w:lvlJc w:val="left"/>
      <w:pPr>
        <w:ind w:left="2211" w:hanging="360"/>
      </w:pPr>
      <w:rPr/>
    </w:lvl>
    <w:lvl w:ilvl="5">
      <w:start w:val="0"/>
      <w:numFmt w:val="bullet"/>
      <w:lvlText w:val="•"/>
      <w:lvlJc w:val="left"/>
      <w:pPr>
        <w:ind w:left="3503" w:hanging="360"/>
      </w:pPr>
      <w:rPr/>
    </w:lvl>
    <w:lvl w:ilvl="6">
      <w:start w:val="0"/>
      <w:numFmt w:val="bullet"/>
      <w:lvlText w:val="•"/>
      <w:lvlJc w:val="left"/>
      <w:pPr>
        <w:ind w:left="4795" w:hanging="360"/>
      </w:pPr>
      <w:rPr/>
    </w:lvl>
    <w:lvl w:ilvl="7">
      <w:start w:val="0"/>
      <w:numFmt w:val="bullet"/>
      <w:lvlText w:val="•"/>
      <w:lvlJc w:val="left"/>
      <w:pPr>
        <w:ind w:left="6087" w:hanging="360"/>
      </w:pPr>
      <w:rPr/>
    </w:lvl>
    <w:lvl w:ilvl="8">
      <w:start w:val="0"/>
      <w:numFmt w:val="bullet"/>
      <w:lvlText w:val="•"/>
      <w:lvlJc w:val="left"/>
      <w:pPr>
        <w:ind w:left="7378" w:hanging="360"/>
      </w:pPr>
      <w:rPr/>
    </w:lvl>
  </w:abstractNum>
  <w:abstractNum w:abstractNumId="2">
    <w:lvl w:ilvl="0">
      <w:start w:val="0"/>
      <w:numFmt w:val="bullet"/>
      <w:lvlText w:val="-"/>
      <w:lvlJc w:val="left"/>
      <w:pPr>
        <w:ind w:left="916" w:hanging="360"/>
      </w:pPr>
      <w:rPr>
        <w:rFonts w:ascii="Calibri" w:cs="Calibri" w:eastAsia="Calibri" w:hAnsi="Calibri"/>
        <w:b w:val="0"/>
        <w:i w:val="0"/>
        <w:sz w:val="24"/>
        <w:szCs w:val="24"/>
      </w:rPr>
    </w:lvl>
    <w:lvl w:ilvl="1">
      <w:start w:val="0"/>
      <w:numFmt w:val="bullet"/>
      <w:lvlText w:val="•"/>
      <w:lvlJc w:val="left"/>
      <w:pPr>
        <w:ind w:left="1824" w:hanging="360"/>
      </w:pPr>
      <w:rPr/>
    </w:lvl>
    <w:lvl w:ilvl="2">
      <w:start w:val="0"/>
      <w:numFmt w:val="bullet"/>
      <w:lvlText w:val="•"/>
      <w:lvlJc w:val="left"/>
      <w:pPr>
        <w:ind w:left="2728" w:hanging="360"/>
      </w:pPr>
      <w:rPr/>
    </w:lvl>
    <w:lvl w:ilvl="3">
      <w:start w:val="0"/>
      <w:numFmt w:val="bullet"/>
      <w:lvlText w:val="•"/>
      <w:lvlJc w:val="left"/>
      <w:pPr>
        <w:ind w:left="3632" w:hanging="360"/>
      </w:pPr>
      <w:rPr/>
    </w:lvl>
    <w:lvl w:ilvl="4">
      <w:start w:val="0"/>
      <w:numFmt w:val="bullet"/>
      <w:lvlText w:val="•"/>
      <w:lvlJc w:val="left"/>
      <w:pPr>
        <w:ind w:left="4536" w:hanging="360"/>
      </w:pPr>
      <w:rPr/>
    </w:lvl>
    <w:lvl w:ilvl="5">
      <w:start w:val="0"/>
      <w:numFmt w:val="bullet"/>
      <w:lvlText w:val="•"/>
      <w:lvlJc w:val="left"/>
      <w:pPr>
        <w:ind w:left="5441" w:hanging="360"/>
      </w:pPr>
      <w:rPr/>
    </w:lvl>
    <w:lvl w:ilvl="6">
      <w:start w:val="0"/>
      <w:numFmt w:val="bullet"/>
      <w:lvlText w:val="•"/>
      <w:lvlJc w:val="left"/>
      <w:pPr>
        <w:ind w:left="6345" w:hanging="360"/>
      </w:pPr>
      <w:rPr/>
    </w:lvl>
    <w:lvl w:ilvl="7">
      <w:start w:val="0"/>
      <w:numFmt w:val="bullet"/>
      <w:lvlText w:val="•"/>
      <w:lvlJc w:val="left"/>
      <w:pPr>
        <w:ind w:left="7249" w:hanging="360"/>
      </w:pPr>
      <w:rPr/>
    </w:lvl>
    <w:lvl w:ilvl="8">
      <w:start w:val="0"/>
      <w:numFmt w:val="bullet"/>
      <w:lvlText w:val="•"/>
      <w:lvlJc w:val="left"/>
      <w:pPr>
        <w:ind w:left="8153" w:hanging="360"/>
      </w:pPr>
      <w:rPr/>
    </w:lvl>
  </w:abstractNum>
  <w:abstractNum w:abstractNumId="3">
    <w:lvl w:ilvl="0">
      <w:start w:val="1"/>
      <w:numFmt w:val="decimal"/>
      <w:lvlText w:val="%1."/>
      <w:lvlJc w:val="left"/>
      <w:pPr>
        <w:ind w:left="479" w:hanging="284"/>
      </w:pPr>
      <w:rPr>
        <w:rFonts w:ascii="Calibri" w:cs="Calibri" w:eastAsia="Calibri" w:hAnsi="Calibri"/>
        <w:b w:val="1"/>
        <w:i w:val="0"/>
        <w:sz w:val="24"/>
        <w:szCs w:val="24"/>
      </w:rPr>
    </w:lvl>
    <w:lvl w:ilvl="1">
      <w:start w:val="0"/>
      <w:numFmt w:val="bullet"/>
      <w:lvlText w:val="●"/>
      <w:lvlJc w:val="left"/>
      <w:pPr>
        <w:ind w:left="621" w:hanging="425"/>
      </w:pPr>
      <w:rPr>
        <w:rFonts w:ascii="Calibri" w:cs="Calibri" w:eastAsia="Calibri" w:hAnsi="Calibri"/>
        <w:b w:val="0"/>
        <w:i w:val="0"/>
        <w:sz w:val="24"/>
        <w:szCs w:val="24"/>
      </w:rPr>
    </w:lvl>
    <w:lvl w:ilvl="2">
      <w:start w:val="0"/>
      <w:numFmt w:val="bullet"/>
      <w:lvlText w:val="✔"/>
      <w:lvlJc w:val="left"/>
      <w:pPr>
        <w:ind w:left="916" w:hanging="360"/>
      </w:pPr>
      <w:rPr>
        <w:rFonts w:ascii="Noto Sans Symbols" w:cs="Noto Sans Symbols" w:eastAsia="Noto Sans Symbols" w:hAnsi="Noto Sans Symbols"/>
        <w:b w:val="0"/>
        <w:i w:val="0"/>
        <w:sz w:val="24"/>
        <w:szCs w:val="24"/>
      </w:rPr>
    </w:lvl>
    <w:lvl w:ilvl="3">
      <w:start w:val="0"/>
      <w:numFmt w:val="bullet"/>
      <w:lvlText w:val="•"/>
      <w:lvlJc w:val="left"/>
      <w:pPr>
        <w:ind w:left="2050" w:hanging="360"/>
      </w:pPr>
      <w:rPr/>
    </w:lvl>
    <w:lvl w:ilvl="4">
      <w:start w:val="0"/>
      <w:numFmt w:val="bullet"/>
      <w:lvlText w:val="•"/>
      <w:lvlJc w:val="left"/>
      <w:pPr>
        <w:ind w:left="3180" w:hanging="360"/>
      </w:pPr>
      <w:rPr/>
    </w:lvl>
    <w:lvl w:ilvl="5">
      <w:start w:val="0"/>
      <w:numFmt w:val="bullet"/>
      <w:lvlText w:val="•"/>
      <w:lvlJc w:val="left"/>
      <w:pPr>
        <w:ind w:left="4310" w:hanging="360"/>
      </w:pPr>
      <w:rPr/>
    </w:lvl>
    <w:lvl w:ilvl="6">
      <w:start w:val="0"/>
      <w:numFmt w:val="bullet"/>
      <w:lvlText w:val="•"/>
      <w:lvlJc w:val="left"/>
      <w:pPr>
        <w:ind w:left="5441" w:hanging="360"/>
      </w:pPr>
      <w:rPr/>
    </w:lvl>
    <w:lvl w:ilvl="7">
      <w:start w:val="0"/>
      <w:numFmt w:val="bullet"/>
      <w:lvlText w:val="•"/>
      <w:lvlJc w:val="left"/>
      <w:pPr>
        <w:ind w:left="6571" w:hanging="360"/>
      </w:pPr>
      <w:rPr/>
    </w:lvl>
    <w:lvl w:ilvl="8">
      <w:start w:val="0"/>
      <w:numFmt w:val="bullet"/>
      <w:lvlText w:val="•"/>
      <w:lvlJc w:val="left"/>
      <w:pPr>
        <w:ind w:left="7701" w:hanging="360"/>
      </w:pPr>
      <w:rPr/>
    </w:lvl>
  </w:abstractNum>
  <w:abstractNum w:abstractNumId="4">
    <w:lvl w:ilvl="0">
      <w:start w:val="1"/>
      <w:numFmt w:val="decimal"/>
      <w:lvlText w:val="%1."/>
      <w:lvlJc w:val="left"/>
      <w:pPr>
        <w:ind w:left="623" w:hanging="360"/>
      </w:pPr>
      <w:rPr>
        <w:rFonts w:ascii="Calibri" w:cs="Calibri" w:eastAsia="Calibri" w:hAnsi="Calibri"/>
        <w:b w:val="0"/>
        <w:i w:val="0"/>
        <w:sz w:val="24"/>
        <w:szCs w:val="24"/>
      </w:rPr>
    </w:lvl>
    <w:lvl w:ilvl="1">
      <w:start w:val="0"/>
      <w:numFmt w:val="bullet"/>
      <w:lvlText w:val="o"/>
      <w:lvlJc w:val="left"/>
      <w:pPr>
        <w:ind w:left="623" w:hanging="360"/>
      </w:pPr>
      <w:rPr>
        <w:rFonts w:ascii="Courier New" w:cs="Courier New" w:eastAsia="Courier New" w:hAnsi="Courier New"/>
        <w:b w:val="0"/>
        <w:i w:val="0"/>
        <w:sz w:val="20"/>
        <w:szCs w:val="20"/>
      </w:rPr>
    </w:lvl>
    <w:lvl w:ilvl="2">
      <w:start w:val="0"/>
      <w:numFmt w:val="bullet"/>
      <w:lvlText w:val="•"/>
      <w:lvlJc w:val="left"/>
      <w:pPr>
        <w:ind w:left="2488" w:hanging="360"/>
      </w:pPr>
      <w:rPr/>
    </w:lvl>
    <w:lvl w:ilvl="3">
      <w:start w:val="0"/>
      <w:numFmt w:val="bullet"/>
      <w:lvlText w:val="•"/>
      <w:lvlJc w:val="left"/>
      <w:pPr>
        <w:ind w:left="3422" w:hanging="360"/>
      </w:pPr>
      <w:rPr/>
    </w:lvl>
    <w:lvl w:ilvl="4">
      <w:start w:val="0"/>
      <w:numFmt w:val="bullet"/>
      <w:lvlText w:val="•"/>
      <w:lvlJc w:val="left"/>
      <w:pPr>
        <w:ind w:left="4356" w:hanging="360"/>
      </w:pPr>
      <w:rPr/>
    </w:lvl>
    <w:lvl w:ilvl="5">
      <w:start w:val="0"/>
      <w:numFmt w:val="bullet"/>
      <w:lvlText w:val="•"/>
      <w:lvlJc w:val="left"/>
      <w:pPr>
        <w:ind w:left="5291" w:hanging="360"/>
      </w:pPr>
      <w:rPr/>
    </w:lvl>
    <w:lvl w:ilvl="6">
      <w:start w:val="0"/>
      <w:numFmt w:val="bullet"/>
      <w:lvlText w:val="•"/>
      <w:lvlJc w:val="left"/>
      <w:pPr>
        <w:ind w:left="6225" w:hanging="360"/>
      </w:pPr>
      <w:rPr/>
    </w:lvl>
    <w:lvl w:ilvl="7">
      <w:start w:val="0"/>
      <w:numFmt w:val="bullet"/>
      <w:lvlText w:val="•"/>
      <w:lvlJc w:val="left"/>
      <w:pPr>
        <w:ind w:left="7159" w:hanging="360"/>
      </w:pPr>
      <w:rPr/>
    </w:lvl>
    <w:lvl w:ilvl="8">
      <w:start w:val="0"/>
      <w:numFmt w:val="bullet"/>
      <w:lvlText w:val="•"/>
      <w:lvlJc w:val="left"/>
      <w:pPr>
        <w:ind w:left="8093" w:hanging="360"/>
      </w:pPr>
      <w:rPr/>
    </w:lvl>
  </w:abstractNum>
  <w:abstractNum w:abstractNumId="5">
    <w:lvl w:ilvl="0">
      <w:start w:val="0"/>
      <w:numFmt w:val="bullet"/>
      <w:lvlText w:val="-"/>
      <w:lvlJc w:val="left"/>
      <w:pPr>
        <w:ind w:left="916" w:hanging="360"/>
      </w:pPr>
      <w:rPr>
        <w:rFonts w:ascii="Calibri" w:cs="Calibri" w:eastAsia="Calibri" w:hAnsi="Calibri"/>
        <w:b w:val="0"/>
        <w:i w:val="0"/>
        <w:sz w:val="21"/>
        <w:szCs w:val="21"/>
      </w:rPr>
    </w:lvl>
    <w:lvl w:ilvl="1">
      <w:start w:val="0"/>
      <w:numFmt w:val="bullet"/>
      <w:lvlText w:val="•"/>
      <w:lvlJc w:val="left"/>
      <w:pPr>
        <w:ind w:left="1824" w:hanging="360"/>
      </w:pPr>
      <w:rPr/>
    </w:lvl>
    <w:lvl w:ilvl="2">
      <w:start w:val="0"/>
      <w:numFmt w:val="bullet"/>
      <w:lvlText w:val="•"/>
      <w:lvlJc w:val="left"/>
      <w:pPr>
        <w:ind w:left="2728" w:hanging="360"/>
      </w:pPr>
      <w:rPr/>
    </w:lvl>
    <w:lvl w:ilvl="3">
      <w:start w:val="0"/>
      <w:numFmt w:val="bullet"/>
      <w:lvlText w:val="•"/>
      <w:lvlJc w:val="left"/>
      <w:pPr>
        <w:ind w:left="3632" w:hanging="360"/>
      </w:pPr>
      <w:rPr/>
    </w:lvl>
    <w:lvl w:ilvl="4">
      <w:start w:val="0"/>
      <w:numFmt w:val="bullet"/>
      <w:lvlText w:val="•"/>
      <w:lvlJc w:val="left"/>
      <w:pPr>
        <w:ind w:left="4536" w:hanging="360"/>
      </w:pPr>
      <w:rPr/>
    </w:lvl>
    <w:lvl w:ilvl="5">
      <w:start w:val="0"/>
      <w:numFmt w:val="bullet"/>
      <w:lvlText w:val="•"/>
      <w:lvlJc w:val="left"/>
      <w:pPr>
        <w:ind w:left="5441" w:hanging="360"/>
      </w:pPr>
      <w:rPr/>
    </w:lvl>
    <w:lvl w:ilvl="6">
      <w:start w:val="0"/>
      <w:numFmt w:val="bullet"/>
      <w:lvlText w:val="•"/>
      <w:lvlJc w:val="left"/>
      <w:pPr>
        <w:ind w:left="6345" w:hanging="360"/>
      </w:pPr>
      <w:rPr/>
    </w:lvl>
    <w:lvl w:ilvl="7">
      <w:start w:val="0"/>
      <w:numFmt w:val="bullet"/>
      <w:lvlText w:val="•"/>
      <w:lvlJc w:val="left"/>
      <w:pPr>
        <w:ind w:left="7249" w:hanging="360"/>
      </w:pPr>
      <w:rPr/>
    </w:lvl>
    <w:lvl w:ilvl="8">
      <w:start w:val="0"/>
      <w:numFmt w:val="bullet"/>
      <w:lvlText w:val="•"/>
      <w:lvlJc w:val="left"/>
      <w:pPr>
        <w:ind w:left="8153" w:hanging="360"/>
      </w:pPr>
      <w:rPr/>
    </w:lvl>
  </w:abstractNum>
  <w:abstractNum w:abstractNumId="6">
    <w:lvl w:ilvl="0">
      <w:start w:val="13"/>
      <w:numFmt w:val="decimal"/>
      <w:lvlText w:val="%1."/>
      <w:lvlJc w:val="left"/>
      <w:pPr>
        <w:ind w:left="555" w:hanging="360"/>
      </w:pPr>
      <w:rPr>
        <w:rFonts w:ascii="Calibri" w:cs="Calibri" w:eastAsia="Calibri" w:hAnsi="Calibri"/>
        <w:b w:val="0"/>
        <w:i w:val="1"/>
        <w:sz w:val="24"/>
        <w:szCs w:val="24"/>
      </w:rPr>
    </w:lvl>
    <w:lvl w:ilvl="1">
      <w:start w:val="0"/>
      <w:numFmt w:val="bullet"/>
      <w:lvlText w:val="●"/>
      <w:lvlJc w:val="left"/>
      <w:pPr>
        <w:ind w:left="621" w:hanging="425"/>
      </w:pPr>
      <w:rPr>
        <w:rFonts w:ascii="Calibri" w:cs="Calibri" w:eastAsia="Calibri" w:hAnsi="Calibri"/>
        <w:b w:val="0"/>
        <w:i w:val="0"/>
        <w:sz w:val="24"/>
        <w:szCs w:val="24"/>
      </w:rPr>
    </w:lvl>
    <w:lvl w:ilvl="2">
      <w:start w:val="0"/>
      <w:numFmt w:val="bullet"/>
      <w:lvlText w:val="•"/>
      <w:lvlJc w:val="left"/>
      <w:pPr>
        <w:ind w:left="1658" w:hanging="425"/>
      </w:pPr>
      <w:rPr/>
    </w:lvl>
    <w:lvl w:ilvl="3">
      <w:start w:val="0"/>
      <w:numFmt w:val="bullet"/>
      <w:lvlText w:val="•"/>
      <w:lvlJc w:val="left"/>
      <w:pPr>
        <w:ind w:left="2696" w:hanging="425"/>
      </w:pPr>
      <w:rPr/>
    </w:lvl>
    <w:lvl w:ilvl="4">
      <w:start w:val="0"/>
      <w:numFmt w:val="bullet"/>
      <w:lvlText w:val="•"/>
      <w:lvlJc w:val="left"/>
      <w:pPr>
        <w:ind w:left="3734" w:hanging="425"/>
      </w:pPr>
      <w:rPr/>
    </w:lvl>
    <w:lvl w:ilvl="5">
      <w:start w:val="0"/>
      <w:numFmt w:val="bullet"/>
      <w:lvlText w:val="•"/>
      <w:lvlJc w:val="left"/>
      <w:pPr>
        <w:ind w:left="4772" w:hanging="425"/>
      </w:pPr>
      <w:rPr/>
    </w:lvl>
    <w:lvl w:ilvl="6">
      <w:start w:val="0"/>
      <w:numFmt w:val="bullet"/>
      <w:lvlText w:val="•"/>
      <w:lvlJc w:val="left"/>
      <w:pPr>
        <w:ind w:left="5810" w:hanging="425"/>
      </w:pPr>
      <w:rPr/>
    </w:lvl>
    <w:lvl w:ilvl="7">
      <w:start w:val="0"/>
      <w:numFmt w:val="bullet"/>
      <w:lvlText w:val="•"/>
      <w:lvlJc w:val="left"/>
      <w:pPr>
        <w:ind w:left="6848" w:hanging="425"/>
      </w:pPr>
      <w:rPr/>
    </w:lvl>
    <w:lvl w:ilvl="8">
      <w:start w:val="0"/>
      <w:numFmt w:val="bullet"/>
      <w:lvlText w:val="•"/>
      <w:lvlJc w:val="left"/>
      <w:pPr>
        <w:ind w:left="7886" w:hanging="425"/>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78"/>
    </w:pPr>
    <w:rPr>
      <w:rFonts w:ascii="Calibri" w:cs="Calibri" w:eastAsia="Calibri" w:hAnsi="Calibri"/>
      <w:b w:val="1"/>
      <w:sz w:val="24"/>
      <w:szCs w:val="24"/>
    </w:rPr>
  </w:style>
  <w:style w:type="paragraph" w:styleId="Heading2">
    <w:name w:val="heading 2"/>
    <w:basedOn w:val="Normal"/>
    <w:next w:val="Normal"/>
    <w:pPr>
      <w:ind w:left="622" w:hanging="359"/>
    </w:pPr>
    <w:rPr>
      <w:rFonts w:ascii="Calibri" w:cs="Calibri" w:eastAsia="Calibri" w:hAnsi="Calibri"/>
      <w:b w:val="1"/>
      <w:sz w:val="24"/>
      <w:szCs w:val="24"/>
    </w:rPr>
  </w:style>
  <w:style w:type="paragraph" w:styleId="Heading3">
    <w:name w:val="heading 3"/>
    <w:basedOn w:val="Normal"/>
    <w:next w:val="Normal"/>
    <w:pPr>
      <w:ind w:left="621" w:hanging="425"/>
    </w:pPr>
    <w:rPr>
      <w:rFonts w:ascii="Calibri" w:cs="Calibri" w:eastAsia="Calibri" w:hAnsi="Calibri"/>
      <w:b w:val="1"/>
      <w:i w:val="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dane.gov.co/index.php/estadisticas-por-tema/cuentas-nacionales/cuentas-nacionales-trimestrales/pib-informacion-tecnica" TargetMode="External"/><Relationship Id="rId11" Type="http://schemas.openxmlformats.org/officeDocument/2006/relationships/hyperlink" Target="https://www.cervantes.es/bibliotecas_documentacion_espanol/creadores/garcia_marquez_gabriel_premios.htm" TargetMode="External"/><Relationship Id="rId10" Type="http://schemas.openxmlformats.org/officeDocument/2006/relationships/hyperlink" Target="https://www.cervantes.es/bibliotecas_documentacion_espanol/creadores/garcia_marquez_gabriel_premios.htm" TargetMode="External"/><Relationship Id="rId13" Type="http://schemas.openxmlformats.org/officeDocument/2006/relationships/hyperlink" Target="https://www.cervantes.es/bibliotecas_documentacion_espanol/creadores/garcia_marquez_gabriel_premios.htm" TargetMode="External"/><Relationship Id="rId12" Type="http://schemas.openxmlformats.org/officeDocument/2006/relationships/hyperlink" Target="https://www.cervantes.es/bibliotecas_documentacion_espanol/creadores/garcia_marquez_gabriel_premios.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ervantes.es/bibliotecas_documentacion_espanol/creadores/garcia_marquez_gabriel_premios.htm" TargetMode="External"/><Relationship Id="rId15" Type="http://schemas.openxmlformats.org/officeDocument/2006/relationships/hyperlink" Target="https://www.cervantes.es/bibliotecas_documentacion_espanol/creadores/garcia_marquez_gabriel_premios.htm" TargetMode="External"/><Relationship Id="rId14" Type="http://schemas.openxmlformats.org/officeDocument/2006/relationships/hyperlink" Target="https://www.cervantes.es/bibliotecas_documentacion_espanol/creadores/garcia_marquez_gabriel_premios.htm" TargetMode="External"/><Relationship Id="rId17" Type="http://schemas.openxmlformats.org/officeDocument/2006/relationships/image" Target="media/image1.png"/><Relationship Id="rId16" Type="http://schemas.openxmlformats.org/officeDocument/2006/relationships/image" Target="media/image2.png"/><Relationship Id="rId5" Type="http://schemas.openxmlformats.org/officeDocument/2006/relationships/styles" Target="styles.xml"/><Relationship Id="rId19" Type="http://schemas.openxmlformats.org/officeDocument/2006/relationships/hyperlink" Target="https://www.dane.gov.co/index.php/estadisticas-por-tema/cuentas-nacionales/cuentas-nacionales-trimestrales/pib-informacion-tecnica" TargetMode="External"/><Relationship Id="rId6" Type="http://schemas.openxmlformats.org/officeDocument/2006/relationships/header" Target="header1.xml"/><Relationship Id="rId18" Type="http://schemas.openxmlformats.org/officeDocument/2006/relationships/image" Target="media/image3.png"/><Relationship Id="rId7" Type="http://schemas.openxmlformats.org/officeDocument/2006/relationships/hyperlink" Target="https://www.cervantes.es/bibliotecas_documentacion_espanol/creadores/garcia_marquez_gabriel_premios.htm" TargetMode="External"/><Relationship Id="rId8" Type="http://schemas.openxmlformats.org/officeDocument/2006/relationships/hyperlink" Target="https://www.cervantes.es/bibliotecas_documentacion_espanol/creadores/garcia_marquez_gabriel_premio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