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C7EB4D" w14:textId="5820496D" w:rsidR="00074660" w:rsidRPr="002C3E05" w:rsidRDefault="00074660" w:rsidP="00156400">
      <w:pPr>
        <w:pStyle w:val="Sinespaciado"/>
        <w:rPr>
          <w:rFonts w:ascii="Arial" w:hAnsi="Arial" w:cs="Arial"/>
        </w:rPr>
      </w:pPr>
      <w:r w:rsidRPr="002C3E05">
        <w:rPr>
          <w:rFonts w:ascii="Arial" w:hAnsi="Arial" w:cs="Arial"/>
        </w:rPr>
        <w:t xml:space="preserve">Bogotá D.C., </w:t>
      </w:r>
      <w:r w:rsidR="0005300F">
        <w:rPr>
          <w:rFonts w:ascii="Arial" w:hAnsi="Arial" w:cs="Arial"/>
        </w:rPr>
        <w:t>1</w:t>
      </w:r>
      <w:r w:rsidR="00EB4C53">
        <w:rPr>
          <w:rFonts w:ascii="Arial" w:hAnsi="Arial" w:cs="Arial"/>
        </w:rPr>
        <w:t>7</w:t>
      </w:r>
      <w:r w:rsidR="0005300F">
        <w:rPr>
          <w:rFonts w:ascii="Arial" w:hAnsi="Arial" w:cs="Arial"/>
        </w:rPr>
        <w:t xml:space="preserve"> abril</w:t>
      </w:r>
      <w:r w:rsidR="00211FBD" w:rsidRPr="002C3E05">
        <w:rPr>
          <w:rFonts w:ascii="Arial" w:hAnsi="Arial" w:cs="Arial"/>
        </w:rPr>
        <w:t xml:space="preserve"> de 2024</w:t>
      </w:r>
    </w:p>
    <w:p w14:paraId="3C9AB806" w14:textId="77777777" w:rsidR="00074660" w:rsidRPr="0091794E" w:rsidRDefault="00074660" w:rsidP="00074660">
      <w:pPr>
        <w:jc w:val="both"/>
        <w:rPr>
          <w:rFonts w:ascii="Arial" w:hAnsi="Arial" w:cs="Arial"/>
          <w:lang w:val="es-ES"/>
        </w:rPr>
      </w:pPr>
    </w:p>
    <w:p w14:paraId="51522618" w14:textId="77777777" w:rsidR="006966EC" w:rsidRDefault="006966EC" w:rsidP="00074660">
      <w:pPr>
        <w:autoSpaceDE w:val="0"/>
        <w:autoSpaceDN w:val="0"/>
        <w:adjustRightInd w:val="0"/>
        <w:jc w:val="both"/>
        <w:rPr>
          <w:rFonts w:ascii="Arial" w:hAnsi="Arial" w:cs="Arial"/>
          <w:lang w:val="es" w:eastAsia="es-ES"/>
        </w:rPr>
      </w:pPr>
    </w:p>
    <w:p w14:paraId="169289DC" w14:textId="3EB94993" w:rsidR="00074660" w:rsidRDefault="00074660" w:rsidP="00074660">
      <w:pPr>
        <w:autoSpaceDE w:val="0"/>
        <w:autoSpaceDN w:val="0"/>
        <w:adjustRightInd w:val="0"/>
        <w:jc w:val="both"/>
        <w:rPr>
          <w:rFonts w:ascii="Arial" w:hAnsi="Arial" w:cs="Arial"/>
          <w:lang w:val="es" w:eastAsia="es-ES"/>
        </w:rPr>
      </w:pPr>
      <w:r w:rsidRPr="0091794E">
        <w:rPr>
          <w:rFonts w:ascii="Arial" w:hAnsi="Arial" w:cs="Arial"/>
          <w:lang w:val="es" w:eastAsia="es-ES"/>
        </w:rPr>
        <w:t>Señor</w:t>
      </w:r>
    </w:p>
    <w:p w14:paraId="34D3F21E" w14:textId="5EF98793" w:rsidR="001A4DB2" w:rsidRDefault="00EB4C53" w:rsidP="0007466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es" w:eastAsia="es-ES"/>
        </w:rPr>
      </w:pPr>
      <w:r>
        <w:rPr>
          <w:rFonts w:ascii="Arial" w:hAnsi="Arial" w:cs="Arial"/>
          <w:b/>
          <w:bCs/>
          <w:lang w:val="es" w:eastAsia="es-ES"/>
        </w:rPr>
        <w:t>ROLANDO GONZALEZ GARCIA</w:t>
      </w:r>
    </w:p>
    <w:p w14:paraId="25D2F5E9" w14:textId="5099506C" w:rsidR="00EB4C53" w:rsidRDefault="00EB4C53" w:rsidP="0007466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es" w:eastAsia="es-ES"/>
        </w:rPr>
      </w:pPr>
      <w:r>
        <w:rPr>
          <w:rFonts w:ascii="Arial" w:hAnsi="Arial" w:cs="Arial"/>
          <w:b/>
          <w:bCs/>
          <w:lang w:val="es" w:eastAsia="es-ES"/>
        </w:rPr>
        <w:t>Concejal</w:t>
      </w:r>
      <w:r w:rsidR="00A67B8A">
        <w:rPr>
          <w:rFonts w:ascii="Arial" w:hAnsi="Arial" w:cs="Arial"/>
          <w:b/>
          <w:bCs/>
          <w:lang w:val="es" w:eastAsia="es-ES"/>
        </w:rPr>
        <w:t xml:space="preserve"> de Bogotá</w:t>
      </w:r>
    </w:p>
    <w:p w14:paraId="6F9D9A53" w14:textId="5408EBC5" w:rsidR="00A67B8A" w:rsidRPr="001A4DB2" w:rsidRDefault="00A67B8A" w:rsidP="0007466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lang w:val="es" w:eastAsia="es-ES"/>
        </w:rPr>
      </w:pPr>
      <w:r>
        <w:rPr>
          <w:rFonts w:ascii="Arial" w:hAnsi="Arial" w:cs="Arial"/>
          <w:b/>
          <w:bCs/>
          <w:lang w:val="es" w:eastAsia="es-ES"/>
        </w:rPr>
        <w:t>Concejo de Bogotá D.C.</w:t>
      </w:r>
    </w:p>
    <w:p w14:paraId="22A1D2C3" w14:textId="6907A4A6" w:rsidR="003C66AC" w:rsidRPr="0091794E" w:rsidRDefault="003C66AC" w:rsidP="00FE4A17">
      <w:pPr>
        <w:autoSpaceDE w:val="0"/>
        <w:autoSpaceDN w:val="0"/>
        <w:adjustRightInd w:val="0"/>
        <w:rPr>
          <w:rFonts w:ascii="Arial" w:hAnsi="Arial" w:cs="Arial"/>
          <w:bCs/>
          <w:color w:val="000000"/>
        </w:rPr>
      </w:pPr>
      <w:r>
        <w:rPr>
          <w:rFonts w:ascii="Arial" w:hAnsi="Arial" w:cs="Arial"/>
          <w:bCs/>
          <w:color w:val="000000"/>
        </w:rPr>
        <w:t xml:space="preserve">Bogotá </w:t>
      </w:r>
    </w:p>
    <w:p w14:paraId="13EF138B" w14:textId="77777777" w:rsidR="00CA2E45" w:rsidRPr="0091794E" w:rsidRDefault="00CA2E45" w:rsidP="00074660">
      <w:pPr>
        <w:rPr>
          <w:rFonts w:ascii="Arial" w:hAnsi="Arial" w:cs="Arial"/>
          <w:lang w:val="es-ES"/>
        </w:rPr>
      </w:pPr>
    </w:p>
    <w:p w14:paraId="6DA69143" w14:textId="2F6FB263" w:rsidR="004F5634" w:rsidRPr="0091794E" w:rsidRDefault="00074660" w:rsidP="008E2214">
      <w:pPr>
        <w:rPr>
          <w:rFonts w:ascii="Arial" w:hAnsi="Arial" w:cs="Arial"/>
          <w:highlight w:val="white"/>
          <w:lang w:val="es" w:eastAsia="es-ES"/>
        </w:rPr>
      </w:pPr>
      <w:r w:rsidRPr="0091794E">
        <w:rPr>
          <w:rFonts w:ascii="Arial" w:hAnsi="Arial" w:cs="Arial"/>
          <w:b/>
          <w:lang w:val="es" w:eastAsia="es-ES"/>
        </w:rPr>
        <w:t xml:space="preserve">Asunto: </w:t>
      </w:r>
      <w:r w:rsidR="00157013">
        <w:rPr>
          <w:rFonts w:ascii="Arial" w:hAnsi="Arial" w:cs="Arial"/>
          <w:b/>
          <w:lang w:val="es" w:eastAsia="es-ES"/>
        </w:rPr>
        <w:t xml:space="preserve">Respuesta </w:t>
      </w:r>
      <w:r w:rsidR="00B11D2D">
        <w:rPr>
          <w:rFonts w:ascii="Arial" w:hAnsi="Arial" w:cs="Arial"/>
          <w:b/>
          <w:lang w:val="es" w:eastAsia="es-ES"/>
        </w:rPr>
        <w:t>cuestionario proposición 577 de 2024</w:t>
      </w:r>
    </w:p>
    <w:p w14:paraId="0EB157D7" w14:textId="77777777" w:rsidR="006966EC" w:rsidRDefault="006966EC" w:rsidP="00074660">
      <w:pPr>
        <w:autoSpaceDE w:val="0"/>
        <w:autoSpaceDN w:val="0"/>
        <w:adjustRightInd w:val="0"/>
        <w:jc w:val="both"/>
        <w:rPr>
          <w:rFonts w:ascii="Arial" w:hAnsi="Arial" w:cs="Arial"/>
          <w:highlight w:val="white"/>
          <w:lang w:val="es" w:eastAsia="es-ES"/>
        </w:rPr>
      </w:pPr>
    </w:p>
    <w:p w14:paraId="1C58921D" w14:textId="3D6E0712" w:rsidR="00074660" w:rsidRPr="0091794E" w:rsidRDefault="00074660" w:rsidP="00074660">
      <w:pPr>
        <w:autoSpaceDE w:val="0"/>
        <w:autoSpaceDN w:val="0"/>
        <w:adjustRightInd w:val="0"/>
        <w:jc w:val="both"/>
        <w:rPr>
          <w:rFonts w:ascii="Arial" w:hAnsi="Arial" w:cs="Arial"/>
          <w:highlight w:val="white"/>
          <w:lang w:val="es" w:eastAsia="es-ES"/>
        </w:rPr>
      </w:pPr>
      <w:r w:rsidRPr="0091794E">
        <w:rPr>
          <w:rFonts w:ascii="Arial" w:hAnsi="Arial" w:cs="Arial"/>
          <w:highlight w:val="white"/>
          <w:lang w:val="es" w:eastAsia="es-ES"/>
        </w:rPr>
        <w:t>Respetado Señ</w:t>
      </w:r>
      <w:r w:rsidR="00A67B8A">
        <w:rPr>
          <w:rFonts w:ascii="Arial" w:hAnsi="Arial" w:cs="Arial"/>
          <w:highlight w:val="white"/>
          <w:lang w:val="es" w:eastAsia="es-ES"/>
        </w:rPr>
        <w:t xml:space="preserve">or Concejal, </w:t>
      </w:r>
    </w:p>
    <w:p w14:paraId="3C9D6C34" w14:textId="77777777" w:rsidR="006966EC" w:rsidRDefault="006966EC" w:rsidP="00074660">
      <w:pPr>
        <w:autoSpaceDE w:val="0"/>
        <w:jc w:val="both"/>
        <w:rPr>
          <w:rFonts w:ascii="Arial" w:hAnsi="Arial" w:cs="Arial"/>
          <w:highlight w:val="white"/>
          <w:lang w:val="es" w:eastAsia="es-ES"/>
        </w:rPr>
      </w:pPr>
    </w:p>
    <w:p w14:paraId="391E162B" w14:textId="41122504" w:rsidR="001332D4" w:rsidRDefault="00074660" w:rsidP="00074660">
      <w:pPr>
        <w:autoSpaceDE w:val="0"/>
        <w:jc w:val="both"/>
        <w:rPr>
          <w:rFonts w:ascii="Arial" w:hAnsi="Arial" w:cs="Arial"/>
          <w:lang w:val="es" w:eastAsia="es-ES"/>
        </w:rPr>
      </w:pPr>
      <w:r w:rsidRPr="0091794E">
        <w:rPr>
          <w:rFonts w:ascii="Arial" w:hAnsi="Arial" w:cs="Arial"/>
          <w:highlight w:val="white"/>
          <w:lang w:val="es" w:eastAsia="es-ES"/>
        </w:rPr>
        <w:t xml:space="preserve">Reciba un cordial saludo de la Subred Integrada de Servicios de Salud </w:t>
      </w:r>
      <w:r w:rsidR="009309D3" w:rsidRPr="0091794E">
        <w:rPr>
          <w:rFonts w:ascii="Arial" w:hAnsi="Arial" w:cs="Arial"/>
          <w:highlight w:val="white"/>
          <w:lang w:val="es" w:eastAsia="es-ES"/>
        </w:rPr>
        <w:t xml:space="preserve">Sur E.S.E; </w:t>
      </w:r>
      <w:r w:rsidR="009309D3" w:rsidRPr="0091794E">
        <w:rPr>
          <w:rFonts w:ascii="Arial" w:hAnsi="Arial" w:cs="Arial"/>
          <w:lang w:val="es" w:eastAsia="es-ES"/>
        </w:rPr>
        <w:t>a</w:t>
      </w:r>
      <w:r w:rsidRPr="0091794E">
        <w:rPr>
          <w:rFonts w:ascii="Arial" w:hAnsi="Arial" w:cs="Arial"/>
          <w:lang w:val="es" w:eastAsia="es-ES"/>
        </w:rPr>
        <w:t xml:space="preserve"> </w:t>
      </w:r>
      <w:r w:rsidR="009309D3" w:rsidRPr="0091794E">
        <w:rPr>
          <w:rFonts w:ascii="Arial" w:hAnsi="Arial" w:cs="Arial"/>
          <w:lang w:val="es" w:eastAsia="es-ES"/>
        </w:rPr>
        <w:t>continuación,</w:t>
      </w:r>
      <w:r w:rsidRPr="0091794E">
        <w:rPr>
          <w:rFonts w:ascii="Arial" w:hAnsi="Arial" w:cs="Arial"/>
          <w:lang w:val="es" w:eastAsia="es-ES"/>
        </w:rPr>
        <w:t xml:space="preserve"> se remite respuesta </w:t>
      </w:r>
      <w:r w:rsidR="00FF2C8C" w:rsidRPr="0091794E">
        <w:rPr>
          <w:rFonts w:ascii="Arial" w:hAnsi="Arial" w:cs="Arial"/>
          <w:lang w:val="es" w:eastAsia="es-ES"/>
        </w:rPr>
        <w:t>a</w:t>
      </w:r>
      <w:r w:rsidR="00903447" w:rsidRPr="0091794E">
        <w:rPr>
          <w:rFonts w:ascii="Arial" w:hAnsi="Arial" w:cs="Arial"/>
          <w:lang w:val="es" w:eastAsia="es-ES"/>
        </w:rPr>
        <w:t>:</w:t>
      </w:r>
    </w:p>
    <w:p w14:paraId="14931496" w14:textId="77777777" w:rsidR="003A170C" w:rsidRDefault="003A170C" w:rsidP="004952FE">
      <w:pPr>
        <w:autoSpaceDE w:val="0"/>
        <w:jc w:val="both"/>
        <w:rPr>
          <w:rFonts w:ascii="Arial" w:hAnsi="Arial" w:cs="Arial"/>
          <w:lang w:val="es"/>
        </w:rPr>
      </w:pPr>
    </w:p>
    <w:p w14:paraId="25D7BB9A" w14:textId="7ABEEC7D" w:rsidR="003A170C" w:rsidRDefault="003A170C" w:rsidP="004952FE">
      <w:pPr>
        <w:autoSpaceDE w:val="0"/>
        <w:jc w:val="both"/>
        <w:rPr>
          <w:rFonts w:ascii="Arial" w:hAnsi="Arial" w:cs="Arial"/>
          <w:lang w:val="es"/>
        </w:rPr>
      </w:pPr>
      <w:r>
        <w:rPr>
          <w:rFonts w:ascii="Arial" w:hAnsi="Arial" w:cs="Arial"/>
          <w:lang w:val="es"/>
        </w:rPr>
        <w:t>7. ¿Cuál es el comportamiento del costo medico de atención ambulatoria y hospitalaria anual para los años 2021 a 2023?</w:t>
      </w:r>
    </w:p>
    <w:p w14:paraId="04B9CD23" w14:textId="77777777" w:rsidR="00A67B8A" w:rsidRDefault="00A67B8A" w:rsidP="004952FE">
      <w:pPr>
        <w:autoSpaceDE w:val="0"/>
        <w:jc w:val="both"/>
        <w:rPr>
          <w:rFonts w:ascii="Arial" w:hAnsi="Arial" w:cs="Arial"/>
          <w:lang w:val="es"/>
        </w:rPr>
      </w:pPr>
    </w:p>
    <w:p w14:paraId="1B38F820" w14:textId="133C9EAE" w:rsidR="003A170C" w:rsidRDefault="003A170C" w:rsidP="004952FE">
      <w:pPr>
        <w:autoSpaceDE w:val="0"/>
        <w:jc w:val="both"/>
        <w:rPr>
          <w:rFonts w:ascii="Arial" w:hAnsi="Arial" w:cs="Arial"/>
          <w:lang w:val="es"/>
        </w:rPr>
      </w:pPr>
      <w:r w:rsidRPr="003A170C">
        <w:rPr>
          <w:rFonts w:ascii="Arial" w:hAnsi="Arial" w:cs="Arial"/>
          <w:b/>
          <w:bCs/>
          <w:lang w:val="es"/>
        </w:rPr>
        <w:t>Respuesta:</w:t>
      </w:r>
      <w:r>
        <w:rPr>
          <w:rFonts w:ascii="Arial" w:hAnsi="Arial" w:cs="Arial"/>
          <w:lang w:val="es"/>
        </w:rPr>
        <w:t xml:space="preserve"> Se adjunta documento en excel donde se detallan los costos médicos</w:t>
      </w:r>
      <w:r>
        <w:rPr>
          <w:rFonts w:ascii="Arial" w:hAnsi="Arial" w:cs="Arial"/>
          <w:lang w:val="es"/>
        </w:rPr>
        <w:t xml:space="preserve"> de atención ambulatoria y hospitalaria anual para los años 2021 a 2023</w:t>
      </w:r>
      <w:r>
        <w:rPr>
          <w:rFonts w:ascii="Arial" w:hAnsi="Arial" w:cs="Arial"/>
          <w:lang w:val="es"/>
        </w:rPr>
        <w:t>.</w:t>
      </w:r>
    </w:p>
    <w:p w14:paraId="4A322BC9" w14:textId="77777777" w:rsidR="003A170C" w:rsidRDefault="003A170C" w:rsidP="004952FE">
      <w:pPr>
        <w:autoSpaceDE w:val="0"/>
        <w:jc w:val="both"/>
        <w:rPr>
          <w:rFonts w:ascii="Arial" w:hAnsi="Arial" w:cs="Arial"/>
          <w:lang w:val="es"/>
        </w:rPr>
      </w:pPr>
    </w:p>
    <w:p w14:paraId="15F77B61" w14:textId="77777777" w:rsidR="003A170C" w:rsidRDefault="003A170C" w:rsidP="004952FE">
      <w:pPr>
        <w:autoSpaceDE w:val="0"/>
        <w:jc w:val="both"/>
        <w:rPr>
          <w:rFonts w:ascii="Arial" w:hAnsi="Arial" w:cs="Arial"/>
          <w:lang w:val="es"/>
        </w:rPr>
      </w:pPr>
    </w:p>
    <w:p w14:paraId="351225B0" w14:textId="0EB6CD87" w:rsidR="00EF3554" w:rsidRDefault="00B11D2D" w:rsidP="004952FE">
      <w:pPr>
        <w:autoSpaceDE w:val="0"/>
        <w:jc w:val="both"/>
        <w:rPr>
          <w:rFonts w:ascii="Arial" w:hAnsi="Arial" w:cs="Arial"/>
          <w:lang w:val="es"/>
        </w:rPr>
      </w:pPr>
      <w:r>
        <w:rPr>
          <w:rFonts w:ascii="Arial" w:hAnsi="Arial" w:cs="Arial"/>
          <w:lang w:val="es"/>
        </w:rPr>
        <w:t>8</w:t>
      </w:r>
      <w:r w:rsidR="00C7377A">
        <w:rPr>
          <w:rFonts w:ascii="Arial" w:hAnsi="Arial" w:cs="Arial"/>
          <w:lang w:val="es"/>
        </w:rPr>
        <w:t xml:space="preserve">. </w:t>
      </w:r>
      <w:r>
        <w:rPr>
          <w:rFonts w:ascii="Arial" w:hAnsi="Arial" w:cs="Arial"/>
          <w:lang w:val="es"/>
        </w:rPr>
        <w:t>Indique el comportami</w:t>
      </w:r>
      <w:r w:rsidR="00FC6185">
        <w:rPr>
          <w:rFonts w:ascii="Arial" w:hAnsi="Arial" w:cs="Arial"/>
          <w:lang w:val="es"/>
        </w:rPr>
        <w:t>ento de pagos y deuda de Capital Salud a las Subredes Integradas de Servicios de Salud de la ciudad</w:t>
      </w:r>
      <w:r w:rsidR="001550E2">
        <w:rPr>
          <w:rFonts w:ascii="Arial" w:hAnsi="Arial" w:cs="Arial"/>
          <w:lang w:val="es"/>
        </w:rPr>
        <w:t>.</w:t>
      </w:r>
    </w:p>
    <w:p w14:paraId="539E4FD4" w14:textId="0D71267D" w:rsidR="00C7377A" w:rsidRDefault="00C7377A" w:rsidP="004952FE">
      <w:pPr>
        <w:autoSpaceDE w:val="0"/>
        <w:jc w:val="both"/>
        <w:rPr>
          <w:rFonts w:ascii="Arial" w:hAnsi="Arial" w:cs="Arial"/>
          <w:lang w:val="es"/>
        </w:rPr>
      </w:pPr>
    </w:p>
    <w:p w14:paraId="21EED025" w14:textId="212DB0E1" w:rsidR="00690628" w:rsidRDefault="00A27606" w:rsidP="00FC6185">
      <w:pPr>
        <w:jc w:val="both"/>
        <w:rPr>
          <w:rFonts w:ascii="Arial" w:hAnsi="Arial" w:cs="Arial"/>
          <w:lang w:val="es"/>
        </w:rPr>
      </w:pPr>
      <w:r w:rsidRPr="00331C66">
        <w:rPr>
          <w:rFonts w:ascii="Arial" w:hAnsi="Arial" w:cs="Arial"/>
          <w:b/>
          <w:lang w:val="es"/>
        </w:rPr>
        <w:t>Respuesta</w:t>
      </w:r>
      <w:r>
        <w:rPr>
          <w:rFonts w:ascii="Arial" w:hAnsi="Arial" w:cs="Arial"/>
          <w:lang w:val="es"/>
        </w:rPr>
        <w:t>:</w:t>
      </w:r>
      <w:r w:rsidR="00124109">
        <w:rPr>
          <w:rFonts w:ascii="Arial" w:hAnsi="Arial" w:cs="Arial"/>
          <w:lang w:val="es"/>
        </w:rPr>
        <w:t xml:space="preserve"> </w:t>
      </w:r>
      <w:r w:rsidR="00FC6185">
        <w:rPr>
          <w:rFonts w:ascii="Arial" w:hAnsi="Arial" w:cs="Arial"/>
          <w:lang w:val="es"/>
        </w:rPr>
        <w:t xml:space="preserve"> </w:t>
      </w:r>
      <w:r w:rsidR="0040633B">
        <w:rPr>
          <w:rFonts w:ascii="Arial" w:hAnsi="Arial" w:cs="Arial"/>
          <w:lang w:val="es"/>
        </w:rPr>
        <w:t xml:space="preserve">La </w:t>
      </w:r>
      <w:r w:rsidR="0040633B" w:rsidRPr="0040633B">
        <w:rPr>
          <w:rFonts w:ascii="Arial" w:hAnsi="Arial" w:cs="Arial"/>
          <w:lang w:val="es"/>
        </w:rPr>
        <w:t>Subred Integrada de Servicios de Salud Sur E</w:t>
      </w:r>
      <w:r w:rsidR="000A5D9B">
        <w:rPr>
          <w:rFonts w:ascii="Arial" w:hAnsi="Arial" w:cs="Arial"/>
          <w:lang w:val="es"/>
        </w:rPr>
        <w:t>.</w:t>
      </w:r>
      <w:r w:rsidR="0040633B" w:rsidRPr="0040633B">
        <w:rPr>
          <w:rFonts w:ascii="Arial" w:hAnsi="Arial" w:cs="Arial"/>
          <w:lang w:val="es"/>
        </w:rPr>
        <w:t>S</w:t>
      </w:r>
      <w:r w:rsidR="000A5D9B">
        <w:rPr>
          <w:rFonts w:ascii="Arial" w:hAnsi="Arial" w:cs="Arial"/>
          <w:lang w:val="es"/>
        </w:rPr>
        <w:t>.</w:t>
      </w:r>
      <w:r w:rsidR="0040633B" w:rsidRPr="0040633B">
        <w:rPr>
          <w:rFonts w:ascii="Arial" w:hAnsi="Arial" w:cs="Arial"/>
          <w:lang w:val="es"/>
        </w:rPr>
        <w:t>E</w:t>
      </w:r>
      <w:r w:rsidR="000A5D9B">
        <w:rPr>
          <w:rFonts w:ascii="Arial" w:hAnsi="Arial" w:cs="Arial"/>
          <w:lang w:val="es"/>
        </w:rPr>
        <w:t>.</w:t>
      </w:r>
      <w:r w:rsidR="0040633B" w:rsidRPr="0040633B">
        <w:rPr>
          <w:rFonts w:ascii="Arial" w:hAnsi="Arial" w:cs="Arial"/>
          <w:lang w:val="es"/>
        </w:rPr>
        <w:t xml:space="preserve"> </w:t>
      </w:r>
      <w:r w:rsidR="00CD65D7">
        <w:rPr>
          <w:rFonts w:ascii="Arial" w:hAnsi="Arial" w:cs="Arial"/>
          <w:lang w:val="es"/>
        </w:rPr>
        <w:t xml:space="preserve">con corte al mes de marzo de 2024 presenta cuentas por cobrar </w:t>
      </w:r>
      <w:r w:rsidR="004537EF">
        <w:rPr>
          <w:rFonts w:ascii="Arial" w:hAnsi="Arial" w:cs="Arial"/>
          <w:lang w:val="es"/>
        </w:rPr>
        <w:t xml:space="preserve">a la EPS Capital Salud </w:t>
      </w:r>
      <w:r w:rsidR="00CD65D7">
        <w:rPr>
          <w:rFonts w:ascii="Arial" w:hAnsi="Arial" w:cs="Arial"/>
          <w:lang w:val="es"/>
        </w:rPr>
        <w:t>por</w:t>
      </w:r>
      <w:r w:rsidR="009E3775">
        <w:rPr>
          <w:rFonts w:ascii="Arial" w:hAnsi="Arial" w:cs="Arial"/>
          <w:lang w:val="es"/>
        </w:rPr>
        <w:t xml:space="preserve"> valor de $</w:t>
      </w:r>
      <w:r w:rsidR="004537EF">
        <w:rPr>
          <w:rFonts w:ascii="Arial" w:hAnsi="Arial" w:cs="Arial"/>
          <w:lang w:val="es"/>
        </w:rPr>
        <w:t>25.927</w:t>
      </w:r>
      <w:r w:rsidR="009E3775">
        <w:rPr>
          <w:rFonts w:ascii="Arial" w:hAnsi="Arial" w:cs="Arial"/>
          <w:lang w:val="es"/>
        </w:rPr>
        <w:t xml:space="preserve"> millones de pesos </w:t>
      </w:r>
      <w:r w:rsidR="003A170C">
        <w:rPr>
          <w:rFonts w:ascii="Arial" w:hAnsi="Arial" w:cs="Arial"/>
          <w:lang w:val="es"/>
        </w:rPr>
        <w:t xml:space="preserve">M/Cte., </w:t>
      </w:r>
      <w:r w:rsidR="009E3775">
        <w:rPr>
          <w:rFonts w:ascii="Arial" w:hAnsi="Arial" w:cs="Arial"/>
          <w:lang w:val="es"/>
        </w:rPr>
        <w:t>derivado de la</w:t>
      </w:r>
      <w:r w:rsidR="00CD65D7">
        <w:rPr>
          <w:rFonts w:ascii="Arial" w:hAnsi="Arial" w:cs="Arial"/>
          <w:lang w:val="es"/>
        </w:rPr>
        <w:t xml:space="preserve"> </w:t>
      </w:r>
      <w:r w:rsidR="009E3775">
        <w:rPr>
          <w:rFonts w:ascii="Arial" w:hAnsi="Arial" w:cs="Arial"/>
          <w:lang w:val="es"/>
        </w:rPr>
        <w:t>prestación</w:t>
      </w:r>
      <w:r w:rsidR="00CD65D7">
        <w:rPr>
          <w:rFonts w:ascii="Arial" w:hAnsi="Arial" w:cs="Arial"/>
          <w:lang w:val="es"/>
        </w:rPr>
        <w:t xml:space="preserve"> </w:t>
      </w:r>
      <w:r w:rsidR="009E3775">
        <w:rPr>
          <w:rFonts w:ascii="Arial" w:hAnsi="Arial" w:cs="Arial"/>
          <w:lang w:val="es"/>
        </w:rPr>
        <w:t>de</w:t>
      </w:r>
      <w:r w:rsidR="0040633B" w:rsidRPr="0040633B">
        <w:rPr>
          <w:rFonts w:ascii="Arial" w:hAnsi="Arial" w:cs="Arial"/>
          <w:lang w:val="es"/>
        </w:rPr>
        <w:t xml:space="preserve"> servicios de salud </w:t>
      </w:r>
      <w:r w:rsidR="00690628">
        <w:rPr>
          <w:rFonts w:ascii="Arial" w:hAnsi="Arial" w:cs="Arial"/>
          <w:lang w:val="es"/>
        </w:rPr>
        <w:t xml:space="preserve">detallados </w:t>
      </w:r>
      <w:r w:rsidR="006414C7">
        <w:rPr>
          <w:rFonts w:ascii="Arial" w:hAnsi="Arial" w:cs="Arial"/>
          <w:lang w:val="es"/>
        </w:rPr>
        <w:t xml:space="preserve">por edades y tipo de contratación </w:t>
      </w:r>
      <w:r w:rsidR="006B59A1">
        <w:rPr>
          <w:rFonts w:ascii="Arial" w:hAnsi="Arial" w:cs="Arial"/>
          <w:lang w:val="es"/>
        </w:rPr>
        <w:t>así:</w:t>
      </w:r>
    </w:p>
    <w:p w14:paraId="422B5FD3" w14:textId="1153955D" w:rsidR="005324C8" w:rsidRDefault="005324C8" w:rsidP="005324C8">
      <w:pPr>
        <w:autoSpaceDE w:val="0"/>
        <w:jc w:val="right"/>
        <w:rPr>
          <w:rFonts w:ascii="Arial" w:hAnsi="Arial" w:cs="Arial"/>
          <w:sz w:val="18"/>
          <w:lang w:val="es"/>
        </w:rPr>
      </w:pPr>
      <w:r>
        <w:rPr>
          <w:rFonts w:ascii="Arial" w:hAnsi="Arial" w:cs="Arial"/>
          <w:lang w:val="es"/>
        </w:rPr>
        <w:tab/>
      </w:r>
      <w:r>
        <w:rPr>
          <w:rFonts w:ascii="Arial" w:hAnsi="Arial" w:cs="Arial"/>
          <w:lang w:val="es"/>
        </w:rPr>
        <w:tab/>
      </w:r>
      <w:r>
        <w:rPr>
          <w:rFonts w:ascii="Arial" w:hAnsi="Arial" w:cs="Arial"/>
          <w:lang w:val="es"/>
        </w:rPr>
        <w:tab/>
      </w:r>
      <w:r>
        <w:rPr>
          <w:rFonts w:ascii="Arial" w:hAnsi="Arial" w:cs="Arial"/>
          <w:lang w:val="es"/>
        </w:rPr>
        <w:tab/>
      </w:r>
      <w:r>
        <w:rPr>
          <w:rFonts w:ascii="Arial" w:hAnsi="Arial" w:cs="Arial"/>
          <w:lang w:val="es"/>
        </w:rPr>
        <w:tab/>
      </w:r>
      <w:r>
        <w:rPr>
          <w:rFonts w:ascii="Arial" w:hAnsi="Arial" w:cs="Arial"/>
          <w:lang w:val="es"/>
        </w:rPr>
        <w:tab/>
      </w:r>
      <w:r>
        <w:rPr>
          <w:rFonts w:ascii="Arial" w:hAnsi="Arial" w:cs="Arial"/>
          <w:lang w:val="es"/>
        </w:rPr>
        <w:tab/>
      </w:r>
      <w:r w:rsidRPr="003275E6">
        <w:rPr>
          <w:rFonts w:ascii="Arial" w:hAnsi="Arial" w:cs="Arial"/>
          <w:sz w:val="18"/>
          <w:lang w:val="es"/>
        </w:rPr>
        <w:t>Valores en millones de pesos</w:t>
      </w:r>
    </w:p>
    <w:p w14:paraId="4E95BFD7" w14:textId="61ED77A4" w:rsidR="006414C7" w:rsidRDefault="006414C7" w:rsidP="005324C8">
      <w:pPr>
        <w:autoSpaceDE w:val="0"/>
        <w:jc w:val="right"/>
        <w:rPr>
          <w:rFonts w:ascii="Arial" w:hAnsi="Arial" w:cs="Arial"/>
          <w:sz w:val="18"/>
          <w:lang w:val="es"/>
        </w:rPr>
      </w:pPr>
    </w:p>
    <w:tbl>
      <w:tblPr>
        <w:tblW w:w="92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797"/>
        <w:gridCol w:w="1328"/>
        <w:gridCol w:w="1465"/>
        <w:gridCol w:w="1733"/>
        <w:gridCol w:w="1061"/>
        <w:gridCol w:w="879"/>
      </w:tblGrid>
      <w:tr w:rsidR="006414C7" w:rsidRPr="006D3F08" w14:paraId="0AABD3FE" w14:textId="77777777" w:rsidTr="003A170C">
        <w:trPr>
          <w:trHeight w:val="247"/>
        </w:trPr>
        <w:tc>
          <w:tcPr>
            <w:tcW w:w="2797" w:type="dxa"/>
            <w:shd w:val="clear" w:color="auto" w:fill="2E74B5" w:themeFill="accent1" w:themeFillShade="BF"/>
            <w:vAlign w:val="center"/>
            <w:hideMark/>
          </w:tcPr>
          <w:p w14:paraId="0510ECF3" w14:textId="77777777" w:rsidR="006414C7" w:rsidRPr="006D3F08" w:rsidRDefault="006414C7" w:rsidP="006F099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EDAD DE CARTERA</w:t>
            </w:r>
          </w:p>
        </w:tc>
        <w:tc>
          <w:tcPr>
            <w:tcW w:w="1328" w:type="dxa"/>
            <w:shd w:val="clear" w:color="auto" w:fill="2E74B5" w:themeFill="accent1" w:themeFillShade="BF"/>
            <w:vAlign w:val="center"/>
            <w:hideMark/>
          </w:tcPr>
          <w:p w14:paraId="755EDBB3" w14:textId="77777777" w:rsidR="006414C7" w:rsidRPr="006D3F08" w:rsidRDefault="006414C7" w:rsidP="006F099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PGP</w:t>
            </w:r>
          </w:p>
        </w:tc>
        <w:tc>
          <w:tcPr>
            <w:tcW w:w="1465" w:type="dxa"/>
            <w:shd w:val="clear" w:color="auto" w:fill="2E74B5" w:themeFill="accent1" w:themeFillShade="BF"/>
            <w:vAlign w:val="center"/>
            <w:hideMark/>
          </w:tcPr>
          <w:p w14:paraId="531F4F6C" w14:textId="77777777" w:rsidR="006414C7" w:rsidRPr="006D3F08" w:rsidRDefault="006414C7" w:rsidP="006F099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EVENTO</w:t>
            </w:r>
          </w:p>
        </w:tc>
        <w:tc>
          <w:tcPr>
            <w:tcW w:w="1733" w:type="dxa"/>
            <w:shd w:val="clear" w:color="auto" w:fill="2E74B5" w:themeFill="accent1" w:themeFillShade="BF"/>
            <w:vAlign w:val="center"/>
            <w:hideMark/>
          </w:tcPr>
          <w:p w14:paraId="7336C390" w14:textId="77777777" w:rsidR="006414C7" w:rsidRPr="006D3F08" w:rsidRDefault="006414C7" w:rsidP="006F099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CONTRIBUTIVO</w:t>
            </w:r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14:paraId="16F969A5" w14:textId="77777777" w:rsidR="006414C7" w:rsidRPr="006D3F08" w:rsidRDefault="006414C7" w:rsidP="006F099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 xml:space="preserve">TOTAL </w:t>
            </w:r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14:paraId="79569C01" w14:textId="77777777" w:rsidR="006414C7" w:rsidRPr="006D3F08" w:rsidRDefault="006414C7" w:rsidP="006F0994">
            <w:pPr>
              <w:jc w:val="center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%</w:t>
            </w:r>
          </w:p>
        </w:tc>
      </w:tr>
      <w:tr w:rsidR="006414C7" w:rsidRPr="006D3F08" w14:paraId="571836E3" w14:textId="77777777" w:rsidTr="003A170C">
        <w:trPr>
          <w:trHeight w:val="224"/>
        </w:trPr>
        <w:tc>
          <w:tcPr>
            <w:tcW w:w="2797" w:type="dxa"/>
            <w:shd w:val="clear" w:color="000000" w:fill="auto"/>
            <w:vAlign w:val="center"/>
            <w:hideMark/>
          </w:tcPr>
          <w:p w14:paraId="7CF07409" w14:textId="77777777" w:rsidR="006414C7" w:rsidRPr="006D3F08" w:rsidRDefault="006414C7" w:rsidP="006F099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De 0 a 90 días</w:t>
            </w:r>
          </w:p>
        </w:tc>
        <w:tc>
          <w:tcPr>
            <w:tcW w:w="1328" w:type="dxa"/>
            <w:shd w:val="clear" w:color="000000" w:fill="auto"/>
            <w:vAlign w:val="center"/>
            <w:hideMark/>
          </w:tcPr>
          <w:p w14:paraId="2FA08963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shd w:val="clear" w:color="000000" w:fill="auto"/>
            <w:vAlign w:val="center"/>
            <w:hideMark/>
          </w:tcPr>
          <w:p w14:paraId="3CC36837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8.615</w:t>
            </w:r>
          </w:p>
        </w:tc>
        <w:tc>
          <w:tcPr>
            <w:tcW w:w="1733" w:type="dxa"/>
            <w:shd w:val="clear" w:color="000000" w:fill="auto"/>
            <w:vAlign w:val="center"/>
            <w:hideMark/>
          </w:tcPr>
          <w:p w14:paraId="2F81EA3C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146</w:t>
            </w:r>
          </w:p>
        </w:tc>
        <w:tc>
          <w:tcPr>
            <w:tcW w:w="0" w:type="auto"/>
            <w:shd w:val="clear" w:color="000000" w:fill="auto"/>
            <w:vAlign w:val="center"/>
            <w:hideMark/>
          </w:tcPr>
          <w:p w14:paraId="2603DAFD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8.761</w:t>
            </w:r>
          </w:p>
        </w:tc>
        <w:tc>
          <w:tcPr>
            <w:tcW w:w="0" w:type="auto"/>
            <w:shd w:val="clear" w:color="000000" w:fill="auto"/>
            <w:vAlign w:val="center"/>
            <w:hideMark/>
          </w:tcPr>
          <w:p w14:paraId="7CF4D18E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34%</w:t>
            </w:r>
          </w:p>
        </w:tc>
      </w:tr>
      <w:tr w:rsidR="006414C7" w:rsidRPr="006D3F08" w14:paraId="6A4ED22E" w14:textId="77777777" w:rsidTr="003A170C">
        <w:trPr>
          <w:trHeight w:val="224"/>
        </w:trPr>
        <w:tc>
          <w:tcPr>
            <w:tcW w:w="2797" w:type="dxa"/>
            <w:shd w:val="clear" w:color="000000" w:fill="auto"/>
            <w:vAlign w:val="center"/>
            <w:hideMark/>
          </w:tcPr>
          <w:p w14:paraId="56FE7782" w14:textId="77777777" w:rsidR="006414C7" w:rsidRPr="006D3F08" w:rsidRDefault="006414C7" w:rsidP="006F099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De 91 a 180 días</w:t>
            </w:r>
          </w:p>
        </w:tc>
        <w:tc>
          <w:tcPr>
            <w:tcW w:w="1328" w:type="dxa"/>
            <w:shd w:val="clear" w:color="000000" w:fill="auto"/>
            <w:vAlign w:val="center"/>
            <w:hideMark/>
          </w:tcPr>
          <w:p w14:paraId="7B3B9648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shd w:val="clear" w:color="000000" w:fill="auto"/>
            <w:vAlign w:val="center"/>
            <w:hideMark/>
          </w:tcPr>
          <w:p w14:paraId="3801431D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1.334</w:t>
            </w:r>
          </w:p>
        </w:tc>
        <w:tc>
          <w:tcPr>
            <w:tcW w:w="1733" w:type="dxa"/>
            <w:shd w:val="clear" w:color="000000" w:fill="auto"/>
            <w:vAlign w:val="center"/>
            <w:hideMark/>
          </w:tcPr>
          <w:p w14:paraId="23788C39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47</w:t>
            </w:r>
          </w:p>
        </w:tc>
        <w:tc>
          <w:tcPr>
            <w:tcW w:w="0" w:type="auto"/>
            <w:shd w:val="clear" w:color="000000" w:fill="auto"/>
            <w:vAlign w:val="center"/>
            <w:hideMark/>
          </w:tcPr>
          <w:p w14:paraId="62A834A1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1.381</w:t>
            </w:r>
          </w:p>
        </w:tc>
        <w:tc>
          <w:tcPr>
            <w:tcW w:w="0" w:type="auto"/>
            <w:shd w:val="clear" w:color="000000" w:fill="auto"/>
            <w:vAlign w:val="center"/>
            <w:hideMark/>
          </w:tcPr>
          <w:p w14:paraId="69F80117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5%</w:t>
            </w:r>
          </w:p>
        </w:tc>
      </w:tr>
      <w:tr w:rsidR="006414C7" w:rsidRPr="006D3F08" w14:paraId="5618F972" w14:textId="77777777" w:rsidTr="003A170C">
        <w:trPr>
          <w:trHeight w:val="224"/>
        </w:trPr>
        <w:tc>
          <w:tcPr>
            <w:tcW w:w="2797" w:type="dxa"/>
            <w:shd w:val="clear" w:color="000000" w:fill="auto"/>
            <w:vAlign w:val="center"/>
            <w:hideMark/>
          </w:tcPr>
          <w:p w14:paraId="6CE20E18" w14:textId="77777777" w:rsidR="006414C7" w:rsidRPr="006D3F08" w:rsidRDefault="006414C7" w:rsidP="006F099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De 181 a 360 días</w:t>
            </w:r>
          </w:p>
        </w:tc>
        <w:tc>
          <w:tcPr>
            <w:tcW w:w="1328" w:type="dxa"/>
            <w:shd w:val="clear" w:color="000000" w:fill="auto"/>
            <w:vAlign w:val="center"/>
            <w:hideMark/>
          </w:tcPr>
          <w:p w14:paraId="37439153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shd w:val="clear" w:color="000000" w:fill="auto"/>
            <w:vAlign w:val="center"/>
            <w:hideMark/>
          </w:tcPr>
          <w:p w14:paraId="362AF87E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1.888</w:t>
            </w:r>
          </w:p>
        </w:tc>
        <w:tc>
          <w:tcPr>
            <w:tcW w:w="1733" w:type="dxa"/>
            <w:shd w:val="clear" w:color="000000" w:fill="auto"/>
            <w:vAlign w:val="center"/>
            <w:hideMark/>
          </w:tcPr>
          <w:p w14:paraId="298BBD5C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49</w:t>
            </w:r>
          </w:p>
        </w:tc>
        <w:tc>
          <w:tcPr>
            <w:tcW w:w="0" w:type="auto"/>
            <w:shd w:val="clear" w:color="000000" w:fill="auto"/>
            <w:vAlign w:val="center"/>
            <w:hideMark/>
          </w:tcPr>
          <w:p w14:paraId="70EC461D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1.937</w:t>
            </w:r>
          </w:p>
        </w:tc>
        <w:tc>
          <w:tcPr>
            <w:tcW w:w="0" w:type="auto"/>
            <w:shd w:val="clear" w:color="000000" w:fill="auto"/>
            <w:vAlign w:val="center"/>
            <w:hideMark/>
          </w:tcPr>
          <w:p w14:paraId="334AC29E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7%</w:t>
            </w:r>
          </w:p>
        </w:tc>
      </w:tr>
      <w:tr w:rsidR="006414C7" w:rsidRPr="006D3F08" w14:paraId="0680DA69" w14:textId="77777777" w:rsidTr="003A170C">
        <w:trPr>
          <w:trHeight w:val="224"/>
        </w:trPr>
        <w:tc>
          <w:tcPr>
            <w:tcW w:w="2797" w:type="dxa"/>
            <w:shd w:val="clear" w:color="000000" w:fill="auto"/>
            <w:vAlign w:val="center"/>
            <w:hideMark/>
          </w:tcPr>
          <w:p w14:paraId="17266049" w14:textId="77777777" w:rsidR="006414C7" w:rsidRPr="006D3F08" w:rsidRDefault="006414C7" w:rsidP="006F099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Mayor 361 días</w:t>
            </w:r>
          </w:p>
        </w:tc>
        <w:tc>
          <w:tcPr>
            <w:tcW w:w="1328" w:type="dxa"/>
            <w:shd w:val="clear" w:color="000000" w:fill="auto"/>
            <w:vAlign w:val="center"/>
            <w:hideMark/>
          </w:tcPr>
          <w:p w14:paraId="36488A24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shd w:val="clear" w:color="000000" w:fill="auto"/>
            <w:vAlign w:val="center"/>
            <w:hideMark/>
          </w:tcPr>
          <w:p w14:paraId="17E854B5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625</w:t>
            </w:r>
          </w:p>
        </w:tc>
        <w:tc>
          <w:tcPr>
            <w:tcW w:w="1733" w:type="dxa"/>
            <w:shd w:val="clear" w:color="000000" w:fill="auto"/>
            <w:vAlign w:val="center"/>
            <w:hideMark/>
          </w:tcPr>
          <w:p w14:paraId="47065E1F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19</w:t>
            </w:r>
          </w:p>
        </w:tc>
        <w:tc>
          <w:tcPr>
            <w:tcW w:w="0" w:type="auto"/>
            <w:shd w:val="clear" w:color="000000" w:fill="auto"/>
            <w:vAlign w:val="center"/>
            <w:hideMark/>
          </w:tcPr>
          <w:p w14:paraId="5A55B835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643</w:t>
            </w:r>
          </w:p>
        </w:tc>
        <w:tc>
          <w:tcPr>
            <w:tcW w:w="0" w:type="auto"/>
            <w:shd w:val="clear" w:color="000000" w:fill="auto"/>
            <w:vAlign w:val="center"/>
            <w:hideMark/>
          </w:tcPr>
          <w:p w14:paraId="2588A724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2%</w:t>
            </w:r>
          </w:p>
        </w:tc>
      </w:tr>
      <w:tr w:rsidR="006414C7" w:rsidRPr="006D3F08" w14:paraId="11860F9B" w14:textId="77777777" w:rsidTr="003A170C">
        <w:trPr>
          <w:trHeight w:val="224"/>
        </w:trPr>
        <w:tc>
          <w:tcPr>
            <w:tcW w:w="2797" w:type="dxa"/>
            <w:shd w:val="clear" w:color="000000" w:fill="auto"/>
            <w:vAlign w:val="center"/>
            <w:hideMark/>
          </w:tcPr>
          <w:p w14:paraId="1847A8D1" w14:textId="77777777" w:rsidR="006414C7" w:rsidRPr="006D3F08" w:rsidRDefault="006414C7" w:rsidP="006F099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Pagos por aplicar</w:t>
            </w:r>
          </w:p>
        </w:tc>
        <w:tc>
          <w:tcPr>
            <w:tcW w:w="1328" w:type="dxa"/>
            <w:shd w:val="clear" w:color="000000" w:fill="auto"/>
            <w:vAlign w:val="center"/>
            <w:hideMark/>
          </w:tcPr>
          <w:p w14:paraId="10241606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shd w:val="clear" w:color="000000" w:fill="auto"/>
            <w:vAlign w:val="center"/>
            <w:hideMark/>
          </w:tcPr>
          <w:p w14:paraId="536D8B37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-10.134</w:t>
            </w:r>
          </w:p>
        </w:tc>
        <w:tc>
          <w:tcPr>
            <w:tcW w:w="1733" w:type="dxa"/>
            <w:shd w:val="clear" w:color="000000" w:fill="auto"/>
            <w:vAlign w:val="center"/>
            <w:hideMark/>
          </w:tcPr>
          <w:p w14:paraId="2C82AF2C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-12</w:t>
            </w:r>
          </w:p>
        </w:tc>
        <w:tc>
          <w:tcPr>
            <w:tcW w:w="0" w:type="auto"/>
            <w:shd w:val="clear" w:color="000000" w:fill="auto"/>
            <w:vAlign w:val="center"/>
            <w:hideMark/>
          </w:tcPr>
          <w:p w14:paraId="2C86FDEE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-10.146</w:t>
            </w:r>
          </w:p>
        </w:tc>
        <w:tc>
          <w:tcPr>
            <w:tcW w:w="0" w:type="auto"/>
            <w:shd w:val="clear" w:color="000000" w:fill="auto"/>
            <w:vAlign w:val="center"/>
            <w:hideMark/>
          </w:tcPr>
          <w:p w14:paraId="51C87039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-39%</w:t>
            </w:r>
          </w:p>
        </w:tc>
      </w:tr>
      <w:tr w:rsidR="006414C7" w:rsidRPr="006D3F08" w14:paraId="023C7BF8" w14:textId="77777777" w:rsidTr="003A170C">
        <w:trPr>
          <w:trHeight w:val="235"/>
        </w:trPr>
        <w:tc>
          <w:tcPr>
            <w:tcW w:w="2797" w:type="dxa"/>
            <w:shd w:val="clear" w:color="000000" w:fill="D9D9D9"/>
            <w:vAlign w:val="center"/>
            <w:hideMark/>
          </w:tcPr>
          <w:p w14:paraId="5F115911" w14:textId="77777777" w:rsidR="006414C7" w:rsidRPr="006D3F08" w:rsidRDefault="006414C7" w:rsidP="006F099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SUBTOTALES</w:t>
            </w:r>
          </w:p>
        </w:tc>
        <w:tc>
          <w:tcPr>
            <w:tcW w:w="1328" w:type="dxa"/>
            <w:shd w:val="clear" w:color="000000" w:fill="D9D9D9"/>
            <w:vAlign w:val="center"/>
            <w:hideMark/>
          </w:tcPr>
          <w:p w14:paraId="3792BE03" w14:textId="77777777" w:rsidR="006414C7" w:rsidRPr="006D3F08" w:rsidRDefault="006414C7" w:rsidP="006F0994">
            <w:pPr>
              <w:ind w:firstLineChars="100" w:firstLine="181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465" w:type="dxa"/>
            <w:shd w:val="clear" w:color="000000" w:fill="D9D9D9"/>
            <w:vAlign w:val="center"/>
            <w:hideMark/>
          </w:tcPr>
          <w:p w14:paraId="139054F4" w14:textId="77777777" w:rsidR="006414C7" w:rsidRPr="006D3F08" w:rsidRDefault="006414C7" w:rsidP="006F0994">
            <w:pPr>
              <w:ind w:firstLineChars="100" w:firstLine="181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2.327</w:t>
            </w:r>
          </w:p>
        </w:tc>
        <w:tc>
          <w:tcPr>
            <w:tcW w:w="1733" w:type="dxa"/>
            <w:shd w:val="clear" w:color="000000" w:fill="D9D9D9"/>
            <w:vAlign w:val="center"/>
            <w:hideMark/>
          </w:tcPr>
          <w:p w14:paraId="2317E2A5" w14:textId="77777777" w:rsidR="006414C7" w:rsidRPr="006D3F08" w:rsidRDefault="006414C7" w:rsidP="006F0994">
            <w:pPr>
              <w:ind w:firstLineChars="100" w:firstLine="181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249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14:paraId="665E8AC9" w14:textId="77777777" w:rsidR="006414C7" w:rsidRPr="006D3F08" w:rsidRDefault="006414C7" w:rsidP="006F0994">
            <w:pPr>
              <w:ind w:firstLineChars="100" w:firstLine="181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2.576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14:paraId="53FF3FB9" w14:textId="77777777" w:rsidR="006414C7" w:rsidRPr="006D3F08" w:rsidRDefault="006414C7" w:rsidP="006F0994">
            <w:pPr>
              <w:ind w:firstLineChars="100" w:firstLine="181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10%</w:t>
            </w:r>
          </w:p>
        </w:tc>
      </w:tr>
      <w:tr w:rsidR="006414C7" w:rsidRPr="006D3F08" w14:paraId="2E529D7D" w14:textId="77777777" w:rsidTr="003A170C">
        <w:trPr>
          <w:trHeight w:val="235"/>
        </w:trPr>
        <w:tc>
          <w:tcPr>
            <w:tcW w:w="2797" w:type="dxa"/>
            <w:shd w:val="clear" w:color="000000" w:fill="auto"/>
            <w:vAlign w:val="center"/>
            <w:hideMark/>
          </w:tcPr>
          <w:p w14:paraId="656C91D0" w14:textId="77777777" w:rsidR="006414C7" w:rsidRPr="006D3F08" w:rsidRDefault="006414C7" w:rsidP="006F099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Por radicar</w:t>
            </w:r>
          </w:p>
        </w:tc>
        <w:tc>
          <w:tcPr>
            <w:tcW w:w="1328" w:type="dxa"/>
            <w:shd w:val="clear" w:color="000000" w:fill="auto"/>
            <w:vAlign w:val="center"/>
            <w:hideMark/>
          </w:tcPr>
          <w:p w14:paraId="1122C5AA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16.450</w:t>
            </w:r>
          </w:p>
        </w:tc>
        <w:tc>
          <w:tcPr>
            <w:tcW w:w="1465" w:type="dxa"/>
            <w:shd w:val="clear" w:color="000000" w:fill="auto"/>
            <w:vAlign w:val="center"/>
            <w:hideMark/>
          </w:tcPr>
          <w:p w14:paraId="7E05C0DA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4.068</w:t>
            </w:r>
          </w:p>
        </w:tc>
        <w:tc>
          <w:tcPr>
            <w:tcW w:w="1733" w:type="dxa"/>
            <w:shd w:val="clear" w:color="000000" w:fill="auto"/>
            <w:vAlign w:val="bottom"/>
            <w:hideMark/>
          </w:tcPr>
          <w:p w14:paraId="3DC470F1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0" w:type="auto"/>
            <w:shd w:val="clear" w:color="000000" w:fill="auto"/>
            <w:vAlign w:val="center"/>
            <w:hideMark/>
          </w:tcPr>
          <w:p w14:paraId="342DB03B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20.682</w:t>
            </w:r>
          </w:p>
        </w:tc>
        <w:tc>
          <w:tcPr>
            <w:tcW w:w="0" w:type="auto"/>
            <w:shd w:val="clear" w:color="000000" w:fill="auto"/>
            <w:vAlign w:val="center"/>
            <w:hideMark/>
          </w:tcPr>
          <w:p w14:paraId="57CEA9BD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80%</w:t>
            </w:r>
          </w:p>
        </w:tc>
      </w:tr>
      <w:tr w:rsidR="006414C7" w:rsidRPr="006D3F08" w14:paraId="4B68B09A" w14:textId="77777777" w:rsidTr="003A170C">
        <w:trPr>
          <w:trHeight w:val="235"/>
        </w:trPr>
        <w:tc>
          <w:tcPr>
            <w:tcW w:w="2797" w:type="dxa"/>
            <w:shd w:val="clear" w:color="000000" w:fill="auto"/>
            <w:vAlign w:val="center"/>
            <w:hideMark/>
          </w:tcPr>
          <w:p w14:paraId="3270987B" w14:textId="77777777" w:rsidR="006414C7" w:rsidRPr="006D3F08" w:rsidRDefault="006414C7" w:rsidP="006F0994">
            <w:pPr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Ordenes de Servicio</w:t>
            </w:r>
          </w:p>
        </w:tc>
        <w:tc>
          <w:tcPr>
            <w:tcW w:w="1328" w:type="dxa"/>
            <w:shd w:val="clear" w:color="000000" w:fill="auto"/>
            <w:vAlign w:val="center"/>
            <w:hideMark/>
          </w:tcPr>
          <w:p w14:paraId="249678E2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0</w:t>
            </w:r>
          </w:p>
        </w:tc>
        <w:tc>
          <w:tcPr>
            <w:tcW w:w="1465" w:type="dxa"/>
            <w:shd w:val="clear" w:color="000000" w:fill="auto"/>
            <w:vAlign w:val="center"/>
            <w:hideMark/>
          </w:tcPr>
          <w:p w14:paraId="3BA8338B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2.652</w:t>
            </w:r>
          </w:p>
        </w:tc>
        <w:tc>
          <w:tcPr>
            <w:tcW w:w="1733" w:type="dxa"/>
            <w:shd w:val="clear" w:color="000000" w:fill="auto"/>
            <w:vAlign w:val="bottom"/>
            <w:hideMark/>
          </w:tcPr>
          <w:p w14:paraId="3ECE333D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18</w:t>
            </w:r>
          </w:p>
        </w:tc>
        <w:tc>
          <w:tcPr>
            <w:tcW w:w="0" w:type="auto"/>
            <w:shd w:val="clear" w:color="000000" w:fill="auto"/>
            <w:vAlign w:val="center"/>
            <w:hideMark/>
          </w:tcPr>
          <w:p w14:paraId="0790798A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2.670</w:t>
            </w:r>
          </w:p>
        </w:tc>
        <w:tc>
          <w:tcPr>
            <w:tcW w:w="0" w:type="auto"/>
            <w:shd w:val="clear" w:color="000000" w:fill="auto"/>
            <w:vAlign w:val="center"/>
            <w:hideMark/>
          </w:tcPr>
          <w:p w14:paraId="4C935675" w14:textId="77777777" w:rsidR="006414C7" w:rsidRPr="006D3F08" w:rsidRDefault="006414C7" w:rsidP="006F0994">
            <w:pPr>
              <w:ind w:firstLineChars="100" w:firstLine="180"/>
              <w:jc w:val="right"/>
              <w:rPr>
                <w:rFonts w:asciiTheme="minorHAnsi" w:hAnsiTheme="minorHAnsi" w:cstheme="minorHAnsi"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color w:val="000000"/>
                <w:sz w:val="18"/>
                <w:szCs w:val="18"/>
              </w:rPr>
              <w:t>10%</w:t>
            </w:r>
          </w:p>
        </w:tc>
      </w:tr>
      <w:tr w:rsidR="006414C7" w:rsidRPr="006D3F08" w14:paraId="374A10F0" w14:textId="77777777" w:rsidTr="003A170C">
        <w:trPr>
          <w:trHeight w:val="235"/>
        </w:trPr>
        <w:tc>
          <w:tcPr>
            <w:tcW w:w="2797" w:type="dxa"/>
            <w:shd w:val="clear" w:color="000000" w:fill="D9D9D9"/>
            <w:vAlign w:val="center"/>
            <w:hideMark/>
          </w:tcPr>
          <w:p w14:paraId="0A4BE595" w14:textId="77777777" w:rsidR="006414C7" w:rsidRPr="006D3F08" w:rsidRDefault="006414C7" w:rsidP="006F0994">
            <w:pPr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SUBTOTALES</w:t>
            </w:r>
          </w:p>
        </w:tc>
        <w:tc>
          <w:tcPr>
            <w:tcW w:w="1328" w:type="dxa"/>
            <w:shd w:val="clear" w:color="000000" w:fill="D9D9D9"/>
            <w:vAlign w:val="center"/>
            <w:hideMark/>
          </w:tcPr>
          <w:p w14:paraId="1CB32C3E" w14:textId="77777777" w:rsidR="006414C7" w:rsidRPr="006D3F08" w:rsidRDefault="006414C7" w:rsidP="006F0994">
            <w:pPr>
              <w:ind w:firstLineChars="100" w:firstLine="181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16.450</w:t>
            </w:r>
          </w:p>
        </w:tc>
        <w:tc>
          <w:tcPr>
            <w:tcW w:w="1465" w:type="dxa"/>
            <w:shd w:val="clear" w:color="000000" w:fill="D9D9D9"/>
            <w:vAlign w:val="center"/>
            <w:hideMark/>
          </w:tcPr>
          <w:p w14:paraId="20B51952" w14:textId="77777777" w:rsidR="006414C7" w:rsidRPr="006D3F08" w:rsidRDefault="006414C7" w:rsidP="006F0994">
            <w:pPr>
              <w:ind w:firstLineChars="100" w:firstLine="181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6.720</w:t>
            </w:r>
          </w:p>
        </w:tc>
        <w:tc>
          <w:tcPr>
            <w:tcW w:w="1733" w:type="dxa"/>
            <w:shd w:val="clear" w:color="000000" w:fill="D9D9D9"/>
            <w:vAlign w:val="center"/>
            <w:hideMark/>
          </w:tcPr>
          <w:p w14:paraId="5E992D9D" w14:textId="77777777" w:rsidR="006414C7" w:rsidRPr="006D3F08" w:rsidRDefault="006414C7" w:rsidP="006F0994">
            <w:pPr>
              <w:ind w:firstLineChars="100" w:firstLine="181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181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14:paraId="3577BD2C" w14:textId="77777777" w:rsidR="006414C7" w:rsidRPr="006D3F08" w:rsidRDefault="006414C7" w:rsidP="006F0994">
            <w:pPr>
              <w:ind w:firstLineChars="100" w:firstLine="181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23.352</w:t>
            </w:r>
          </w:p>
        </w:tc>
        <w:tc>
          <w:tcPr>
            <w:tcW w:w="0" w:type="auto"/>
            <w:shd w:val="clear" w:color="000000" w:fill="D9D9D9"/>
            <w:vAlign w:val="center"/>
            <w:hideMark/>
          </w:tcPr>
          <w:p w14:paraId="4DA1125B" w14:textId="77777777" w:rsidR="006414C7" w:rsidRPr="006D3F08" w:rsidRDefault="006414C7" w:rsidP="006F0994">
            <w:pPr>
              <w:ind w:firstLineChars="100" w:firstLine="181"/>
              <w:jc w:val="right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90%</w:t>
            </w:r>
          </w:p>
        </w:tc>
      </w:tr>
      <w:tr w:rsidR="006414C7" w:rsidRPr="006D3F08" w14:paraId="3C9EA5DC" w14:textId="77777777" w:rsidTr="003A170C">
        <w:trPr>
          <w:trHeight w:val="482"/>
        </w:trPr>
        <w:tc>
          <w:tcPr>
            <w:tcW w:w="2797" w:type="dxa"/>
            <w:shd w:val="clear" w:color="auto" w:fill="2E74B5" w:themeFill="accent1" w:themeFillShade="BF"/>
            <w:vAlign w:val="center"/>
            <w:hideMark/>
          </w:tcPr>
          <w:p w14:paraId="2F78A5E6" w14:textId="77777777" w:rsidR="006414C7" w:rsidRPr="006D3F08" w:rsidRDefault="006414C7" w:rsidP="006F0994">
            <w:pPr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TOTAL CARTERA CAPITAL SALUD</w:t>
            </w:r>
          </w:p>
        </w:tc>
        <w:tc>
          <w:tcPr>
            <w:tcW w:w="1328" w:type="dxa"/>
            <w:shd w:val="clear" w:color="auto" w:fill="2E74B5" w:themeFill="accent1" w:themeFillShade="BF"/>
            <w:vAlign w:val="center"/>
            <w:hideMark/>
          </w:tcPr>
          <w:p w14:paraId="428132CF" w14:textId="77777777" w:rsidR="006414C7" w:rsidRPr="006D3F08" w:rsidRDefault="006414C7" w:rsidP="006F0994">
            <w:pPr>
              <w:ind w:firstLineChars="100" w:firstLine="181"/>
              <w:jc w:val="right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16.450</w:t>
            </w:r>
          </w:p>
        </w:tc>
        <w:tc>
          <w:tcPr>
            <w:tcW w:w="1465" w:type="dxa"/>
            <w:shd w:val="clear" w:color="auto" w:fill="2E74B5" w:themeFill="accent1" w:themeFillShade="BF"/>
            <w:vAlign w:val="center"/>
            <w:hideMark/>
          </w:tcPr>
          <w:p w14:paraId="71870943" w14:textId="77777777" w:rsidR="006414C7" w:rsidRPr="006D3F08" w:rsidRDefault="006414C7" w:rsidP="006F0994">
            <w:pPr>
              <w:ind w:firstLineChars="100" w:firstLine="181"/>
              <w:jc w:val="right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9.047</w:t>
            </w:r>
          </w:p>
        </w:tc>
        <w:tc>
          <w:tcPr>
            <w:tcW w:w="1733" w:type="dxa"/>
            <w:shd w:val="clear" w:color="auto" w:fill="2E74B5" w:themeFill="accent1" w:themeFillShade="BF"/>
            <w:vAlign w:val="center"/>
            <w:hideMark/>
          </w:tcPr>
          <w:p w14:paraId="647B35EA" w14:textId="77777777" w:rsidR="006414C7" w:rsidRPr="006D3F08" w:rsidRDefault="006414C7" w:rsidP="006F0994">
            <w:pPr>
              <w:ind w:firstLineChars="100" w:firstLine="181"/>
              <w:jc w:val="right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430</w:t>
            </w:r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14:paraId="65D04578" w14:textId="77777777" w:rsidR="006414C7" w:rsidRPr="006D3F08" w:rsidRDefault="006414C7" w:rsidP="006F0994">
            <w:pPr>
              <w:ind w:firstLineChars="100" w:firstLine="181"/>
              <w:jc w:val="right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25.927</w:t>
            </w:r>
          </w:p>
        </w:tc>
        <w:tc>
          <w:tcPr>
            <w:tcW w:w="0" w:type="auto"/>
            <w:shd w:val="clear" w:color="auto" w:fill="2E74B5" w:themeFill="accent1" w:themeFillShade="BF"/>
            <w:vAlign w:val="center"/>
            <w:hideMark/>
          </w:tcPr>
          <w:p w14:paraId="02060947" w14:textId="77777777" w:rsidR="006414C7" w:rsidRPr="006D3F08" w:rsidRDefault="006414C7" w:rsidP="006F0994">
            <w:pPr>
              <w:ind w:firstLineChars="100" w:firstLine="181"/>
              <w:jc w:val="right"/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color w:val="FFFFFF"/>
                <w:sz w:val="18"/>
                <w:szCs w:val="18"/>
              </w:rPr>
              <w:t>100%</w:t>
            </w:r>
          </w:p>
        </w:tc>
      </w:tr>
      <w:tr w:rsidR="006414C7" w:rsidRPr="006D3F08" w14:paraId="4F24FC80" w14:textId="77777777" w:rsidTr="003A170C">
        <w:trPr>
          <w:trHeight w:val="235"/>
        </w:trPr>
        <w:tc>
          <w:tcPr>
            <w:tcW w:w="2797" w:type="dxa"/>
            <w:shd w:val="clear" w:color="000000" w:fill="auto"/>
            <w:vAlign w:val="center"/>
            <w:hideMark/>
          </w:tcPr>
          <w:p w14:paraId="2D4DC430" w14:textId="77777777" w:rsidR="006414C7" w:rsidRPr="006D3F08" w:rsidRDefault="006414C7" w:rsidP="006F099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%</w:t>
            </w:r>
          </w:p>
        </w:tc>
        <w:tc>
          <w:tcPr>
            <w:tcW w:w="1328" w:type="dxa"/>
            <w:shd w:val="clear" w:color="000000" w:fill="auto"/>
            <w:vAlign w:val="center"/>
            <w:hideMark/>
          </w:tcPr>
          <w:p w14:paraId="1B6C390F" w14:textId="77777777" w:rsidR="006414C7" w:rsidRPr="006D3F08" w:rsidRDefault="006414C7" w:rsidP="006F099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63%</w:t>
            </w:r>
          </w:p>
        </w:tc>
        <w:tc>
          <w:tcPr>
            <w:tcW w:w="1465" w:type="dxa"/>
            <w:shd w:val="clear" w:color="000000" w:fill="auto"/>
            <w:vAlign w:val="center"/>
            <w:hideMark/>
          </w:tcPr>
          <w:p w14:paraId="21D5C333" w14:textId="77777777" w:rsidR="006414C7" w:rsidRPr="006D3F08" w:rsidRDefault="006414C7" w:rsidP="006F099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35%</w:t>
            </w:r>
          </w:p>
        </w:tc>
        <w:tc>
          <w:tcPr>
            <w:tcW w:w="1733" w:type="dxa"/>
            <w:shd w:val="clear" w:color="000000" w:fill="auto"/>
            <w:vAlign w:val="center"/>
            <w:hideMark/>
          </w:tcPr>
          <w:p w14:paraId="20AE51B2" w14:textId="77777777" w:rsidR="006414C7" w:rsidRPr="006D3F08" w:rsidRDefault="006414C7" w:rsidP="006F099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2%</w:t>
            </w:r>
          </w:p>
        </w:tc>
        <w:tc>
          <w:tcPr>
            <w:tcW w:w="0" w:type="auto"/>
            <w:shd w:val="clear" w:color="000000" w:fill="auto"/>
            <w:vAlign w:val="center"/>
            <w:hideMark/>
          </w:tcPr>
          <w:p w14:paraId="5A80EF28" w14:textId="77777777" w:rsidR="006414C7" w:rsidRPr="006D3F08" w:rsidRDefault="006414C7" w:rsidP="006F099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0" w:type="auto"/>
            <w:shd w:val="clear" w:color="000000" w:fill="auto"/>
            <w:vAlign w:val="center"/>
            <w:hideMark/>
          </w:tcPr>
          <w:p w14:paraId="1F63B50A" w14:textId="77777777" w:rsidR="006414C7" w:rsidRPr="006D3F08" w:rsidRDefault="006414C7" w:rsidP="006F0994">
            <w:pPr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</w:pPr>
            <w:r w:rsidRPr="006D3F08">
              <w:rPr>
                <w:rFonts w:asciiTheme="minorHAnsi" w:hAnsiTheme="minorHAnsi"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14:paraId="47C66601" w14:textId="09788858" w:rsidR="006414C7" w:rsidRPr="003A170C" w:rsidRDefault="006414C7" w:rsidP="003A170C">
      <w:pPr>
        <w:shd w:val="clear" w:color="auto" w:fill="FFFFFF"/>
        <w:jc w:val="center"/>
        <w:rPr>
          <w:rFonts w:ascii="Arial" w:hAnsi="Arial" w:cs="Arial"/>
          <w:bCs/>
          <w:sz w:val="14"/>
          <w:szCs w:val="14"/>
        </w:rPr>
      </w:pPr>
      <w:r w:rsidRPr="003A170C">
        <w:rPr>
          <w:rFonts w:ascii="Arial" w:hAnsi="Arial" w:cs="Arial"/>
          <w:b/>
          <w:sz w:val="14"/>
          <w:szCs w:val="14"/>
        </w:rPr>
        <w:t>Fuente de Información:</w:t>
      </w:r>
      <w:r w:rsidRPr="003A170C">
        <w:rPr>
          <w:rFonts w:ascii="Arial" w:hAnsi="Arial" w:cs="Arial"/>
          <w:bCs/>
          <w:sz w:val="14"/>
          <w:szCs w:val="14"/>
        </w:rPr>
        <w:t xml:space="preserve"> Estado de cartera a marzo 2024 Subred Sur</w:t>
      </w:r>
    </w:p>
    <w:p w14:paraId="64A41920" w14:textId="37A843C2" w:rsidR="00B94F7E" w:rsidRDefault="00B94F7E" w:rsidP="004952FE">
      <w:pPr>
        <w:autoSpaceDE w:val="0"/>
        <w:jc w:val="both"/>
        <w:rPr>
          <w:rFonts w:ascii="Arial" w:hAnsi="Arial" w:cs="Arial"/>
          <w:lang w:val="es"/>
        </w:rPr>
      </w:pPr>
    </w:p>
    <w:p w14:paraId="536A3CCE" w14:textId="7904833B" w:rsidR="008C6AE5" w:rsidRPr="00860AC5" w:rsidRDefault="00860AC5" w:rsidP="004952FE">
      <w:pPr>
        <w:autoSpaceDE w:val="0"/>
        <w:jc w:val="both"/>
        <w:rPr>
          <w:rFonts w:ascii="Arial" w:hAnsi="Arial" w:cs="Arial"/>
          <w:lang w:val="es"/>
        </w:rPr>
      </w:pPr>
      <w:r>
        <w:rPr>
          <w:rFonts w:ascii="Arial" w:hAnsi="Arial" w:cs="Arial"/>
          <w:lang w:val="es"/>
        </w:rPr>
        <w:t>E</w:t>
      </w:r>
      <w:r w:rsidR="00C07041">
        <w:rPr>
          <w:rFonts w:ascii="Arial" w:hAnsi="Arial" w:cs="Arial"/>
          <w:lang w:val="es"/>
        </w:rPr>
        <w:t>n cuanto al comportamiento de los p</w:t>
      </w:r>
      <w:r w:rsidRPr="00860AC5">
        <w:rPr>
          <w:rFonts w:ascii="Arial" w:hAnsi="Arial" w:cs="Arial"/>
          <w:lang w:val="es"/>
        </w:rPr>
        <w:t xml:space="preserve">agos recibidos por parte de la entidad </w:t>
      </w:r>
      <w:r w:rsidR="00C07041">
        <w:rPr>
          <w:rFonts w:ascii="Arial" w:hAnsi="Arial" w:cs="Arial"/>
          <w:lang w:val="es"/>
        </w:rPr>
        <w:t>C</w:t>
      </w:r>
      <w:r w:rsidRPr="00860AC5">
        <w:rPr>
          <w:rFonts w:ascii="Arial" w:hAnsi="Arial" w:cs="Arial"/>
          <w:lang w:val="es"/>
        </w:rPr>
        <w:t xml:space="preserve">apital Salud </w:t>
      </w:r>
      <w:r w:rsidR="00C07041">
        <w:rPr>
          <w:rFonts w:ascii="Arial" w:hAnsi="Arial" w:cs="Arial"/>
          <w:lang w:val="es"/>
        </w:rPr>
        <w:t xml:space="preserve">a favor de la Subred Sur, </w:t>
      </w:r>
      <w:r w:rsidRPr="00860AC5">
        <w:rPr>
          <w:rFonts w:ascii="Arial" w:hAnsi="Arial" w:cs="Arial"/>
          <w:lang w:val="es"/>
        </w:rPr>
        <w:t xml:space="preserve">se evidencia que con el pasar de los años, el pago ha venido </w:t>
      </w:r>
      <w:r w:rsidR="00C07041">
        <w:rPr>
          <w:rFonts w:ascii="Arial" w:hAnsi="Arial" w:cs="Arial"/>
          <w:lang w:val="es"/>
        </w:rPr>
        <w:t>en incremento</w:t>
      </w:r>
      <w:r w:rsidR="008545C6">
        <w:rPr>
          <w:rFonts w:ascii="Arial" w:hAnsi="Arial" w:cs="Arial"/>
          <w:lang w:val="es"/>
        </w:rPr>
        <w:t xml:space="preserve"> </w:t>
      </w:r>
      <w:r w:rsidR="00C07041" w:rsidRPr="00860AC5">
        <w:rPr>
          <w:rFonts w:ascii="Arial" w:hAnsi="Arial" w:cs="Arial"/>
          <w:lang w:val="es"/>
        </w:rPr>
        <w:t>lo</w:t>
      </w:r>
      <w:r w:rsidRPr="00860AC5">
        <w:rPr>
          <w:rFonts w:ascii="Arial" w:hAnsi="Arial" w:cs="Arial"/>
          <w:lang w:val="es"/>
        </w:rPr>
        <w:t xml:space="preserve"> que demuestra la recuperación efectiva de la cartera, como se </w:t>
      </w:r>
      <w:r w:rsidR="00C07041">
        <w:rPr>
          <w:rFonts w:ascii="Arial" w:hAnsi="Arial" w:cs="Arial"/>
          <w:lang w:val="es"/>
        </w:rPr>
        <w:t>detalla a continuación:</w:t>
      </w:r>
      <w:r w:rsidRPr="00860AC5">
        <w:rPr>
          <w:rFonts w:ascii="Arial" w:hAnsi="Arial" w:cs="Arial"/>
          <w:lang w:val="es"/>
        </w:rPr>
        <w:t xml:space="preserve"> </w:t>
      </w:r>
    </w:p>
    <w:p w14:paraId="58BC6A5E" w14:textId="50B4FC6D" w:rsidR="003E7A22" w:rsidRDefault="003E7A22" w:rsidP="003E7A22">
      <w:pPr>
        <w:autoSpaceDE w:val="0"/>
        <w:jc w:val="right"/>
        <w:rPr>
          <w:rFonts w:ascii="Arial" w:hAnsi="Arial" w:cs="Arial"/>
          <w:sz w:val="18"/>
          <w:lang w:val="es"/>
        </w:rPr>
      </w:pPr>
      <w:r w:rsidRPr="003275E6">
        <w:rPr>
          <w:rFonts w:ascii="Arial" w:hAnsi="Arial" w:cs="Arial"/>
          <w:sz w:val="18"/>
          <w:lang w:val="es"/>
        </w:rPr>
        <w:t>Valores en millones de pesos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60"/>
        <w:gridCol w:w="1800"/>
        <w:gridCol w:w="1780"/>
        <w:gridCol w:w="1780"/>
        <w:gridCol w:w="1660"/>
        <w:gridCol w:w="1171"/>
      </w:tblGrid>
      <w:tr w:rsidR="00C07041" w:rsidRPr="00C07041" w14:paraId="29BDD376" w14:textId="77777777" w:rsidTr="003A170C">
        <w:trPr>
          <w:trHeight w:val="255"/>
        </w:trPr>
        <w:tc>
          <w:tcPr>
            <w:tcW w:w="9351" w:type="dxa"/>
            <w:gridSpan w:val="6"/>
            <w:shd w:val="clear" w:color="auto" w:fill="2E74B5" w:themeFill="accent1" w:themeFillShade="BF"/>
            <w:vAlign w:val="center"/>
            <w:hideMark/>
          </w:tcPr>
          <w:p w14:paraId="218FEE83" w14:textId="77777777" w:rsidR="00C07041" w:rsidRPr="003A170C" w:rsidRDefault="00C07041" w:rsidP="00C0704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3A170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SUBRED INTEGRADA DE SERVICIOS DE SALUD SUR E.S.E </w:t>
            </w:r>
          </w:p>
        </w:tc>
      </w:tr>
      <w:tr w:rsidR="00C07041" w:rsidRPr="00C07041" w14:paraId="5041DDFA" w14:textId="77777777" w:rsidTr="003A170C">
        <w:trPr>
          <w:trHeight w:val="255"/>
        </w:trPr>
        <w:tc>
          <w:tcPr>
            <w:tcW w:w="9351" w:type="dxa"/>
            <w:gridSpan w:val="6"/>
            <w:shd w:val="clear" w:color="auto" w:fill="2E74B5" w:themeFill="accent1" w:themeFillShade="BF"/>
            <w:vAlign w:val="center"/>
            <w:hideMark/>
          </w:tcPr>
          <w:p w14:paraId="72660E5C" w14:textId="77777777" w:rsidR="00C07041" w:rsidRPr="003A170C" w:rsidRDefault="00C07041" w:rsidP="00C0704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3A170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 CAPITAL SALUD </w:t>
            </w:r>
          </w:p>
        </w:tc>
      </w:tr>
      <w:tr w:rsidR="00C07041" w:rsidRPr="00C07041" w14:paraId="79FC07C6" w14:textId="77777777" w:rsidTr="003A170C">
        <w:trPr>
          <w:trHeight w:val="255"/>
        </w:trPr>
        <w:tc>
          <w:tcPr>
            <w:tcW w:w="9351" w:type="dxa"/>
            <w:gridSpan w:val="6"/>
            <w:shd w:val="clear" w:color="auto" w:fill="2E74B5" w:themeFill="accent1" w:themeFillShade="BF"/>
            <w:vAlign w:val="center"/>
            <w:hideMark/>
          </w:tcPr>
          <w:p w14:paraId="09ED91B8" w14:textId="77777777" w:rsidR="00C07041" w:rsidRPr="003A170C" w:rsidRDefault="00C07041" w:rsidP="00C0704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3A170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 COMPORTAMIENTO DE PAGOS </w:t>
            </w:r>
          </w:p>
        </w:tc>
      </w:tr>
      <w:tr w:rsidR="00C07041" w:rsidRPr="00C07041" w14:paraId="291585F0" w14:textId="77777777" w:rsidTr="003A170C">
        <w:trPr>
          <w:trHeight w:val="510"/>
        </w:trPr>
        <w:tc>
          <w:tcPr>
            <w:tcW w:w="1160" w:type="dxa"/>
            <w:shd w:val="clear" w:color="auto" w:fill="2E74B5" w:themeFill="accent1" w:themeFillShade="BF"/>
            <w:vAlign w:val="center"/>
            <w:hideMark/>
          </w:tcPr>
          <w:p w14:paraId="54C31F27" w14:textId="77777777" w:rsidR="00C07041" w:rsidRPr="003A170C" w:rsidRDefault="00C07041" w:rsidP="00C0704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3A170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Mes</w:t>
            </w:r>
          </w:p>
        </w:tc>
        <w:tc>
          <w:tcPr>
            <w:tcW w:w="1800" w:type="dxa"/>
            <w:shd w:val="clear" w:color="auto" w:fill="2E74B5" w:themeFill="accent1" w:themeFillShade="BF"/>
            <w:vAlign w:val="center"/>
            <w:hideMark/>
          </w:tcPr>
          <w:p w14:paraId="5C8F0E7B" w14:textId="77777777" w:rsidR="00C07041" w:rsidRPr="003A170C" w:rsidRDefault="00C07041" w:rsidP="00C0704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3A170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Pagos Vigencia 2022</w:t>
            </w:r>
          </w:p>
        </w:tc>
        <w:tc>
          <w:tcPr>
            <w:tcW w:w="1780" w:type="dxa"/>
            <w:shd w:val="clear" w:color="auto" w:fill="2E74B5" w:themeFill="accent1" w:themeFillShade="BF"/>
            <w:vAlign w:val="center"/>
            <w:hideMark/>
          </w:tcPr>
          <w:p w14:paraId="772B736D" w14:textId="77777777" w:rsidR="00C07041" w:rsidRPr="003A170C" w:rsidRDefault="00C07041" w:rsidP="00C0704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3A170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Pagos Vigencia 2023</w:t>
            </w:r>
          </w:p>
        </w:tc>
        <w:tc>
          <w:tcPr>
            <w:tcW w:w="1780" w:type="dxa"/>
            <w:shd w:val="clear" w:color="auto" w:fill="2E74B5" w:themeFill="accent1" w:themeFillShade="BF"/>
            <w:vAlign w:val="center"/>
            <w:hideMark/>
          </w:tcPr>
          <w:p w14:paraId="58F80845" w14:textId="7AAE1353" w:rsidR="00C07041" w:rsidRPr="003A170C" w:rsidRDefault="00C07041" w:rsidP="00C0704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3A170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Variación Pagos 2022 -2023</w:t>
            </w:r>
          </w:p>
        </w:tc>
        <w:tc>
          <w:tcPr>
            <w:tcW w:w="1660" w:type="dxa"/>
            <w:shd w:val="clear" w:color="auto" w:fill="2E74B5" w:themeFill="accent1" w:themeFillShade="BF"/>
            <w:vAlign w:val="center"/>
            <w:hideMark/>
          </w:tcPr>
          <w:p w14:paraId="3E6219A8" w14:textId="77777777" w:rsidR="00C07041" w:rsidRPr="003A170C" w:rsidRDefault="00C07041" w:rsidP="00C0704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3A170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Pagos Vigencia 2024</w:t>
            </w:r>
          </w:p>
        </w:tc>
        <w:tc>
          <w:tcPr>
            <w:tcW w:w="1171" w:type="dxa"/>
            <w:shd w:val="clear" w:color="auto" w:fill="2E74B5" w:themeFill="accent1" w:themeFillShade="BF"/>
            <w:vAlign w:val="center"/>
            <w:hideMark/>
          </w:tcPr>
          <w:p w14:paraId="547F0CA9" w14:textId="3B3F2BBE" w:rsidR="00C07041" w:rsidRPr="003A170C" w:rsidRDefault="00C07041" w:rsidP="00C0704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3A170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Variación Pagos 2023 -2024</w:t>
            </w:r>
          </w:p>
        </w:tc>
      </w:tr>
      <w:tr w:rsidR="00C07041" w:rsidRPr="00C07041" w14:paraId="315C3AB6" w14:textId="77777777" w:rsidTr="003A170C">
        <w:trPr>
          <w:trHeight w:val="255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9C01A29" w14:textId="77777777" w:rsidR="00C07041" w:rsidRPr="00C07041" w:rsidRDefault="00C07041" w:rsidP="00C0704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Enero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19B865CC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13.806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522600D9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14.016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16FB7873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210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84891AB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15.924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14:paraId="23092850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1.908</w:t>
            </w:r>
          </w:p>
        </w:tc>
      </w:tr>
      <w:tr w:rsidR="00C07041" w:rsidRPr="00C07041" w14:paraId="3BB9FDA6" w14:textId="77777777" w:rsidTr="003A170C">
        <w:trPr>
          <w:trHeight w:val="255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A45340E" w14:textId="77777777" w:rsidR="00C07041" w:rsidRPr="00C07041" w:rsidRDefault="00C07041" w:rsidP="00C0704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Febrero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BEAD20F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14.509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4A893C2D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18.978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0DD66311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4.469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4A3390C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23.863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14:paraId="34D07234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4.885</w:t>
            </w:r>
          </w:p>
        </w:tc>
      </w:tr>
      <w:tr w:rsidR="00C07041" w:rsidRPr="00C07041" w14:paraId="21491548" w14:textId="77777777" w:rsidTr="003A170C">
        <w:trPr>
          <w:trHeight w:val="255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9448B17" w14:textId="77777777" w:rsidR="00C07041" w:rsidRPr="00C07041" w:rsidRDefault="00C07041" w:rsidP="00C0704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Marzo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598DDA1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13.371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547B2F05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15.759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14C7C23D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2.388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E735575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18.216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14:paraId="39A2454B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2.458</w:t>
            </w:r>
          </w:p>
        </w:tc>
      </w:tr>
      <w:tr w:rsidR="00C07041" w:rsidRPr="00C07041" w14:paraId="20F0B584" w14:textId="77777777" w:rsidTr="003A170C">
        <w:trPr>
          <w:trHeight w:val="255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0BC22621" w14:textId="77777777" w:rsidR="00C07041" w:rsidRPr="00C07041" w:rsidRDefault="00C07041" w:rsidP="00C0704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Abril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23D7198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15.025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7A3B9122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16.008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5A3BB90A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983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0369FDB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18.390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14:paraId="0A9F6BA1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2.382</w:t>
            </w:r>
          </w:p>
        </w:tc>
      </w:tr>
      <w:tr w:rsidR="00C07041" w:rsidRPr="00C07041" w14:paraId="577E0C0D" w14:textId="77777777" w:rsidTr="003A170C">
        <w:trPr>
          <w:trHeight w:val="255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D703B01" w14:textId="77777777" w:rsidR="00C07041" w:rsidRPr="00C07041" w:rsidRDefault="00C07041" w:rsidP="00C0704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Mayo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5947C17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15.048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0C695952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20.413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409465E5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5.365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1815EA7F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14:paraId="1BD1B79F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C07041" w:rsidRPr="00C07041" w14:paraId="367CAC56" w14:textId="77777777" w:rsidTr="003A170C">
        <w:trPr>
          <w:trHeight w:val="255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19A13EE5" w14:textId="77777777" w:rsidR="00C07041" w:rsidRPr="00C07041" w:rsidRDefault="00C07041" w:rsidP="00C0704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Junio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9F68772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31.028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61B6F95A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18.665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4388E2D6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-12.363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5731038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14:paraId="5A42246F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C07041" w:rsidRPr="00C07041" w14:paraId="50AAFD67" w14:textId="77777777" w:rsidTr="003A170C">
        <w:trPr>
          <w:trHeight w:val="255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7EC3C4D" w14:textId="77777777" w:rsidR="00C07041" w:rsidRPr="00C07041" w:rsidRDefault="00C07041" w:rsidP="00C0704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Julio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6CD246BD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16.958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59F0A8A9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15.927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008339BC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-1.031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454A88B6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14:paraId="576B766C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C07041" w:rsidRPr="00C07041" w14:paraId="309BEA75" w14:textId="77777777" w:rsidTr="003A170C">
        <w:trPr>
          <w:trHeight w:val="255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AC82F09" w14:textId="77777777" w:rsidR="00C07041" w:rsidRPr="00C07041" w:rsidRDefault="00C07041" w:rsidP="00C0704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Agosto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7CC14535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18.107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1D88F366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19.689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29EE4E52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1.582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363F7775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14:paraId="3BD68AE9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C07041" w:rsidRPr="00C07041" w14:paraId="171926A8" w14:textId="77777777" w:rsidTr="003A170C">
        <w:trPr>
          <w:trHeight w:val="255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687E4DDD" w14:textId="77777777" w:rsidR="00C07041" w:rsidRPr="00C07041" w:rsidRDefault="00C07041" w:rsidP="00C0704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Septiembre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507DFC70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20.395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0C4A36C6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20.960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1623F47E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565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C673FD7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14:paraId="2009128B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C07041" w:rsidRPr="00C07041" w14:paraId="45F0EC9C" w14:textId="77777777" w:rsidTr="003A170C">
        <w:trPr>
          <w:trHeight w:val="255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3AECAB70" w14:textId="77777777" w:rsidR="00C07041" w:rsidRPr="00C07041" w:rsidRDefault="00C07041" w:rsidP="00C0704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Octubre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2479A834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15.492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6A36956D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21.925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4B0F5BD3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6.433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274296B4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14:paraId="409C4431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C07041" w:rsidRPr="00C07041" w14:paraId="48455194" w14:textId="77777777" w:rsidTr="003A170C">
        <w:trPr>
          <w:trHeight w:val="255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46B1EA39" w14:textId="77777777" w:rsidR="00C07041" w:rsidRPr="00C07041" w:rsidRDefault="00C07041" w:rsidP="00C0704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Noviembre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32736679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14.081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102EFAAA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21.732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755302E7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7.651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0CA34C23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14:paraId="6FAC83B3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C07041" w:rsidRPr="00C07041" w14:paraId="42F13DCD" w14:textId="77777777" w:rsidTr="003A170C">
        <w:trPr>
          <w:trHeight w:val="255"/>
        </w:trPr>
        <w:tc>
          <w:tcPr>
            <w:tcW w:w="1160" w:type="dxa"/>
            <w:shd w:val="clear" w:color="auto" w:fill="auto"/>
            <w:noWrap/>
            <w:vAlign w:val="bottom"/>
            <w:hideMark/>
          </w:tcPr>
          <w:p w14:paraId="265775CE" w14:textId="77777777" w:rsidR="00C07041" w:rsidRPr="00C07041" w:rsidRDefault="00C07041" w:rsidP="00C07041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Diciembre</w:t>
            </w:r>
          </w:p>
        </w:tc>
        <w:tc>
          <w:tcPr>
            <w:tcW w:w="1800" w:type="dxa"/>
            <w:shd w:val="clear" w:color="auto" w:fill="auto"/>
            <w:noWrap/>
            <w:vAlign w:val="bottom"/>
            <w:hideMark/>
          </w:tcPr>
          <w:p w14:paraId="044F2DEA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24.057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6CA127D2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24.976</w:t>
            </w:r>
          </w:p>
        </w:tc>
        <w:tc>
          <w:tcPr>
            <w:tcW w:w="1780" w:type="dxa"/>
            <w:shd w:val="clear" w:color="auto" w:fill="auto"/>
            <w:noWrap/>
            <w:vAlign w:val="bottom"/>
            <w:hideMark/>
          </w:tcPr>
          <w:p w14:paraId="7D819DDE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919</w:t>
            </w:r>
          </w:p>
        </w:tc>
        <w:tc>
          <w:tcPr>
            <w:tcW w:w="1660" w:type="dxa"/>
            <w:shd w:val="clear" w:color="auto" w:fill="auto"/>
            <w:noWrap/>
            <w:vAlign w:val="bottom"/>
            <w:hideMark/>
          </w:tcPr>
          <w:p w14:paraId="70925424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  <w:tc>
          <w:tcPr>
            <w:tcW w:w="1171" w:type="dxa"/>
            <w:shd w:val="clear" w:color="auto" w:fill="auto"/>
            <w:noWrap/>
            <w:vAlign w:val="bottom"/>
            <w:hideMark/>
          </w:tcPr>
          <w:p w14:paraId="38B2EB14" w14:textId="77777777" w:rsidR="00C07041" w:rsidRPr="00C07041" w:rsidRDefault="00C07041" w:rsidP="00C07041">
            <w:pPr>
              <w:jc w:val="right"/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C07041">
              <w:rPr>
                <w:rFonts w:ascii="Calibri" w:hAnsi="Calibri" w:cs="Calibri"/>
                <w:color w:val="000000"/>
                <w:sz w:val="20"/>
                <w:szCs w:val="20"/>
              </w:rPr>
              <w:t>0</w:t>
            </w:r>
          </w:p>
        </w:tc>
      </w:tr>
      <w:tr w:rsidR="00C07041" w:rsidRPr="00C07041" w14:paraId="713172D9" w14:textId="77777777" w:rsidTr="003A170C">
        <w:trPr>
          <w:trHeight w:val="255"/>
        </w:trPr>
        <w:tc>
          <w:tcPr>
            <w:tcW w:w="1160" w:type="dxa"/>
            <w:shd w:val="clear" w:color="auto" w:fill="2E74B5" w:themeFill="accent1" w:themeFillShade="BF"/>
            <w:noWrap/>
            <w:vAlign w:val="bottom"/>
            <w:hideMark/>
          </w:tcPr>
          <w:p w14:paraId="3BDCABA7" w14:textId="77777777" w:rsidR="00C07041" w:rsidRPr="003A170C" w:rsidRDefault="00C07041" w:rsidP="00C07041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3A170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Total</w:t>
            </w:r>
          </w:p>
        </w:tc>
        <w:tc>
          <w:tcPr>
            <w:tcW w:w="1800" w:type="dxa"/>
            <w:shd w:val="clear" w:color="auto" w:fill="2E74B5" w:themeFill="accent1" w:themeFillShade="BF"/>
            <w:noWrap/>
            <w:vAlign w:val="bottom"/>
            <w:hideMark/>
          </w:tcPr>
          <w:p w14:paraId="1BB1F8C4" w14:textId="77777777" w:rsidR="00C07041" w:rsidRPr="003A170C" w:rsidRDefault="00C07041" w:rsidP="00C07041">
            <w:pPr>
              <w:jc w:val="right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3A170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211.877</w:t>
            </w:r>
          </w:p>
        </w:tc>
        <w:tc>
          <w:tcPr>
            <w:tcW w:w="1780" w:type="dxa"/>
            <w:shd w:val="clear" w:color="auto" w:fill="2E74B5" w:themeFill="accent1" w:themeFillShade="BF"/>
            <w:noWrap/>
            <w:vAlign w:val="bottom"/>
            <w:hideMark/>
          </w:tcPr>
          <w:p w14:paraId="15A13B8A" w14:textId="77777777" w:rsidR="00C07041" w:rsidRPr="003A170C" w:rsidRDefault="00C07041" w:rsidP="00C07041">
            <w:pPr>
              <w:jc w:val="right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3A170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229.048</w:t>
            </w:r>
          </w:p>
        </w:tc>
        <w:tc>
          <w:tcPr>
            <w:tcW w:w="1780" w:type="dxa"/>
            <w:shd w:val="clear" w:color="auto" w:fill="2E74B5" w:themeFill="accent1" w:themeFillShade="BF"/>
            <w:noWrap/>
            <w:vAlign w:val="bottom"/>
            <w:hideMark/>
          </w:tcPr>
          <w:p w14:paraId="6575E9C8" w14:textId="77777777" w:rsidR="00C07041" w:rsidRPr="003A170C" w:rsidRDefault="00C07041" w:rsidP="00C07041">
            <w:pPr>
              <w:jc w:val="right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3A170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17.172</w:t>
            </w:r>
          </w:p>
        </w:tc>
        <w:tc>
          <w:tcPr>
            <w:tcW w:w="1660" w:type="dxa"/>
            <w:shd w:val="clear" w:color="auto" w:fill="2E74B5" w:themeFill="accent1" w:themeFillShade="BF"/>
            <w:noWrap/>
            <w:vAlign w:val="bottom"/>
            <w:hideMark/>
          </w:tcPr>
          <w:p w14:paraId="779696E3" w14:textId="77777777" w:rsidR="00C07041" w:rsidRPr="003A170C" w:rsidRDefault="00C07041" w:rsidP="00C07041">
            <w:pPr>
              <w:jc w:val="right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3A170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76.393</w:t>
            </w:r>
          </w:p>
        </w:tc>
        <w:tc>
          <w:tcPr>
            <w:tcW w:w="1171" w:type="dxa"/>
            <w:shd w:val="clear" w:color="auto" w:fill="2E74B5" w:themeFill="accent1" w:themeFillShade="BF"/>
            <w:noWrap/>
            <w:vAlign w:val="bottom"/>
            <w:hideMark/>
          </w:tcPr>
          <w:p w14:paraId="67277E9E" w14:textId="77777777" w:rsidR="00C07041" w:rsidRPr="003A170C" w:rsidRDefault="00C07041" w:rsidP="00C07041">
            <w:pPr>
              <w:jc w:val="right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3A170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11.633</w:t>
            </w:r>
          </w:p>
        </w:tc>
      </w:tr>
      <w:tr w:rsidR="00C07041" w:rsidRPr="00C07041" w14:paraId="51B67583" w14:textId="77777777" w:rsidTr="003A170C">
        <w:trPr>
          <w:trHeight w:val="255"/>
        </w:trPr>
        <w:tc>
          <w:tcPr>
            <w:tcW w:w="4740" w:type="dxa"/>
            <w:gridSpan w:val="3"/>
            <w:shd w:val="clear" w:color="auto" w:fill="2E74B5" w:themeFill="accent1" w:themeFillShade="BF"/>
            <w:noWrap/>
            <w:vAlign w:val="bottom"/>
            <w:hideMark/>
          </w:tcPr>
          <w:p w14:paraId="110FEDEA" w14:textId="77777777" w:rsidR="00C07041" w:rsidRPr="003A170C" w:rsidRDefault="00C07041" w:rsidP="00C07041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3A170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 xml:space="preserve">VARIACION </w:t>
            </w:r>
          </w:p>
        </w:tc>
        <w:tc>
          <w:tcPr>
            <w:tcW w:w="1780" w:type="dxa"/>
            <w:shd w:val="clear" w:color="auto" w:fill="2E74B5" w:themeFill="accent1" w:themeFillShade="BF"/>
            <w:noWrap/>
            <w:vAlign w:val="bottom"/>
            <w:hideMark/>
          </w:tcPr>
          <w:p w14:paraId="2B26DFE2" w14:textId="77777777" w:rsidR="00C07041" w:rsidRPr="003A170C" w:rsidRDefault="00C07041" w:rsidP="00C07041">
            <w:pPr>
              <w:jc w:val="right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3A170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7%</w:t>
            </w:r>
          </w:p>
        </w:tc>
        <w:tc>
          <w:tcPr>
            <w:tcW w:w="1660" w:type="dxa"/>
            <w:shd w:val="clear" w:color="auto" w:fill="2E74B5" w:themeFill="accent1" w:themeFillShade="BF"/>
            <w:noWrap/>
            <w:vAlign w:val="bottom"/>
            <w:hideMark/>
          </w:tcPr>
          <w:p w14:paraId="0D67AB95" w14:textId="77777777" w:rsidR="00C07041" w:rsidRPr="003A170C" w:rsidRDefault="00C07041" w:rsidP="00C07041">
            <w:pPr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3A170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 </w:t>
            </w:r>
          </w:p>
        </w:tc>
        <w:tc>
          <w:tcPr>
            <w:tcW w:w="1171" w:type="dxa"/>
            <w:shd w:val="clear" w:color="auto" w:fill="2E74B5" w:themeFill="accent1" w:themeFillShade="BF"/>
            <w:noWrap/>
            <w:vAlign w:val="bottom"/>
            <w:hideMark/>
          </w:tcPr>
          <w:p w14:paraId="5D2E3BBC" w14:textId="77777777" w:rsidR="00C07041" w:rsidRPr="003A170C" w:rsidRDefault="00C07041" w:rsidP="00C07041">
            <w:pPr>
              <w:jc w:val="right"/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</w:pPr>
            <w:r w:rsidRPr="003A170C">
              <w:rPr>
                <w:rFonts w:ascii="Calibri" w:hAnsi="Calibri" w:cs="Calibri"/>
                <w:b/>
                <w:bCs/>
                <w:color w:val="FFFFFF" w:themeColor="background1"/>
                <w:sz w:val="20"/>
                <w:szCs w:val="20"/>
              </w:rPr>
              <w:t>15%</w:t>
            </w:r>
          </w:p>
        </w:tc>
      </w:tr>
    </w:tbl>
    <w:p w14:paraId="6E36DA7A" w14:textId="0810B2D7" w:rsidR="003E7A22" w:rsidRPr="003A170C" w:rsidRDefault="003E7A22" w:rsidP="003A170C">
      <w:pPr>
        <w:shd w:val="clear" w:color="auto" w:fill="FFFFFF"/>
        <w:jc w:val="center"/>
        <w:rPr>
          <w:rFonts w:ascii="Arial" w:hAnsi="Arial" w:cs="Arial"/>
          <w:bCs/>
          <w:sz w:val="14"/>
          <w:szCs w:val="14"/>
        </w:rPr>
      </w:pPr>
      <w:r w:rsidRPr="003A170C">
        <w:rPr>
          <w:rFonts w:ascii="Arial" w:hAnsi="Arial" w:cs="Arial"/>
          <w:b/>
          <w:sz w:val="14"/>
          <w:szCs w:val="14"/>
        </w:rPr>
        <w:t>Fuente de Información</w:t>
      </w:r>
      <w:r w:rsidRPr="003A170C">
        <w:rPr>
          <w:rFonts w:ascii="Arial" w:hAnsi="Arial" w:cs="Arial"/>
          <w:bCs/>
          <w:sz w:val="14"/>
          <w:szCs w:val="14"/>
        </w:rPr>
        <w:t xml:space="preserve">: </w:t>
      </w:r>
      <w:r w:rsidR="004465F6" w:rsidRPr="003A170C">
        <w:rPr>
          <w:rFonts w:ascii="Arial" w:hAnsi="Arial" w:cs="Arial"/>
          <w:bCs/>
          <w:sz w:val="14"/>
          <w:szCs w:val="14"/>
        </w:rPr>
        <w:t xml:space="preserve">Ingresos Dic 2022 – dic 2023 </w:t>
      </w:r>
      <w:r w:rsidR="00522961" w:rsidRPr="003A170C">
        <w:rPr>
          <w:rFonts w:ascii="Arial" w:hAnsi="Arial" w:cs="Arial"/>
          <w:bCs/>
          <w:sz w:val="14"/>
          <w:szCs w:val="14"/>
        </w:rPr>
        <w:t>– abril 2024 Subred Sur</w:t>
      </w:r>
    </w:p>
    <w:p w14:paraId="225B634E" w14:textId="77777777" w:rsidR="00460A6A" w:rsidRDefault="00460A6A" w:rsidP="004952FE">
      <w:pPr>
        <w:autoSpaceDE w:val="0"/>
        <w:jc w:val="both"/>
        <w:rPr>
          <w:rFonts w:ascii="Arial" w:hAnsi="Arial" w:cs="Arial"/>
          <w:lang w:val="es"/>
        </w:rPr>
      </w:pPr>
    </w:p>
    <w:p w14:paraId="13D12FC8" w14:textId="77777777" w:rsidR="008D4EDB" w:rsidRDefault="008D4EDB" w:rsidP="004952FE">
      <w:pPr>
        <w:autoSpaceDE w:val="0"/>
        <w:jc w:val="both"/>
        <w:rPr>
          <w:rFonts w:ascii="Arial" w:hAnsi="Arial" w:cs="Arial"/>
          <w:lang w:val="es"/>
        </w:rPr>
      </w:pPr>
    </w:p>
    <w:p w14:paraId="12833CB1" w14:textId="32CA3E9F" w:rsidR="004952FE" w:rsidRDefault="004952FE" w:rsidP="004952FE">
      <w:pPr>
        <w:autoSpaceDE w:val="0"/>
        <w:jc w:val="both"/>
        <w:rPr>
          <w:rFonts w:ascii="Arial" w:hAnsi="Arial" w:cs="Arial"/>
          <w:lang w:val="es"/>
        </w:rPr>
      </w:pPr>
      <w:r>
        <w:rPr>
          <w:rFonts w:ascii="Arial" w:hAnsi="Arial" w:cs="Arial"/>
          <w:lang w:val="es"/>
        </w:rPr>
        <w:t>Cordialmente,</w:t>
      </w:r>
    </w:p>
    <w:p w14:paraId="3669AE8A" w14:textId="0163A709" w:rsidR="004952FE" w:rsidRDefault="004952FE" w:rsidP="004952FE">
      <w:pPr>
        <w:keepNext/>
        <w:outlineLvl w:val="0"/>
        <w:rPr>
          <w:rFonts w:ascii="Arial" w:hAnsi="Arial" w:cs="Arial"/>
          <w:sz w:val="12"/>
          <w:szCs w:val="20"/>
          <w:lang w:val="es-ES" w:eastAsia="es-ES"/>
        </w:rPr>
      </w:pPr>
    </w:p>
    <w:p w14:paraId="670BC874" w14:textId="77777777" w:rsidR="007A35AA" w:rsidRDefault="007A35AA" w:rsidP="004952FE">
      <w:pPr>
        <w:keepNext/>
        <w:outlineLvl w:val="0"/>
        <w:rPr>
          <w:rFonts w:ascii="Arial" w:hAnsi="Arial" w:cs="Arial"/>
          <w:sz w:val="12"/>
          <w:szCs w:val="20"/>
          <w:lang w:val="es-ES" w:eastAsia="es-ES"/>
        </w:rPr>
      </w:pPr>
    </w:p>
    <w:p w14:paraId="0F59A3E6" w14:textId="771A2CF7" w:rsidR="004952FE" w:rsidRDefault="004952FE" w:rsidP="004952FE">
      <w:pPr>
        <w:keepNext/>
        <w:outlineLvl w:val="0"/>
        <w:rPr>
          <w:rFonts w:ascii="Arial" w:hAnsi="Arial" w:cs="Arial"/>
          <w:sz w:val="12"/>
          <w:szCs w:val="20"/>
          <w:lang w:val="es-ES" w:eastAsia="es-ES"/>
        </w:rPr>
      </w:pPr>
    </w:p>
    <w:p w14:paraId="354229A3" w14:textId="6084766B" w:rsidR="00DE66F1" w:rsidRDefault="00DE66F1" w:rsidP="004952FE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</w:p>
    <w:p w14:paraId="54BFD829" w14:textId="5ED48F4F" w:rsidR="008D4EDB" w:rsidRDefault="008D4EDB" w:rsidP="004952FE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</w:p>
    <w:p w14:paraId="1B8AB18D" w14:textId="77777777" w:rsidR="008D4EDB" w:rsidRPr="00727281" w:rsidRDefault="008D4EDB" w:rsidP="004952FE">
      <w:pPr>
        <w:autoSpaceDE w:val="0"/>
        <w:autoSpaceDN w:val="0"/>
        <w:adjustRightInd w:val="0"/>
        <w:rPr>
          <w:rFonts w:ascii="Arial" w:eastAsiaTheme="minorHAnsi" w:hAnsi="Arial" w:cs="Arial"/>
          <w:color w:val="000000"/>
        </w:rPr>
      </w:pPr>
    </w:p>
    <w:p w14:paraId="569A986D" w14:textId="0DC43A68" w:rsidR="004952FE" w:rsidRDefault="001E4803" w:rsidP="004952FE">
      <w:pPr>
        <w:keepNext/>
        <w:jc w:val="both"/>
        <w:outlineLvl w:val="0"/>
        <w:rPr>
          <w:rFonts w:ascii="Arial" w:eastAsiaTheme="minorHAnsi" w:hAnsi="Arial" w:cs="Arial"/>
          <w:b/>
          <w:bCs/>
          <w:color w:val="000000"/>
          <w:sz w:val="23"/>
          <w:szCs w:val="23"/>
        </w:rPr>
      </w:pPr>
      <w:r>
        <w:rPr>
          <w:rFonts w:ascii="Arial" w:eastAsiaTheme="minorHAnsi" w:hAnsi="Arial" w:cs="Arial"/>
          <w:b/>
          <w:bCs/>
          <w:color w:val="000000"/>
          <w:sz w:val="23"/>
          <w:szCs w:val="23"/>
        </w:rPr>
        <w:t>ANA MARIA COBOS BAQUERO</w:t>
      </w:r>
    </w:p>
    <w:p w14:paraId="03D672FB" w14:textId="0087C2B6" w:rsidR="004952FE" w:rsidRDefault="004952FE" w:rsidP="004952FE">
      <w:pPr>
        <w:keepNext/>
        <w:jc w:val="both"/>
        <w:outlineLvl w:val="0"/>
        <w:rPr>
          <w:rFonts w:ascii="Arial" w:hAnsi="Arial" w:cs="Arial"/>
          <w:b/>
          <w:sz w:val="20"/>
          <w:szCs w:val="20"/>
          <w:lang w:eastAsia="es-ES"/>
        </w:rPr>
      </w:pPr>
      <w:r>
        <w:rPr>
          <w:rFonts w:ascii="Arial" w:hAnsi="Arial" w:cs="Arial"/>
          <w:b/>
          <w:sz w:val="20"/>
          <w:szCs w:val="20"/>
          <w:lang w:eastAsia="es-ES"/>
        </w:rPr>
        <w:t>Gerente</w:t>
      </w:r>
      <w:r w:rsidR="001E4803">
        <w:rPr>
          <w:rFonts w:ascii="Arial" w:hAnsi="Arial" w:cs="Arial"/>
          <w:b/>
          <w:sz w:val="20"/>
          <w:szCs w:val="20"/>
          <w:lang w:eastAsia="es-ES"/>
        </w:rPr>
        <w:t xml:space="preserve"> </w:t>
      </w:r>
      <w:proofErr w:type="gramStart"/>
      <w:r w:rsidR="001E4803">
        <w:rPr>
          <w:rFonts w:ascii="Arial" w:hAnsi="Arial" w:cs="Arial"/>
          <w:b/>
          <w:sz w:val="20"/>
          <w:szCs w:val="20"/>
          <w:lang w:eastAsia="es-ES"/>
        </w:rPr>
        <w:t>( E</w:t>
      </w:r>
      <w:proofErr w:type="gramEnd"/>
      <w:r w:rsidR="001E4803">
        <w:rPr>
          <w:rFonts w:ascii="Arial" w:hAnsi="Arial" w:cs="Arial"/>
          <w:b/>
          <w:sz w:val="20"/>
          <w:szCs w:val="20"/>
          <w:lang w:eastAsia="es-ES"/>
        </w:rPr>
        <w:t xml:space="preserve"> )</w:t>
      </w:r>
    </w:p>
    <w:p w14:paraId="5505B171" w14:textId="115365EB" w:rsidR="004952FE" w:rsidRDefault="004952FE" w:rsidP="004952FE">
      <w:pPr>
        <w:keepNext/>
        <w:jc w:val="both"/>
        <w:outlineLvl w:val="0"/>
        <w:rPr>
          <w:rFonts w:ascii="Arial" w:hAnsi="Arial" w:cs="Arial"/>
          <w:b/>
          <w:sz w:val="20"/>
          <w:szCs w:val="20"/>
          <w:lang w:eastAsia="es-ES"/>
        </w:rPr>
      </w:pPr>
      <w:r>
        <w:rPr>
          <w:rFonts w:ascii="Arial" w:hAnsi="Arial" w:cs="Arial"/>
          <w:b/>
          <w:sz w:val="20"/>
          <w:szCs w:val="20"/>
          <w:lang w:eastAsia="es-ES"/>
        </w:rPr>
        <w:t>Subred Integrada de Servicios de Salud Sur E.S.E.</w:t>
      </w:r>
    </w:p>
    <w:p w14:paraId="602BA65D" w14:textId="77777777" w:rsidR="00A67B8A" w:rsidRDefault="00A67B8A" w:rsidP="004952FE">
      <w:pPr>
        <w:keepNext/>
        <w:jc w:val="both"/>
        <w:outlineLvl w:val="0"/>
        <w:rPr>
          <w:rFonts w:ascii="Arial" w:hAnsi="Arial" w:cs="Arial"/>
          <w:b/>
          <w:sz w:val="20"/>
          <w:szCs w:val="20"/>
          <w:lang w:eastAsia="es-ES"/>
        </w:rPr>
      </w:pPr>
    </w:p>
    <w:p w14:paraId="0383670F" w14:textId="76F790F9" w:rsidR="00A67B8A" w:rsidRPr="00A67B8A" w:rsidRDefault="00A67B8A" w:rsidP="004952FE">
      <w:pPr>
        <w:keepNext/>
        <w:jc w:val="both"/>
        <w:outlineLvl w:val="0"/>
        <w:rPr>
          <w:rFonts w:ascii="Arial" w:hAnsi="Arial" w:cs="Arial"/>
          <w:bCs/>
          <w:sz w:val="14"/>
          <w:szCs w:val="14"/>
          <w:lang w:eastAsia="es-ES"/>
        </w:rPr>
      </w:pPr>
      <w:r w:rsidRPr="00A67B8A">
        <w:rPr>
          <w:rFonts w:ascii="Arial" w:hAnsi="Arial" w:cs="Arial"/>
          <w:b/>
          <w:sz w:val="16"/>
          <w:szCs w:val="16"/>
          <w:lang w:eastAsia="es-ES"/>
        </w:rPr>
        <w:t>Anexos:</w:t>
      </w:r>
      <w:r w:rsidRPr="00A67B8A">
        <w:rPr>
          <w:rFonts w:ascii="Arial" w:hAnsi="Arial" w:cs="Arial"/>
          <w:b/>
          <w:sz w:val="14"/>
          <w:szCs w:val="14"/>
          <w:lang w:eastAsia="es-ES"/>
        </w:rPr>
        <w:t xml:space="preserve"> </w:t>
      </w:r>
      <w:r w:rsidRPr="00A67B8A">
        <w:rPr>
          <w:rFonts w:ascii="Arial" w:hAnsi="Arial" w:cs="Arial"/>
          <w:bCs/>
          <w:sz w:val="14"/>
          <w:szCs w:val="14"/>
          <w:lang w:eastAsia="es-ES"/>
        </w:rPr>
        <w:t>Excel “</w:t>
      </w:r>
      <w:r w:rsidRPr="00A67B8A">
        <w:rPr>
          <w:rFonts w:ascii="Arial" w:hAnsi="Arial" w:cs="Arial"/>
          <w:bCs/>
          <w:sz w:val="14"/>
          <w:szCs w:val="14"/>
          <w:lang w:eastAsia="es-ES"/>
        </w:rPr>
        <w:t>COSTOS AÑO 2021-2023 - AMBULATORIO Y HOSPITALARIOS</w:t>
      </w:r>
      <w:r w:rsidRPr="00A67B8A">
        <w:rPr>
          <w:rFonts w:ascii="Arial" w:hAnsi="Arial" w:cs="Arial"/>
          <w:bCs/>
          <w:sz w:val="14"/>
          <w:szCs w:val="14"/>
          <w:lang w:eastAsia="es-ES"/>
        </w:rPr>
        <w:t>”</w:t>
      </w:r>
    </w:p>
    <w:p w14:paraId="76BEA07D" w14:textId="77777777" w:rsidR="00A67B8A" w:rsidRPr="00A67B8A" w:rsidRDefault="00A67B8A" w:rsidP="004952FE">
      <w:pPr>
        <w:keepNext/>
        <w:jc w:val="both"/>
        <w:outlineLvl w:val="0"/>
        <w:rPr>
          <w:rFonts w:ascii="Arial" w:hAnsi="Arial" w:cs="Arial"/>
          <w:bCs/>
          <w:sz w:val="20"/>
          <w:szCs w:val="20"/>
          <w:lang w:eastAsia="es-ES"/>
        </w:rPr>
      </w:pPr>
    </w:p>
    <w:p w14:paraId="47799939" w14:textId="1EF80A08" w:rsidR="00B70843" w:rsidRDefault="00B70843" w:rsidP="004952FE">
      <w:pPr>
        <w:keepNext/>
        <w:jc w:val="both"/>
        <w:outlineLvl w:val="0"/>
        <w:rPr>
          <w:rFonts w:ascii="Arial" w:hAnsi="Arial" w:cs="Arial"/>
          <w:b/>
          <w:sz w:val="20"/>
          <w:szCs w:val="20"/>
          <w:lang w:eastAsia="es-ES"/>
        </w:rPr>
      </w:pPr>
    </w:p>
    <w:p w14:paraId="2CA5A515" w14:textId="03DBD3C0" w:rsidR="00B70843" w:rsidRPr="00A67B8A" w:rsidRDefault="00A67B8A" w:rsidP="004952FE">
      <w:pPr>
        <w:keepNext/>
        <w:jc w:val="both"/>
        <w:outlineLvl w:val="0"/>
        <w:rPr>
          <w:rFonts w:ascii="Arial" w:hAnsi="Arial" w:cs="Arial"/>
          <w:sz w:val="14"/>
          <w:szCs w:val="14"/>
          <w:lang w:val="es"/>
        </w:rPr>
      </w:pPr>
      <w:r w:rsidRPr="00A67B8A">
        <w:rPr>
          <w:rFonts w:ascii="Arial" w:hAnsi="Arial" w:cs="Arial"/>
          <w:sz w:val="14"/>
          <w:szCs w:val="14"/>
          <w:lang w:val="es"/>
        </w:rPr>
        <w:t>Proyectado: Edwin Bautista García / DF</w:t>
      </w:r>
    </w:p>
    <w:p w14:paraId="528E85DB" w14:textId="21B4FF4A" w:rsidR="00A67B8A" w:rsidRPr="00A67B8A" w:rsidRDefault="00A67B8A" w:rsidP="004952FE">
      <w:pPr>
        <w:keepNext/>
        <w:jc w:val="both"/>
        <w:outlineLvl w:val="0"/>
        <w:rPr>
          <w:rFonts w:ascii="Arial" w:hAnsi="Arial" w:cs="Arial"/>
          <w:sz w:val="14"/>
          <w:szCs w:val="14"/>
          <w:lang w:val="es"/>
        </w:rPr>
      </w:pPr>
      <w:r w:rsidRPr="00A67B8A">
        <w:rPr>
          <w:rFonts w:ascii="Arial" w:hAnsi="Arial" w:cs="Arial"/>
          <w:sz w:val="14"/>
          <w:szCs w:val="14"/>
          <w:lang w:val="es"/>
        </w:rPr>
        <w:t>Proyectado: Adriana Marcela Vizcaino /DF</w:t>
      </w:r>
    </w:p>
    <w:p w14:paraId="40B36595" w14:textId="5333B65C" w:rsidR="008A6514" w:rsidRPr="00A67B8A" w:rsidRDefault="008A6514" w:rsidP="008A6514">
      <w:pPr>
        <w:autoSpaceDE w:val="0"/>
        <w:jc w:val="both"/>
        <w:rPr>
          <w:rFonts w:ascii="Arial" w:hAnsi="Arial" w:cs="Arial"/>
          <w:sz w:val="14"/>
          <w:szCs w:val="14"/>
          <w:lang w:val="es"/>
        </w:rPr>
      </w:pPr>
      <w:r w:rsidRPr="00A67B8A">
        <w:rPr>
          <w:rFonts w:ascii="Arial" w:hAnsi="Arial" w:cs="Arial"/>
          <w:sz w:val="14"/>
          <w:szCs w:val="14"/>
          <w:lang w:val="es"/>
        </w:rPr>
        <w:t xml:space="preserve">Aprobado: John Alejandro Jaramillo Santa - Director Financiero </w:t>
      </w:r>
    </w:p>
    <w:p w14:paraId="3D4CEB68" w14:textId="52390FBB" w:rsidR="008A6514" w:rsidRPr="00A67B8A" w:rsidRDefault="008A6514" w:rsidP="008A6514">
      <w:pPr>
        <w:autoSpaceDE w:val="0"/>
        <w:jc w:val="both"/>
        <w:rPr>
          <w:rFonts w:ascii="Arial" w:hAnsi="Arial" w:cs="Arial"/>
          <w:sz w:val="14"/>
          <w:szCs w:val="14"/>
          <w:lang w:val="es"/>
        </w:rPr>
      </w:pPr>
      <w:r w:rsidRPr="00A67B8A">
        <w:rPr>
          <w:rFonts w:ascii="Arial" w:hAnsi="Arial" w:cs="Arial"/>
          <w:sz w:val="14"/>
          <w:szCs w:val="14"/>
          <w:lang w:val="es"/>
        </w:rPr>
        <w:t>Aprobado: Dra. Liliana Cabrera - Subgerente corporativo</w:t>
      </w:r>
      <w:r w:rsidRPr="00A67B8A">
        <w:rPr>
          <w:rFonts w:ascii="Arial" w:hAnsi="Arial" w:cs="Arial"/>
          <w:sz w:val="14"/>
          <w:szCs w:val="14"/>
          <w:lang w:val="es"/>
        </w:rPr>
        <w:tab/>
      </w:r>
    </w:p>
    <w:p w14:paraId="4AEFD7C3" w14:textId="721D63C7" w:rsidR="008A6514" w:rsidRPr="00A67B8A" w:rsidRDefault="008A6514" w:rsidP="008A6514">
      <w:pPr>
        <w:autoSpaceDE w:val="0"/>
        <w:jc w:val="both"/>
        <w:rPr>
          <w:rFonts w:ascii="Arial" w:hAnsi="Arial" w:cs="Arial"/>
          <w:sz w:val="14"/>
          <w:szCs w:val="14"/>
          <w:lang w:val="es"/>
        </w:rPr>
      </w:pPr>
      <w:r w:rsidRPr="00A67B8A">
        <w:rPr>
          <w:rFonts w:ascii="Arial" w:hAnsi="Arial" w:cs="Arial"/>
          <w:sz w:val="14"/>
          <w:szCs w:val="14"/>
          <w:lang w:val="es"/>
        </w:rPr>
        <w:tab/>
      </w:r>
    </w:p>
    <w:sectPr w:rsidR="008A6514" w:rsidRPr="00A67B8A" w:rsidSect="000A3375">
      <w:headerReference w:type="default" r:id="rId7"/>
      <w:footerReference w:type="default" r:id="rId8"/>
      <w:pgSz w:w="12240" w:h="15840"/>
      <w:pgMar w:top="1701" w:right="1325" w:bottom="1417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2737A4" w14:textId="77777777" w:rsidR="000A3375" w:rsidRDefault="000A3375" w:rsidP="00B80719">
      <w:r>
        <w:separator/>
      </w:r>
    </w:p>
  </w:endnote>
  <w:endnote w:type="continuationSeparator" w:id="0">
    <w:p w14:paraId="767F4015" w14:textId="77777777" w:rsidR="000A3375" w:rsidRDefault="000A3375" w:rsidP="00B807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7A2041" w14:textId="3C52B68F" w:rsidR="0005300F" w:rsidRDefault="0005300F" w:rsidP="00FC2894">
    <w:pPr>
      <w:pStyle w:val="Piedepgina"/>
      <w:ind w:left="-1701" w:firstLine="283"/>
    </w:pPr>
    <w:r>
      <w:rPr>
        <w:noProof/>
        <w:lang w:eastAsia="es-CO"/>
      </w:rPr>
      <w:drawing>
        <wp:anchor distT="0" distB="0" distL="114300" distR="114300" simplePos="0" relativeHeight="251660288" behindDoc="0" locked="0" layoutInCell="1" allowOverlap="1" wp14:anchorId="4C325348" wp14:editId="4AE56C84">
          <wp:simplePos x="0" y="0"/>
          <wp:positionH relativeFrom="margin">
            <wp:posOffset>-851770</wp:posOffset>
          </wp:positionH>
          <wp:positionV relativeFrom="paragraph">
            <wp:posOffset>-1277655</wp:posOffset>
          </wp:positionV>
          <wp:extent cx="7400925" cy="1558090"/>
          <wp:effectExtent l="0" t="0" r="0" b="4445"/>
          <wp:wrapNone/>
          <wp:docPr id="1803897565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00925" cy="1558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670E7B5" w14:textId="77777777" w:rsidR="000A3375" w:rsidRDefault="000A3375" w:rsidP="00B80719">
      <w:r>
        <w:separator/>
      </w:r>
    </w:p>
  </w:footnote>
  <w:footnote w:type="continuationSeparator" w:id="0">
    <w:p w14:paraId="7CBDAB22" w14:textId="77777777" w:rsidR="000A3375" w:rsidRDefault="000A3375" w:rsidP="00B807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8813F2" w14:textId="77777777" w:rsidR="0005300F" w:rsidRDefault="0005300F">
    <w:pPr>
      <w:pStyle w:val="Encabezado"/>
    </w:pPr>
    <w:r>
      <w:rPr>
        <w:noProof/>
        <w:lang w:eastAsia="es-CO"/>
      </w:rPr>
      <w:drawing>
        <wp:anchor distT="0" distB="0" distL="114300" distR="114300" simplePos="0" relativeHeight="251658240" behindDoc="0" locked="0" layoutInCell="1" allowOverlap="1" wp14:anchorId="12960D98" wp14:editId="219430D9">
          <wp:simplePos x="0" y="0"/>
          <wp:positionH relativeFrom="margin">
            <wp:posOffset>-1101725</wp:posOffset>
          </wp:positionH>
          <wp:positionV relativeFrom="paragraph">
            <wp:posOffset>-297815</wp:posOffset>
          </wp:positionV>
          <wp:extent cx="7817485" cy="1090930"/>
          <wp:effectExtent l="0" t="0" r="0" b="0"/>
          <wp:wrapSquare wrapText="bothSides"/>
          <wp:docPr id="6" name="Imagen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17485" cy="10909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2E1F82"/>
    <w:multiLevelType w:val="hybridMultilevel"/>
    <w:tmpl w:val="8F7E5DD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20894F9C"/>
    <w:multiLevelType w:val="hybridMultilevel"/>
    <w:tmpl w:val="D2EC43FE"/>
    <w:lvl w:ilvl="0" w:tplc="240A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AD34E4"/>
    <w:multiLevelType w:val="hybridMultilevel"/>
    <w:tmpl w:val="916C6158"/>
    <w:lvl w:ilvl="0" w:tplc="240A000F">
      <w:start w:val="1"/>
      <w:numFmt w:val="decimal"/>
      <w:lvlText w:val="%1."/>
      <w:lvlJc w:val="left"/>
      <w:pPr>
        <w:ind w:left="360" w:hanging="360"/>
      </w:pPr>
    </w:lvl>
    <w:lvl w:ilvl="1" w:tplc="240A0019" w:tentative="1">
      <w:start w:val="1"/>
      <w:numFmt w:val="lowerLetter"/>
      <w:lvlText w:val="%2."/>
      <w:lvlJc w:val="left"/>
      <w:pPr>
        <w:ind w:left="1080" w:hanging="360"/>
      </w:pPr>
    </w:lvl>
    <w:lvl w:ilvl="2" w:tplc="240A001B" w:tentative="1">
      <w:start w:val="1"/>
      <w:numFmt w:val="lowerRoman"/>
      <w:lvlText w:val="%3."/>
      <w:lvlJc w:val="right"/>
      <w:pPr>
        <w:ind w:left="1800" w:hanging="180"/>
      </w:pPr>
    </w:lvl>
    <w:lvl w:ilvl="3" w:tplc="240A000F" w:tentative="1">
      <w:start w:val="1"/>
      <w:numFmt w:val="decimal"/>
      <w:lvlText w:val="%4."/>
      <w:lvlJc w:val="left"/>
      <w:pPr>
        <w:ind w:left="2520" w:hanging="360"/>
      </w:pPr>
    </w:lvl>
    <w:lvl w:ilvl="4" w:tplc="240A0019" w:tentative="1">
      <w:start w:val="1"/>
      <w:numFmt w:val="lowerLetter"/>
      <w:lvlText w:val="%5."/>
      <w:lvlJc w:val="left"/>
      <w:pPr>
        <w:ind w:left="3240" w:hanging="360"/>
      </w:pPr>
    </w:lvl>
    <w:lvl w:ilvl="5" w:tplc="240A001B" w:tentative="1">
      <w:start w:val="1"/>
      <w:numFmt w:val="lowerRoman"/>
      <w:lvlText w:val="%6."/>
      <w:lvlJc w:val="right"/>
      <w:pPr>
        <w:ind w:left="3960" w:hanging="180"/>
      </w:pPr>
    </w:lvl>
    <w:lvl w:ilvl="6" w:tplc="240A000F" w:tentative="1">
      <w:start w:val="1"/>
      <w:numFmt w:val="decimal"/>
      <w:lvlText w:val="%7."/>
      <w:lvlJc w:val="left"/>
      <w:pPr>
        <w:ind w:left="4680" w:hanging="360"/>
      </w:pPr>
    </w:lvl>
    <w:lvl w:ilvl="7" w:tplc="240A0019" w:tentative="1">
      <w:start w:val="1"/>
      <w:numFmt w:val="lowerLetter"/>
      <w:lvlText w:val="%8."/>
      <w:lvlJc w:val="left"/>
      <w:pPr>
        <w:ind w:left="5400" w:hanging="360"/>
      </w:pPr>
    </w:lvl>
    <w:lvl w:ilvl="8" w:tplc="24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BFA1869"/>
    <w:multiLevelType w:val="hybridMultilevel"/>
    <w:tmpl w:val="5A18DABA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EDF1F1E"/>
    <w:multiLevelType w:val="hybridMultilevel"/>
    <w:tmpl w:val="04C657D2"/>
    <w:lvl w:ilvl="0" w:tplc="24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4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24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24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24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4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24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4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04B079A"/>
    <w:multiLevelType w:val="hybridMultilevel"/>
    <w:tmpl w:val="AAB21512"/>
    <w:lvl w:ilvl="0" w:tplc="24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5804A0"/>
    <w:multiLevelType w:val="hybridMultilevel"/>
    <w:tmpl w:val="5F10495E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C365ADC"/>
    <w:multiLevelType w:val="hybridMultilevel"/>
    <w:tmpl w:val="E522D1E4"/>
    <w:lvl w:ilvl="0" w:tplc="240A000F">
      <w:start w:val="1"/>
      <w:numFmt w:val="decimal"/>
      <w:lvlText w:val="%1."/>
      <w:lvlJc w:val="left"/>
      <w:pPr>
        <w:ind w:left="720" w:hanging="360"/>
      </w:pPr>
    </w:lvl>
    <w:lvl w:ilvl="1" w:tplc="240A0019" w:tentative="1">
      <w:start w:val="1"/>
      <w:numFmt w:val="lowerLetter"/>
      <w:lvlText w:val="%2."/>
      <w:lvlJc w:val="left"/>
      <w:pPr>
        <w:ind w:left="1440" w:hanging="360"/>
      </w:pPr>
    </w:lvl>
    <w:lvl w:ilvl="2" w:tplc="240A001B" w:tentative="1">
      <w:start w:val="1"/>
      <w:numFmt w:val="lowerRoman"/>
      <w:lvlText w:val="%3."/>
      <w:lvlJc w:val="right"/>
      <w:pPr>
        <w:ind w:left="2160" w:hanging="180"/>
      </w:pPr>
    </w:lvl>
    <w:lvl w:ilvl="3" w:tplc="240A000F" w:tentative="1">
      <w:start w:val="1"/>
      <w:numFmt w:val="decimal"/>
      <w:lvlText w:val="%4."/>
      <w:lvlJc w:val="left"/>
      <w:pPr>
        <w:ind w:left="2880" w:hanging="360"/>
      </w:pPr>
    </w:lvl>
    <w:lvl w:ilvl="4" w:tplc="240A0019" w:tentative="1">
      <w:start w:val="1"/>
      <w:numFmt w:val="lowerLetter"/>
      <w:lvlText w:val="%5."/>
      <w:lvlJc w:val="left"/>
      <w:pPr>
        <w:ind w:left="3600" w:hanging="360"/>
      </w:pPr>
    </w:lvl>
    <w:lvl w:ilvl="5" w:tplc="240A001B" w:tentative="1">
      <w:start w:val="1"/>
      <w:numFmt w:val="lowerRoman"/>
      <w:lvlText w:val="%6."/>
      <w:lvlJc w:val="right"/>
      <w:pPr>
        <w:ind w:left="4320" w:hanging="180"/>
      </w:pPr>
    </w:lvl>
    <w:lvl w:ilvl="6" w:tplc="240A000F" w:tentative="1">
      <w:start w:val="1"/>
      <w:numFmt w:val="decimal"/>
      <w:lvlText w:val="%7."/>
      <w:lvlJc w:val="left"/>
      <w:pPr>
        <w:ind w:left="5040" w:hanging="360"/>
      </w:pPr>
    </w:lvl>
    <w:lvl w:ilvl="7" w:tplc="240A0019" w:tentative="1">
      <w:start w:val="1"/>
      <w:numFmt w:val="lowerLetter"/>
      <w:lvlText w:val="%8."/>
      <w:lvlJc w:val="left"/>
      <w:pPr>
        <w:ind w:left="5760" w:hanging="360"/>
      </w:pPr>
    </w:lvl>
    <w:lvl w:ilvl="8" w:tplc="240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870911">
    <w:abstractNumId w:val="4"/>
  </w:num>
  <w:num w:numId="2" w16cid:durableId="13859817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579515523">
    <w:abstractNumId w:val="5"/>
  </w:num>
  <w:num w:numId="4" w16cid:durableId="738601474">
    <w:abstractNumId w:val="1"/>
  </w:num>
  <w:num w:numId="5" w16cid:durableId="716777447">
    <w:abstractNumId w:val="7"/>
  </w:num>
  <w:num w:numId="6" w16cid:durableId="476457055">
    <w:abstractNumId w:val="2"/>
  </w:num>
  <w:num w:numId="7" w16cid:durableId="824668411">
    <w:abstractNumId w:val="3"/>
  </w:num>
  <w:num w:numId="8" w16cid:durableId="18978574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80719"/>
    <w:rsid w:val="000078F6"/>
    <w:rsid w:val="000106E5"/>
    <w:rsid w:val="00025E6B"/>
    <w:rsid w:val="00026DEB"/>
    <w:rsid w:val="00037F2F"/>
    <w:rsid w:val="0004189D"/>
    <w:rsid w:val="00042F31"/>
    <w:rsid w:val="00047E64"/>
    <w:rsid w:val="0005300F"/>
    <w:rsid w:val="00061ACA"/>
    <w:rsid w:val="0006511D"/>
    <w:rsid w:val="000701DD"/>
    <w:rsid w:val="0007021C"/>
    <w:rsid w:val="00071C13"/>
    <w:rsid w:val="00074660"/>
    <w:rsid w:val="0007574E"/>
    <w:rsid w:val="000856D8"/>
    <w:rsid w:val="0009760C"/>
    <w:rsid w:val="000A2600"/>
    <w:rsid w:val="000A3375"/>
    <w:rsid w:val="000A46C8"/>
    <w:rsid w:val="000A5D9B"/>
    <w:rsid w:val="000B06F6"/>
    <w:rsid w:val="000B21C7"/>
    <w:rsid w:val="000C3916"/>
    <w:rsid w:val="000D0120"/>
    <w:rsid w:val="000D0A66"/>
    <w:rsid w:val="000D0B42"/>
    <w:rsid w:val="000D2B2A"/>
    <w:rsid w:val="000D33A2"/>
    <w:rsid w:val="000D4455"/>
    <w:rsid w:val="000F0B99"/>
    <w:rsid w:val="000F39EB"/>
    <w:rsid w:val="000F4816"/>
    <w:rsid w:val="00104372"/>
    <w:rsid w:val="001055CE"/>
    <w:rsid w:val="00107268"/>
    <w:rsid w:val="0011057E"/>
    <w:rsid w:val="00112A74"/>
    <w:rsid w:val="001174E6"/>
    <w:rsid w:val="00117C19"/>
    <w:rsid w:val="00120B4A"/>
    <w:rsid w:val="00124109"/>
    <w:rsid w:val="001332D4"/>
    <w:rsid w:val="00134EB6"/>
    <w:rsid w:val="00135EE9"/>
    <w:rsid w:val="00136242"/>
    <w:rsid w:val="001422FB"/>
    <w:rsid w:val="00142C75"/>
    <w:rsid w:val="00152C6F"/>
    <w:rsid w:val="001550E2"/>
    <w:rsid w:val="00156400"/>
    <w:rsid w:val="00157013"/>
    <w:rsid w:val="0016163D"/>
    <w:rsid w:val="00163FFA"/>
    <w:rsid w:val="00165EA6"/>
    <w:rsid w:val="00165F7F"/>
    <w:rsid w:val="001677BE"/>
    <w:rsid w:val="001734E6"/>
    <w:rsid w:val="0018120D"/>
    <w:rsid w:val="00187AAA"/>
    <w:rsid w:val="00192253"/>
    <w:rsid w:val="001947D7"/>
    <w:rsid w:val="0019492B"/>
    <w:rsid w:val="0019710E"/>
    <w:rsid w:val="00197ACA"/>
    <w:rsid w:val="00197E92"/>
    <w:rsid w:val="001A2936"/>
    <w:rsid w:val="001A2D0C"/>
    <w:rsid w:val="001A4DB2"/>
    <w:rsid w:val="001B1337"/>
    <w:rsid w:val="001B3C11"/>
    <w:rsid w:val="001C0FA8"/>
    <w:rsid w:val="001D3A90"/>
    <w:rsid w:val="001D6281"/>
    <w:rsid w:val="001E4803"/>
    <w:rsid w:val="001F4624"/>
    <w:rsid w:val="0020407D"/>
    <w:rsid w:val="00204F67"/>
    <w:rsid w:val="00205B79"/>
    <w:rsid w:val="00206909"/>
    <w:rsid w:val="00211FBD"/>
    <w:rsid w:val="0021697A"/>
    <w:rsid w:val="002169A1"/>
    <w:rsid w:val="0022175B"/>
    <w:rsid w:val="002225B2"/>
    <w:rsid w:val="0022416E"/>
    <w:rsid w:val="002247A8"/>
    <w:rsid w:val="00236CFC"/>
    <w:rsid w:val="00244FEA"/>
    <w:rsid w:val="00245118"/>
    <w:rsid w:val="00250560"/>
    <w:rsid w:val="00252765"/>
    <w:rsid w:val="00262174"/>
    <w:rsid w:val="0026318E"/>
    <w:rsid w:val="00264673"/>
    <w:rsid w:val="002668F9"/>
    <w:rsid w:val="0026705D"/>
    <w:rsid w:val="00270826"/>
    <w:rsid w:val="00271493"/>
    <w:rsid w:val="002775A9"/>
    <w:rsid w:val="00283521"/>
    <w:rsid w:val="00284DAE"/>
    <w:rsid w:val="00284F76"/>
    <w:rsid w:val="00294227"/>
    <w:rsid w:val="002971AD"/>
    <w:rsid w:val="0029781B"/>
    <w:rsid w:val="002A1F20"/>
    <w:rsid w:val="002A3762"/>
    <w:rsid w:val="002B10A6"/>
    <w:rsid w:val="002B3FEE"/>
    <w:rsid w:val="002B561E"/>
    <w:rsid w:val="002C13EC"/>
    <w:rsid w:val="002C3E05"/>
    <w:rsid w:val="002C569A"/>
    <w:rsid w:val="002D0BE3"/>
    <w:rsid w:val="002D14A0"/>
    <w:rsid w:val="002D2CD1"/>
    <w:rsid w:val="002D76BF"/>
    <w:rsid w:val="002E05A7"/>
    <w:rsid w:val="002E0A5E"/>
    <w:rsid w:val="002E4213"/>
    <w:rsid w:val="002E584D"/>
    <w:rsid w:val="002E7AE9"/>
    <w:rsid w:val="002F5BA1"/>
    <w:rsid w:val="0030175D"/>
    <w:rsid w:val="00320920"/>
    <w:rsid w:val="003275E6"/>
    <w:rsid w:val="003308B4"/>
    <w:rsid w:val="00331272"/>
    <w:rsid w:val="00331609"/>
    <w:rsid w:val="00331C66"/>
    <w:rsid w:val="00337FA2"/>
    <w:rsid w:val="00342168"/>
    <w:rsid w:val="00346398"/>
    <w:rsid w:val="0035193A"/>
    <w:rsid w:val="00356399"/>
    <w:rsid w:val="00360415"/>
    <w:rsid w:val="00361BA3"/>
    <w:rsid w:val="00370BFB"/>
    <w:rsid w:val="00371179"/>
    <w:rsid w:val="0039089C"/>
    <w:rsid w:val="003969C1"/>
    <w:rsid w:val="003A170C"/>
    <w:rsid w:val="003A7AE5"/>
    <w:rsid w:val="003A7B4D"/>
    <w:rsid w:val="003B05B5"/>
    <w:rsid w:val="003B0966"/>
    <w:rsid w:val="003B0F2C"/>
    <w:rsid w:val="003B0F31"/>
    <w:rsid w:val="003C067E"/>
    <w:rsid w:val="003C0E59"/>
    <w:rsid w:val="003C4955"/>
    <w:rsid w:val="003C66AC"/>
    <w:rsid w:val="003D0042"/>
    <w:rsid w:val="003D22A9"/>
    <w:rsid w:val="003E3931"/>
    <w:rsid w:val="003E7A22"/>
    <w:rsid w:val="003F08D0"/>
    <w:rsid w:val="003F1070"/>
    <w:rsid w:val="003F653E"/>
    <w:rsid w:val="00400BE9"/>
    <w:rsid w:val="004012E0"/>
    <w:rsid w:val="00404984"/>
    <w:rsid w:val="00405124"/>
    <w:rsid w:val="0040633B"/>
    <w:rsid w:val="0041233F"/>
    <w:rsid w:val="004141C5"/>
    <w:rsid w:val="00424253"/>
    <w:rsid w:val="00424A7A"/>
    <w:rsid w:val="00431A29"/>
    <w:rsid w:val="00433D34"/>
    <w:rsid w:val="004376CA"/>
    <w:rsid w:val="004459B3"/>
    <w:rsid w:val="00445D57"/>
    <w:rsid w:val="004465F6"/>
    <w:rsid w:val="00446C02"/>
    <w:rsid w:val="004537EF"/>
    <w:rsid w:val="0045660E"/>
    <w:rsid w:val="00460A6A"/>
    <w:rsid w:val="00460E14"/>
    <w:rsid w:val="004632E3"/>
    <w:rsid w:val="00464E44"/>
    <w:rsid w:val="00466825"/>
    <w:rsid w:val="0046728C"/>
    <w:rsid w:val="00470005"/>
    <w:rsid w:val="0047463E"/>
    <w:rsid w:val="004763DE"/>
    <w:rsid w:val="00483E39"/>
    <w:rsid w:val="004849D4"/>
    <w:rsid w:val="004920B7"/>
    <w:rsid w:val="00493C44"/>
    <w:rsid w:val="004952FE"/>
    <w:rsid w:val="004A54C1"/>
    <w:rsid w:val="004A7172"/>
    <w:rsid w:val="004B0D0A"/>
    <w:rsid w:val="004B70B5"/>
    <w:rsid w:val="004C0F0D"/>
    <w:rsid w:val="004C19AD"/>
    <w:rsid w:val="004C2471"/>
    <w:rsid w:val="004D16E0"/>
    <w:rsid w:val="004D5785"/>
    <w:rsid w:val="004E04D1"/>
    <w:rsid w:val="004E0A89"/>
    <w:rsid w:val="004F0B38"/>
    <w:rsid w:val="004F31E9"/>
    <w:rsid w:val="004F4082"/>
    <w:rsid w:val="004F5634"/>
    <w:rsid w:val="004F6110"/>
    <w:rsid w:val="004F6845"/>
    <w:rsid w:val="004F767F"/>
    <w:rsid w:val="005017D5"/>
    <w:rsid w:val="00502510"/>
    <w:rsid w:val="00503E95"/>
    <w:rsid w:val="00504B4F"/>
    <w:rsid w:val="00505A9D"/>
    <w:rsid w:val="005117F4"/>
    <w:rsid w:val="00522961"/>
    <w:rsid w:val="00525994"/>
    <w:rsid w:val="00530378"/>
    <w:rsid w:val="005324C8"/>
    <w:rsid w:val="00533C75"/>
    <w:rsid w:val="005350C5"/>
    <w:rsid w:val="005365DD"/>
    <w:rsid w:val="00536AB6"/>
    <w:rsid w:val="00537D0A"/>
    <w:rsid w:val="00553E10"/>
    <w:rsid w:val="00556D8D"/>
    <w:rsid w:val="00556EBC"/>
    <w:rsid w:val="0056562F"/>
    <w:rsid w:val="00570B34"/>
    <w:rsid w:val="00575E5F"/>
    <w:rsid w:val="005861BB"/>
    <w:rsid w:val="00595737"/>
    <w:rsid w:val="00596B59"/>
    <w:rsid w:val="005A23AF"/>
    <w:rsid w:val="005B4773"/>
    <w:rsid w:val="005B4812"/>
    <w:rsid w:val="005C0A2D"/>
    <w:rsid w:val="005C1861"/>
    <w:rsid w:val="005C235A"/>
    <w:rsid w:val="005C2E23"/>
    <w:rsid w:val="005C3FFF"/>
    <w:rsid w:val="005C7828"/>
    <w:rsid w:val="005D2CCE"/>
    <w:rsid w:val="005E2142"/>
    <w:rsid w:val="005E27F2"/>
    <w:rsid w:val="005E2A64"/>
    <w:rsid w:val="005E331E"/>
    <w:rsid w:val="005E7152"/>
    <w:rsid w:val="005F0982"/>
    <w:rsid w:val="005F09B2"/>
    <w:rsid w:val="005F22D7"/>
    <w:rsid w:val="00602DCE"/>
    <w:rsid w:val="006036F2"/>
    <w:rsid w:val="00611A05"/>
    <w:rsid w:val="006160ED"/>
    <w:rsid w:val="0062191A"/>
    <w:rsid w:val="00623BA5"/>
    <w:rsid w:val="00623BA9"/>
    <w:rsid w:val="00624B8E"/>
    <w:rsid w:val="0062757C"/>
    <w:rsid w:val="00634126"/>
    <w:rsid w:val="0063450F"/>
    <w:rsid w:val="0063506C"/>
    <w:rsid w:val="00640B54"/>
    <w:rsid w:val="00641471"/>
    <w:rsid w:val="006414C7"/>
    <w:rsid w:val="00643937"/>
    <w:rsid w:val="00646514"/>
    <w:rsid w:val="0064750D"/>
    <w:rsid w:val="00657E33"/>
    <w:rsid w:val="00670228"/>
    <w:rsid w:val="006762A3"/>
    <w:rsid w:val="006857DA"/>
    <w:rsid w:val="0068662F"/>
    <w:rsid w:val="00690628"/>
    <w:rsid w:val="006966EC"/>
    <w:rsid w:val="00696B20"/>
    <w:rsid w:val="00696CFC"/>
    <w:rsid w:val="00697432"/>
    <w:rsid w:val="006A14D2"/>
    <w:rsid w:val="006A3BB3"/>
    <w:rsid w:val="006B1034"/>
    <w:rsid w:val="006B59A1"/>
    <w:rsid w:val="006C1150"/>
    <w:rsid w:val="006C55FB"/>
    <w:rsid w:val="006D0393"/>
    <w:rsid w:val="006D3220"/>
    <w:rsid w:val="006D3F08"/>
    <w:rsid w:val="006D44BE"/>
    <w:rsid w:val="006D7476"/>
    <w:rsid w:val="006F0935"/>
    <w:rsid w:val="006F2231"/>
    <w:rsid w:val="00701880"/>
    <w:rsid w:val="007038E9"/>
    <w:rsid w:val="00706DFE"/>
    <w:rsid w:val="00707263"/>
    <w:rsid w:val="00713378"/>
    <w:rsid w:val="00723E41"/>
    <w:rsid w:val="00724B06"/>
    <w:rsid w:val="0072519E"/>
    <w:rsid w:val="00734944"/>
    <w:rsid w:val="00736FC3"/>
    <w:rsid w:val="00743DAB"/>
    <w:rsid w:val="00744C48"/>
    <w:rsid w:val="007542E2"/>
    <w:rsid w:val="00754964"/>
    <w:rsid w:val="00762C30"/>
    <w:rsid w:val="007630A1"/>
    <w:rsid w:val="007631CF"/>
    <w:rsid w:val="00771F20"/>
    <w:rsid w:val="00774FF0"/>
    <w:rsid w:val="00775A68"/>
    <w:rsid w:val="007778D1"/>
    <w:rsid w:val="007817F2"/>
    <w:rsid w:val="00782499"/>
    <w:rsid w:val="00784A80"/>
    <w:rsid w:val="00791CD0"/>
    <w:rsid w:val="007935A9"/>
    <w:rsid w:val="007977ED"/>
    <w:rsid w:val="007A35AA"/>
    <w:rsid w:val="007A46F5"/>
    <w:rsid w:val="007A6E3D"/>
    <w:rsid w:val="007B0958"/>
    <w:rsid w:val="007B2056"/>
    <w:rsid w:val="007C01F5"/>
    <w:rsid w:val="007C492F"/>
    <w:rsid w:val="007C49CF"/>
    <w:rsid w:val="007C5302"/>
    <w:rsid w:val="007C74CD"/>
    <w:rsid w:val="007D007B"/>
    <w:rsid w:val="007D1FBB"/>
    <w:rsid w:val="007D4101"/>
    <w:rsid w:val="007D49C3"/>
    <w:rsid w:val="007D5D77"/>
    <w:rsid w:val="007D6B97"/>
    <w:rsid w:val="007D6C98"/>
    <w:rsid w:val="007E1392"/>
    <w:rsid w:val="007E29C8"/>
    <w:rsid w:val="007E4EA3"/>
    <w:rsid w:val="007F3BBD"/>
    <w:rsid w:val="007F7737"/>
    <w:rsid w:val="007F7A01"/>
    <w:rsid w:val="008057B6"/>
    <w:rsid w:val="00823503"/>
    <w:rsid w:val="008308AB"/>
    <w:rsid w:val="00846D3F"/>
    <w:rsid w:val="00850D28"/>
    <w:rsid w:val="00851EB8"/>
    <w:rsid w:val="008545C6"/>
    <w:rsid w:val="00856D1D"/>
    <w:rsid w:val="00860AC5"/>
    <w:rsid w:val="00862343"/>
    <w:rsid w:val="00871843"/>
    <w:rsid w:val="00872A51"/>
    <w:rsid w:val="008760EE"/>
    <w:rsid w:val="008831B9"/>
    <w:rsid w:val="0089160C"/>
    <w:rsid w:val="00891937"/>
    <w:rsid w:val="00897CB2"/>
    <w:rsid w:val="008A6514"/>
    <w:rsid w:val="008B157C"/>
    <w:rsid w:val="008C05F5"/>
    <w:rsid w:val="008C1434"/>
    <w:rsid w:val="008C368C"/>
    <w:rsid w:val="008C6AE5"/>
    <w:rsid w:val="008D4EDB"/>
    <w:rsid w:val="008E2214"/>
    <w:rsid w:val="008E3302"/>
    <w:rsid w:val="008F070D"/>
    <w:rsid w:val="009007DE"/>
    <w:rsid w:val="00902C96"/>
    <w:rsid w:val="0090321B"/>
    <w:rsid w:val="00903447"/>
    <w:rsid w:val="009055CF"/>
    <w:rsid w:val="00907031"/>
    <w:rsid w:val="00910864"/>
    <w:rsid w:val="0091152F"/>
    <w:rsid w:val="00914000"/>
    <w:rsid w:val="009142B4"/>
    <w:rsid w:val="0091590C"/>
    <w:rsid w:val="0091794E"/>
    <w:rsid w:val="00921692"/>
    <w:rsid w:val="00921A6E"/>
    <w:rsid w:val="00926DC7"/>
    <w:rsid w:val="009309D3"/>
    <w:rsid w:val="00930F33"/>
    <w:rsid w:val="00940095"/>
    <w:rsid w:val="00941BDE"/>
    <w:rsid w:val="0094332B"/>
    <w:rsid w:val="00944E67"/>
    <w:rsid w:val="00947E08"/>
    <w:rsid w:val="00955696"/>
    <w:rsid w:val="00960BAC"/>
    <w:rsid w:val="0096234F"/>
    <w:rsid w:val="00962C23"/>
    <w:rsid w:val="009638F3"/>
    <w:rsid w:val="009652BB"/>
    <w:rsid w:val="009708CA"/>
    <w:rsid w:val="00982CBF"/>
    <w:rsid w:val="00984E52"/>
    <w:rsid w:val="00990B41"/>
    <w:rsid w:val="00993356"/>
    <w:rsid w:val="009933DC"/>
    <w:rsid w:val="00994272"/>
    <w:rsid w:val="009948CF"/>
    <w:rsid w:val="0099490F"/>
    <w:rsid w:val="009A2B19"/>
    <w:rsid w:val="009B12A8"/>
    <w:rsid w:val="009B6221"/>
    <w:rsid w:val="009C012A"/>
    <w:rsid w:val="009C3874"/>
    <w:rsid w:val="009C5706"/>
    <w:rsid w:val="009D66C7"/>
    <w:rsid w:val="009E3459"/>
    <w:rsid w:val="009E3775"/>
    <w:rsid w:val="009E5ACD"/>
    <w:rsid w:val="009E6043"/>
    <w:rsid w:val="009E7BCD"/>
    <w:rsid w:val="009F2668"/>
    <w:rsid w:val="009F7339"/>
    <w:rsid w:val="00A02D56"/>
    <w:rsid w:val="00A03574"/>
    <w:rsid w:val="00A14A49"/>
    <w:rsid w:val="00A2193C"/>
    <w:rsid w:val="00A21F5A"/>
    <w:rsid w:val="00A2504F"/>
    <w:rsid w:val="00A251DB"/>
    <w:rsid w:val="00A26703"/>
    <w:rsid w:val="00A271D2"/>
    <w:rsid w:val="00A27606"/>
    <w:rsid w:val="00A30C46"/>
    <w:rsid w:val="00A31FCB"/>
    <w:rsid w:val="00A32C3C"/>
    <w:rsid w:val="00A375D5"/>
    <w:rsid w:val="00A456C7"/>
    <w:rsid w:val="00A50A80"/>
    <w:rsid w:val="00A52F26"/>
    <w:rsid w:val="00A61FFA"/>
    <w:rsid w:val="00A63CB5"/>
    <w:rsid w:val="00A65539"/>
    <w:rsid w:val="00A67B8A"/>
    <w:rsid w:val="00A72DED"/>
    <w:rsid w:val="00A84D83"/>
    <w:rsid w:val="00A860F5"/>
    <w:rsid w:val="00A910C5"/>
    <w:rsid w:val="00A94D48"/>
    <w:rsid w:val="00AA1380"/>
    <w:rsid w:val="00AA1FE5"/>
    <w:rsid w:val="00AA44DF"/>
    <w:rsid w:val="00AA4DF5"/>
    <w:rsid w:val="00AA78A2"/>
    <w:rsid w:val="00AB288F"/>
    <w:rsid w:val="00AB3A5C"/>
    <w:rsid w:val="00AB7733"/>
    <w:rsid w:val="00AC1B33"/>
    <w:rsid w:val="00AC3628"/>
    <w:rsid w:val="00AC43DD"/>
    <w:rsid w:val="00AC445E"/>
    <w:rsid w:val="00AC5B0D"/>
    <w:rsid w:val="00AC746D"/>
    <w:rsid w:val="00AD1540"/>
    <w:rsid w:val="00AE2366"/>
    <w:rsid w:val="00AE3DBA"/>
    <w:rsid w:val="00AE5312"/>
    <w:rsid w:val="00AF1C2B"/>
    <w:rsid w:val="00AF254D"/>
    <w:rsid w:val="00AF2F3B"/>
    <w:rsid w:val="00AF33EE"/>
    <w:rsid w:val="00AF4368"/>
    <w:rsid w:val="00AF4C0E"/>
    <w:rsid w:val="00B01F82"/>
    <w:rsid w:val="00B103A0"/>
    <w:rsid w:val="00B11D2D"/>
    <w:rsid w:val="00B234FA"/>
    <w:rsid w:val="00B24409"/>
    <w:rsid w:val="00B257AE"/>
    <w:rsid w:val="00B26C41"/>
    <w:rsid w:val="00B30E22"/>
    <w:rsid w:val="00B314A9"/>
    <w:rsid w:val="00B34300"/>
    <w:rsid w:val="00B5071E"/>
    <w:rsid w:val="00B52E13"/>
    <w:rsid w:val="00B57F7E"/>
    <w:rsid w:val="00B61DDD"/>
    <w:rsid w:val="00B64F8E"/>
    <w:rsid w:val="00B670E4"/>
    <w:rsid w:val="00B6748B"/>
    <w:rsid w:val="00B707CC"/>
    <w:rsid w:val="00B70843"/>
    <w:rsid w:val="00B72CFE"/>
    <w:rsid w:val="00B80719"/>
    <w:rsid w:val="00B80A99"/>
    <w:rsid w:val="00B810B8"/>
    <w:rsid w:val="00B81ECA"/>
    <w:rsid w:val="00B83865"/>
    <w:rsid w:val="00B86519"/>
    <w:rsid w:val="00B904FE"/>
    <w:rsid w:val="00B94F7E"/>
    <w:rsid w:val="00BA2B83"/>
    <w:rsid w:val="00BA2D22"/>
    <w:rsid w:val="00BA3D5E"/>
    <w:rsid w:val="00BA6C99"/>
    <w:rsid w:val="00BA7CB8"/>
    <w:rsid w:val="00BB057C"/>
    <w:rsid w:val="00BC19AB"/>
    <w:rsid w:val="00BC6962"/>
    <w:rsid w:val="00BC6C15"/>
    <w:rsid w:val="00BD2DDB"/>
    <w:rsid w:val="00BE1EE4"/>
    <w:rsid w:val="00BE1FA5"/>
    <w:rsid w:val="00BE4429"/>
    <w:rsid w:val="00BE60DA"/>
    <w:rsid w:val="00BF3D4A"/>
    <w:rsid w:val="00C00BE4"/>
    <w:rsid w:val="00C04946"/>
    <w:rsid w:val="00C06C90"/>
    <w:rsid w:val="00C07041"/>
    <w:rsid w:val="00C0724F"/>
    <w:rsid w:val="00C11093"/>
    <w:rsid w:val="00C124F5"/>
    <w:rsid w:val="00C1374E"/>
    <w:rsid w:val="00C2070F"/>
    <w:rsid w:val="00C20EA0"/>
    <w:rsid w:val="00C22A0E"/>
    <w:rsid w:val="00C25682"/>
    <w:rsid w:val="00C25823"/>
    <w:rsid w:val="00C263E9"/>
    <w:rsid w:val="00C335C7"/>
    <w:rsid w:val="00C35FAB"/>
    <w:rsid w:val="00C37012"/>
    <w:rsid w:val="00C415D5"/>
    <w:rsid w:val="00C41FA2"/>
    <w:rsid w:val="00C43E5B"/>
    <w:rsid w:val="00C4662F"/>
    <w:rsid w:val="00C4713D"/>
    <w:rsid w:val="00C50F41"/>
    <w:rsid w:val="00C52AFD"/>
    <w:rsid w:val="00C576E5"/>
    <w:rsid w:val="00C57F21"/>
    <w:rsid w:val="00C60476"/>
    <w:rsid w:val="00C6082D"/>
    <w:rsid w:val="00C61797"/>
    <w:rsid w:val="00C66D50"/>
    <w:rsid w:val="00C7216B"/>
    <w:rsid w:val="00C7377A"/>
    <w:rsid w:val="00C772DE"/>
    <w:rsid w:val="00C964E4"/>
    <w:rsid w:val="00CA2E45"/>
    <w:rsid w:val="00CA3B58"/>
    <w:rsid w:val="00CB462B"/>
    <w:rsid w:val="00CB4A0D"/>
    <w:rsid w:val="00CB6C04"/>
    <w:rsid w:val="00CB76AF"/>
    <w:rsid w:val="00CC1E93"/>
    <w:rsid w:val="00CC25D0"/>
    <w:rsid w:val="00CD1375"/>
    <w:rsid w:val="00CD6533"/>
    <w:rsid w:val="00CD65D7"/>
    <w:rsid w:val="00CE003D"/>
    <w:rsid w:val="00CE2B25"/>
    <w:rsid w:val="00CE52BF"/>
    <w:rsid w:val="00CF7175"/>
    <w:rsid w:val="00D02F7C"/>
    <w:rsid w:val="00D0561F"/>
    <w:rsid w:val="00D06B94"/>
    <w:rsid w:val="00D0761C"/>
    <w:rsid w:val="00D117D0"/>
    <w:rsid w:val="00D123C2"/>
    <w:rsid w:val="00D12E18"/>
    <w:rsid w:val="00D15532"/>
    <w:rsid w:val="00D16AA2"/>
    <w:rsid w:val="00D1792F"/>
    <w:rsid w:val="00D21417"/>
    <w:rsid w:val="00D2402B"/>
    <w:rsid w:val="00D31E6A"/>
    <w:rsid w:val="00D33795"/>
    <w:rsid w:val="00D3668C"/>
    <w:rsid w:val="00D41317"/>
    <w:rsid w:val="00D41CFC"/>
    <w:rsid w:val="00D42010"/>
    <w:rsid w:val="00D43023"/>
    <w:rsid w:val="00D51661"/>
    <w:rsid w:val="00D538D7"/>
    <w:rsid w:val="00D564C2"/>
    <w:rsid w:val="00D568C3"/>
    <w:rsid w:val="00D5763B"/>
    <w:rsid w:val="00D66045"/>
    <w:rsid w:val="00D81F3E"/>
    <w:rsid w:val="00D90B8C"/>
    <w:rsid w:val="00D91F6E"/>
    <w:rsid w:val="00D921CB"/>
    <w:rsid w:val="00D947C1"/>
    <w:rsid w:val="00DA10E8"/>
    <w:rsid w:val="00DA20F7"/>
    <w:rsid w:val="00DA33C8"/>
    <w:rsid w:val="00DA4FEE"/>
    <w:rsid w:val="00DB5C81"/>
    <w:rsid w:val="00DC1ED8"/>
    <w:rsid w:val="00DC37E8"/>
    <w:rsid w:val="00DC3EFB"/>
    <w:rsid w:val="00DC63ED"/>
    <w:rsid w:val="00DD46C9"/>
    <w:rsid w:val="00DD56F3"/>
    <w:rsid w:val="00DE225F"/>
    <w:rsid w:val="00DE46B9"/>
    <w:rsid w:val="00DE52B8"/>
    <w:rsid w:val="00DE66F1"/>
    <w:rsid w:val="00DF2B1E"/>
    <w:rsid w:val="00DF3604"/>
    <w:rsid w:val="00DF3DC4"/>
    <w:rsid w:val="00E005C6"/>
    <w:rsid w:val="00E01BDC"/>
    <w:rsid w:val="00E043BB"/>
    <w:rsid w:val="00E07DB3"/>
    <w:rsid w:val="00E12368"/>
    <w:rsid w:val="00E30D13"/>
    <w:rsid w:val="00E361E1"/>
    <w:rsid w:val="00E36F72"/>
    <w:rsid w:val="00E40C0B"/>
    <w:rsid w:val="00E4512D"/>
    <w:rsid w:val="00E513EE"/>
    <w:rsid w:val="00E518BE"/>
    <w:rsid w:val="00E535C3"/>
    <w:rsid w:val="00E607FB"/>
    <w:rsid w:val="00E6665E"/>
    <w:rsid w:val="00E67FCA"/>
    <w:rsid w:val="00E72196"/>
    <w:rsid w:val="00E74203"/>
    <w:rsid w:val="00E93058"/>
    <w:rsid w:val="00EA4F03"/>
    <w:rsid w:val="00EB08A3"/>
    <w:rsid w:val="00EB20D1"/>
    <w:rsid w:val="00EB2137"/>
    <w:rsid w:val="00EB27DF"/>
    <w:rsid w:val="00EB4C53"/>
    <w:rsid w:val="00EB5515"/>
    <w:rsid w:val="00EB6C04"/>
    <w:rsid w:val="00EC53AE"/>
    <w:rsid w:val="00EC6B1E"/>
    <w:rsid w:val="00EC6C94"/>
    <w:rsid w:val="00ED64EC"/>
    <w:rsid w:val="00EE254A"/>
    <w:rsid w:val="00EF14AC"/>
    <w:rsid w:val="00EF181D"/>
    <w:rsid w:val="00EF3554"/>
    <w:rsid w:val="00EF57A1"/>
    <w:rsid w:val="00F037CE"/>
    <w:rsid w:val="00F12AC3"/>
    <w:rsid w:val="00F14FF6"/>
    <w:rsid w:val="00F21448"/>
    <w:rsid w:val="00F22A98"/>
    <w:rsid w:val="00F253CD"/>
    <w:rsid w:val="00F25FF0"/>
    <w:rsid w:val="00F30413"/>
    <w:rsid w:val="00F315DB"/>
    <w:rsid w:val="00F4440D"/>
    <w:rsid w:val="00F503A9"/>
    <w:rsid w:val="00F533BD"/>
    <w:rsid w:val="00F70310"/>
    <w:rsid w:val="00F715EC"/>
    <w:rsid w:val="00F7293C"/>
    <w:rsid w:val="00F73387"/>
    <w:rsid w:val="00F7392D"/>
    <w:rsid w:val="00F76327"/>
    <w:rsid w:val="00F839E9"/>
    <w:rsid w:val="00F9179D"/>
    <w:rsid w:val="00F92720"/>
    <w:rsid w:val="00F92968"/>
    <w:rsid w:val="00FB2036"/>
    <w:rsid w:val="00FB532F"/>
    <w:rsid w:val="00FB7C9E"/>
    <w:rsid w:val="00FC2894"/>
    <w:rsid w:val="00FC6185"/>
    <w:rsid w:val="00FD196D"/>
    <w:rsid w:val="00FD2D3C"/>
    <w:rsid w:val="00FD58E6"/>
    <w:rsid w:val="00FE4A17"/>
    <w:rsid w:val="00FF1D82"/>
    <w:rsid w:val="00FF2C8C"/>
    <w:rsid w:val="00FF36B1"/>
    <w:rsid w:val="00FF4F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7F28FF"/>
  <w15:chartTrackingRefBased/>
  <w15:docId w15:val="{23FD91A0-641C-49C8-B56E-DCB2ADB973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415D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B80719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B80719"/>
  </w:style>
  <w:style w:type="paragraph" w:styleId="Piedepgina">
    <w:name w:val="footer"/>
    <w:basedOn w:val="Normal"/>
    <w:link w:val="PiedepginaCar"/>
    <w:uiPriority w:val="99"/>
    <w:unhideWhenUsed/>
    <w:rsid w:val="00B80719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B80719"/>
  </w:style>
  <w:style w:type="paragraph" w:styleId="Prrafodelista">
    <w:name w:val="List Paragraph"/>
    <w:aliases w:val="LISTA,Ha,Resume Title,Bullet List,FooterText,numbered,List Paragraph1,Paragraphe de liste1,lp1,HOJA,Colorful List Accent 1,Colorful List - Accent 11,titulo 3,Bolita,Párrafo de lista4,BOLADEF,Párrafo de lista3,Párrafo de lista21,BOLA"/>
    <w:basedOn w:val="Normal"/>
    <w:link w:val="PrrafodelistaCar"/>
    <w:uiPriority w:val="1"/>
    <w:qFormat/>
    <w:rsid w:val="004D5785"/>
    <w:pPr>
      <w:ind w:left="720"/>
      <w:contextualSpacing/>
    </w:pPr>
  </w:style>
  <w:style w:type="character" w:customStyle="1" w:styleId="PrrafodelistaCar">
    <w:name w:val="Párrafo de lista Car"/>
    <w:aliases w:val="LISTA Car,Ha Car,Resume Title Car,Bullet List Car,FooterText Car,numbered Car,List Paragraph1 Car,Paragraphe de liste1 Car,lp1 Car,HOJA Car,Colorful List Accent 1 Car,Colorful List - Accent 11 Car,titulo 3 Car,Bolita Car,BOLADEF Car"/>
    <w:link w:val="Prrafodelista"/>
    <w:uiPriority w:val="34"/>
    <w:qFormat/>
    <w:locked/>
    <w:rsid w:val="004D5785"/>
    <w:rPr>
      <w:rFonts w:ascii="Times New Roman" w:eastAsia="Times New Roman" w:hAnsi="Times New Roman" w:cs="Times New Roman"/>
      <w:sz w:val="24"/>
      <w:szCs w:val="24"/>
      <w:lang w:eastAsia="es-CO"/>
    </w:rPr>
  </w:style>
  <w:style w:type="character" w:customStyle="1" w:styleId="SinespaciadoCar">
    <w:name w:val="Sin espaciado Car"/>
    <w:link w:val="Sinespaciado"/>
    <w:uiPriority w:val="1"/>
    <w:qFormat/>
    <w:rsid w:val="00271493"/>
    <w:rPr>
      <w:rFonts w:ascii="Times New Roman" w:eastAsia="Times New Roman" w:hAnsi="Times New Roman" w:cs="Times New Roman"/>
      <w:lang w:val="es-ES"/>
    </w:rPr>
  </w:style>
  <w:style w:type="paragraph" w:styleId="Sinespaciado">
    <w:name w:val="No Spacing"/>
    <w:link w:val="SinespaciadoCar"/>
    <w:uiPriority w:val="1"/>
    <w:qFormat/>
    <w:rsid w:val="00271493"/>
    <w:pPr>
      <w:spacing w:after="0" w:line="240" w:lineRule="auto"/>
    </w:pPr>
    <w:rPr>
      <w:rFonts w:ascii="Times New Roman" w:eastAsia="Times New Roman" w:hAnsi="Times New Roman" w:cs="Times New Roman"/>
      <w:lang w:val="es-ES"/>
    </w:rPr>
  </w:style>
  <w:style w:type="table" w:customStyle="1" w:styleId="TableNormal">
    <w:name w:val="Table Normal"/>
    <w:uiPriority w:val="2"/>
    <w:semiHidden/>
    <w:unhideWhenUsed/>
    <w:qFormat/>
    <w:rsid w:val="00B52E13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B52E13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val="es-ES" w:eastAsia="en-US"/>
    </w:rPr>
  </w:style>
  <w:style w:type="character" w:styleId="Hipervnculo">
    <w:name w:val="Hyperlink"/>
    <w:basedOn w:val="Fuentedeprrafopredeter"/>
    <w:uiPriority w:val="99"/>
    <w:semiHidden/>
    <w:unhideWhenUsed/>
    <w:rsid w:val="004920B7"/>
    <w:rPr>
      <w:color w:val="0563C1"/>
      <w:u w:val="single"/>
    </w:rPr>
  </w:style>
  <w:style w:type="character" w:styleId="Hipervnculovisitado">
    <w:name w:val="FollowedHyperlink"/>
    <w:basedOn w:val="Fuentedeprrafopredeter"/>
    <w:uiPriority w:val="99"/>
    <w:semiHidden/>
    <w:unhideWhenUsed/>
    <w:rsid w:val="004920B7"/>
    <w:rPr>
      <w:color w:val="954F72"/>
      <w:u w:val="single"/>
    </w:rPr>
  </w:style>
  <w:style w:type="paragraph" w:customStyle="1" w:styleId="xl64">
    <w:name w:val="xl64"/>
    <w:basedOn w:val="Normal"/>
    <w:rsid w:val="0049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5">
    <w:name w:val="xl65"/>
    <w:basedOn w:val="Normal"/>
    <w:rsid w:val="0049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Normal"/>
    <w:rsid w:val="0049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</w:rPr>
  </w:style>
  <w:style w:type="paragraph" w:customStyle="1" w:styleId="xl67">
    <w:name w:val="xl67"/>
    <w:basedOn w:val="Normal"/>
    <w:rsid w:val="0049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Normal"/>
    <w:rsid w:val="0049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9">
    <w:name w:val="xl69"/>
    <w:basedOn w:val="Normal"/>
    <w:rsid w:val="0049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</w:rPr>
  </w:style>
  <w:style w:type="paragraph" w:customStyle="1" w:styleId="xl70">
    <w:name w:val="xl70"/>
    <w:basedOn w:val="Normal"/>
    <w:rsid w:val="004920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b/>
      <w:bCs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4632E3"/>
    <w:rPr>
      <w:rFonts w:ascii="Segoe UI" w:eastAsia="Calibri" w:hAnsi="Segoe UI" w:cs="Segoe UI"/>
      <w:sz w:val="18"/>
      <w:szCs w:val="18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632E3"/>
    <w:rPr>
      <w:rFonts w:ascii="Segoe UI" w:eastAsia="Calibri" w:hAnsi="Segoe UI" w:cs="Segoe UI"/>
      <w:sz w:val="18"/>
      <w:szCs w:val="18"/>
    </w:rPr>
  </w:style>
  <w:style w:type="paragraph" w:styleId="NormalWeb">
    <w:name w:val="Normal (Web)"/>
    <w:basedOn w:val="Normal"/>
    <w:rsid w:val="0030175D"/>
    <w:pPr>
      <w:suppressAutoHyphens/>
      <w:autoSpaceDN w:val="0"/>
      <w:spacing w:before="100" w:after="100"/>
      <w:textAlignment w:val="baseline"/>
    </w:pPr>
    <w:rPr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804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1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7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4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8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2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071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8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1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33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1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68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8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5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0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5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5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0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32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67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2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0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42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76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3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3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207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76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9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6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7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3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13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96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83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8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6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09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16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90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59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0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3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65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1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2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470</Words>
  <Characters>2590</Characters>
  <Application>Microsoft Office Word</Application>
  <DocSecurity>0</DocSecurity>
  <Lines>21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Garzon Gonzalez, Jose Aldemar</dc:creator>
  <cp:keywords/>
  <dc:description/>
  <cp:lastModifiedBy>John Alejandro Jaramillo Santa</cp:lastModifiedBy>
  <cp:revision>2</cp:revision>
  <dcterms:created xsi:type="dcterms:W3CDTF">2024-04-18T22:16:00Z</dcterms:created>
  <dcterms:modified xsi:type="dcterms:W3CDTF">2024-04-18T22:16:00Z</dcterms:modified>
</cp:coreProperties>
</file>