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B9A44" w14:textId="3C8C1EEF" w:rsidR="00861526" w:rsidRDefault="00861526" w:rsidP="00861526">
      <w:pPr>
        <w:ind w:left="720" w:hanging="360"/>
        <w:jc w:val="center"/>
        <w:rPr>
          <w:rFonts w:ascii="Arial" w:hAnsi="Arial" w:cs="Arial"/>
          <w:sz w:val="24"/>
          <w:szCs w:val="24"/>
        </w:rPr>
      </w:pPr>
      <w:r w:rsidRPr="00861526">
        <w:rPr>
          <w:rFonts w:ascii="Arial" w:hAnsi="Arial" w:cs="Arial"/>
          <w:sz w:val="24"/>
          <w:szCs w:val="24"/>
        </w:rPr>
        <w:t>Proposición 1231 de 2025</w:t>
      </w:r>
    </w:p>
    <w:p w14:paraId="668B923C" w14:textId="77777777" w:rsidR="00614AD6" w:rsidRPr="00861526" w:rsidRDefault="00614AD6" w:rsidP="00861526">
      <w:pPr>
        <w:ind w:left="720" w:hanging="360"/>
        <w:jc w:val="center"/>
        <w:rPr>
          <w:rFonts w:ascii="Arial" w:hAnsi="Arial" w:cs="Arial"/>
          <w:sz w:val="24"/>
          <w:szCs w:val="24"/>
        </w:rPr>
      </w:pPr>
    </w:p>
    <w:p w14:paraId="782C027E" w14:textId="5A0F5B3B" w:rsidR="007B0AA3" w:rsidRPr="007B0AA3" w:rsidRDefault="007B0AA3" w:rsidP="007B0AA3">
      <w:pPr>
        <w:pStyle w:val="Prrafodelista"/>
        <w:numPr>
          <w:ilvl w:val="0"/>
          <w:numId w:val="2"/>
        </w:numPr>
        <w:jc w:val="both"/>
        <w:rPr>
          <w:rFonts w:ascii="Arial" w:hAnsi="Arial" w:cs="Arial"/>
          <w:b/>
          <w:bCs/>
          <w:sz w:val="24"/>
          <w:szCs w:val="24"/>
        </w:rPr>
      </w:pPr>
      <w:r w:rsidRPr="007B0AA3">
        <w:rPr>
          <w:rFonts w:ascii="Arial" w:hAnsi="Arial" w:cs="Arial"/>
          <w:b/>
          <w:bCs/>
          <w:sz w:val="24"/>
          <w:szCs w:val="24"/>
        </w:rPr>
        <w:t xml:space="preserve">¿Cuál ha sido la inversión del Distrito para la promoción de prevención temprana de enfermedades cardiovasculares? Detalle los programas, eventos, o jornadas que se hayan desarrollado para la prevención y promoción del cuidado para la detección temprana de enfermedades cardiovasculares de la población del Distrito de Bogotá, y la forma de ejecución del presupuesto en cada uno de ellos. </w:t>
      </w:r>
    </w:p>
    <w:p w14:paraId="3A0765E7" w14:textId="37F28029" w:rsidR="007B0AA3" w:rsidRPr="007B0AA3" w:rsidRDefault="007B0AA3" w:rsidP="007B0AA3">
      <w:pPr>
        <w:ind w:left="360"/>
        <w:jc w:val="both"/>
        <w:rPr>
          <w:rFonts w:ascii="Arial" w:hAnsi="Arial" w:cs="Arial"/>
          <w:b/>
          <w:bCs/>
          <w:sz w:val="24"/>
          <w:szCs w:val="24"/>
        </w:rPr>
      </w:pPr>
      <w:r w:rsidRPr="007B0AA3">
        <w:rPr>
          <w:rFonts w:ascii="Arial" w:hAnsi="Arial" w:cs="Arial"/>
          <w:b/>
          <w:bCs/>
          <w:sz w:val="24"/>
          <w:szCs w:val="24"/>
        </w:rPr>
        <w:t>Respuesta:</w:t>
      </w:r>
    </w:p>
    <w:p w14:paraId="69E98C48" w14:textId="39D1BBAE" w:rsidR="00174CB9" w:rsidRDefault="007B0AA3" w:rsidP="007B0AA3">
      <w:pPr>
        <w:ind w:left="360"/>
        <w:jc w:val="both"/>
        <w:rPr>
          <w:rFonts w:ascii="Arial" w:hAnsi="Arial" w:cs="Arial"/>
          <w:sz w:val="24"/>
          <w:szCs w:val="24"/>
        </w:rPr>
      </w:pPr>
      <w:r w:rsidRPr="004009A2">
        <w:rPr>
          <w:rFonts w:ascii="Arial" w:hAnsi="Arial" w:cs="Arial"/>
          <w:sz w:val="24"/>
          <w:szCs w:val="24"/>
        </w:rPr>
        <w:t>L</w:t>
      </w:r>
      <w:r w:rsidRPr="004330DA">
        <w:rPr>
          <w:rFonts w:ascii="Arial" w:hAnsi="Arial" w:cs="Arial"/>
          <w:sz w:val="24"/>
          <w:szCs w:val="24"/>
        </w:rPr>
        <w:t>a Subred Integrada de Servicios de Salud Sur E.S.E. ha destinado recursos técnicos</w:t>
      </w:r>
      <w:r w:rsidR="00174CB9">
        <w:rPr>
          <w:rFonts w:ascii="Arial" w:hAnsi="Arial" w:cs="Arial"/>
          <w:sz w:val="24"/>
          <w:szCs w:val="24"/>
        </w:rPr>
        <w:t xml:space="preserve"> y</w:t>
      </w:r>
      <w:r w:rsidRPr="004330DA">
        <w:rPr>
          <w:rFonts w:ascii="Arial" w:hAnsi="Arial" w:cs="Arial"/>
          <w:sz w:val="24"/>
          <w:szCs w:val="24"/>
        </w:rPr>
        <w:t xml:space="preserve"> </w:t>
      </w:r>
      <w:r w:rsidR="00174CB9">
        <w:rPr>
          <w:rFonts w:ascii="Arial" w:hAnsi="Arial" w:cs="Arial"/>
          <w:sz w:val="24"/>
          <w:szCs w:val="24"/>
        </w:rPr>
        <w:t xml:space="preserve">financieros </w:t>
      </w:r>
      <w:r w:rsidRPr="004330DA">
        <w:rPr>
          <w:rFonts w:ascii="Arial" w:hAnsi="Arial" w:cs="Arial"/>
          <w:sz w:val="24"/>
          <w:szCs w:val="24"/>
        </w:rPr>
        <w:t>orientados a fortalecer la promoción, prevención y detección temprana de enfermedades cardiovasculares, en el marco de</w:t>
      </w:r>
      <w:r w:rsidR="00A7045A">
        <w:rPr>
          <w:rFonts w:ascii="Arial" w:hAnsi="Arial" w:cs="Arial"/>
          <w:sz w:val="24"/>
          <w:szCs w:val="24"/>
        </w:rPr>
        <w:t xml:space="preserve"> </w:t>
      </w:r>
      <w:r w:rsidRPr="004330DA">
        <w:rPr>
          <w:rFonts w:ascii="Arial" w:hAnsi="Arial" w:cs="Arial"/>
          <w:sz w:val="24"/>
          <w:szCs w:val="24"/>
        </w:rPr>
        <w:t>l</w:t>
      </w:r>
      <w:r w:rsidR="00A7045A">
        <w:rPr>
          <w:rFonts w:ascii="Arial" w:hAnsi="Arial" w:cs="Arial"/>
          <w:sz w:val="24"/>
          <w:szCs w:val="24"/>
        </w:rPr>
        <w:t>as atenciones individuales y c</w:t>
      </w:r>
      <w:r w:rsidRPr="004330DA">
        <w:rPr>
          <w:rFonts w:ascii="Arial" w:hAnsi="Arial" w:cs="Arial"/>
          <w:sz w:val="24"/>
          <w:szCs w:val="24"/>
        </w:rPr>
        <w:t xml:space="preserve">olectivas </w:t>
      </w:r>
      <w:r w:rsidR="00A7045A">
        <w:rPr>
          <w:rFonts w:ascii="Arial" w:hAnsi="Arial" w:cs="Arial"/>
          <w:sz w:val="24"/>
          <w:szCs w:val="24"/>
        </w:rPr>
        <w:t>orientadas a la</w:t>
      </w:r>
      <w:r w:rsidR="00A7045A" w:rsidRPr="004330DA">
        <w:rPr>
          <w:rFonts w:ascii="Arial" w:hAnsi="Arial" w:cs="Arial"/>
          <w:sz w:val="24"/>
          <w:szCs w:val="24"/>
        </w:rPr>
        <w:t xml:space="preserve"> gestión del riesgo </w:t>
      </w:r>
      <w:r w:rsidRPr="004330DA">
        <w:rPr>
          <w:rFonts w:ascii="Arial" w:hAnsi="Arial" w:cs="Arial"/>
          <w:sz w:val="24"/>
          <w:szCs w:val="24"/>
        </w:rPr>
        <w:t>en Enfermedades Crónicas No Transmisibles (ECNT).</w:t>
      </w:r>
      <w:r w:rsidR="00174CB9">
        <w:rPr>
          <w:rFonts w:ascii="Arial" w:hAnsi="Arial" w:cs="Arial"/>
          <w:sz w:val="24"/>
          <w:szCs w:val="24"/>
        </w:rPr>
        <w:t xml:space="preserve"> En cuanto a las acciones individuales la Subred cuenta con prestación de servicios ambulatorios en el marco de los contratos con las EAPB que contemplan aspectos del Modelo de salud MAS Bienestar. En un ejercicio propio de la Subred </w:t>
      </w:r>
      <w:r w:rsidR="001136A8">
        <w:rPr>
          <w:rFonts w:ascii="Arial" w:hAnsi="Arial" w:cs="Arial"/>
          <w:sz w:val="24"/>
          <w:szCs w:val="24"/>
        </w:rPr>
        <w:t>e</w:t>
      </w:r>
      <w:r w:rsidR="008407C5">
        <w:rPr>
          <w:rFonts w:ascii="Arial" w:hAnsi="Arial" w:cs="Arial"/>
          <w:sz w:val="24"/>
          <w:szCs w:val="24"/>
        </w:rPr>
        <w:t>n</w:t>
      </w:r>
      <w:r w:rsidR="001136A8">
        <w:rPr>
          <w:rFonts w:ascii="Arial" w:hAnsi="Arial" w:cs="Arial"/>
          <w:sz w:val="24"/>
          <w:szCs w:val="24"/>
        </w:rPr>
        <w:t xml:space="preserve"> el año 2022 </w:t>
      </w:r>
      <w:r w:rsidR="00174CB9">
        <w:rPr>
          <w:rFonts w:ascii="Arial" w:hAnsi="Arial" w:cs="Arial"/>
          <w:sz w:val="24"/>
          <w:szCs w:val="24"/>
        </w:rPr>
        <w:t xml:space="preserve">se </w:t>
      </w:r>
      <w:r w:rsidR="008407C5">
        <w:rPr>
          <w:rFonts w:ascii="Arial" w:hAnsi="Arial" w:cs="Arial"/>
          <w:sz w:val="24"/>
          <w:szCs w:val="24"/>
        </w:rPr>
        <w:t>costeó</w:t>
      </w:r>
      <w:r w:rsidR="00174CB9">
        <w:rPr>
          <w:rFonts w:ascii="Arial" w:hAnsi="Arial" w:cs="Arial"/>
          <w:sz w:val="24"/>
          <w:szCs w:val="24"/>
        </w:rPr>
        <w:t xml:space="preserve"> la </w:t>
      </w:r>
      <w:r w:rsidR="004764BE">
        <w:rPr>
          <w:rFonts w:ascii="Arial" w:hAnsi="Arial" w:cs="Arial"/>
          <w:sz w:val="24"/>
          <w:szCs w:val="24"/>
        </w:rPr>
        <w:t>R</w:t>
      </w:r>
      <w:r w:rsidR="00174CB9">
        <w:rPr>
          <w:rFonts w:ascii="Arial" w:hAnsi="Arial" w:cs="Arial"/>
          <w:sz w:val="24"/>
          <w:szCs w:val="24"/>
        </w:rPr>
        <w:t xml:space="preserve">uta </w:t>
      </w:r>
      <w:r w:rsidR="004764BE">
        <w:rPr>
          <w:rFonts w:ascii="Arial" w:hAnsi="Arial" w:cs="Arial"/>
          <w:sz w:val="24"/>
          <w:szCs w:val="24"/>
        </w:rPr>
        <w:t>de enfermedades respiratorias crónicas (costo promedio usuario $</w:t>
      </w:r>
      <w:r w:rsidR="004764BE" w:rsidRPr="004764BE">
        <w:rPr>
          <w:rFonts w:ascii="Arial" w:hAnsi="Arial" w:cs="Arial"/>
          <w:sz w:val="24"/>
          <w:szCs w:val="24"/>
        </w:rPr>
        <w:t>757</w:t>
      </w:r>
      <w:r w:rsidR="004764BE">
        <w:rPr>
          <w:rFonts w:ascii="Arial" w:hAnsi="Arial" w:cs="Arial"/>
          <w:sz w:val="24"/>
          <w:szCs w:val="24"/>
        </w:rPr>
        <w:t>.</w:t>
      </w:r>
      <w:r w:rsidR="004764BE" w:rsidRPr="004764BE">
        <w:rPr>
          <w:rFonts w:ascii="Arial" w:hAnsi="Arial" w:cs="Arial"/>
          <w:sz w:val="24"/>
          <w:szCs w:val="24"/>
        </w:rPr>
        <w:t>126</w:t>
      </w:r>
      <w:r w:rsidR="004764BE">
        <w:rPr>
          <w:rFonts w:ascii="Arial" w:hAnsi="Arial" w:cs="Arial"/>
          <w:sz w:val="24"/>
          <w:szCs w:val="24"/>
        </w:rPr>
        <w:t xml:space="preserve">) y la Ruta </w:t>
      </w:r>
      <w:r w:rsidR="00174CB9">
        <w:rPr>
          <w:rFonts w:ascii="Arial" w:hAnsi="Arial" w:cs="Arial"/>
          <w:sz w:val="24"/>
          <w:szCs w:val="24"/>
        </w:rPr>
        <w:t xml:space="preserve">cardio cerebro vascular y metabólica </w:t>
      </w:r>
      <w:r w:rsidR="004764BE">
        <w:rPr>
          <w:rFonts w:ascii="Arial" w:hAnsi="Arial" w:cs="Arial"/>
          <w:sz w:val="24"/>
          <w:szCs w:val="24"/>
        </w:rPr>
        <w:t xml:space="preserve">(costo promedio usuario $951.223) </w:t>
      </w:r>
      <w:r w:rsidR="00174CB9">
        <w:rPr>
          <w:rFonts w:ascii="Arial" w:hAnsi="Arial" w:cs="Arial"/>
          <w:sz w:val="24"/>
          <w:szCs w:val="24"/>
        </w:rPr>
        <w:t>tomando como guía las atenciones que incluyen estos contratos</w:t>
      </w:r>
      <w:r w:rsidR="004764BE">
        <w:rPr>
          <w:rFonts w:ascii="Arial" w:hAnsi="Arial" w:cs="Arial"/>
          <w:sz w:val="24"/>
          <w:szCs w:val="24"/>
        </w:rPr>
        <w:t xml:space="preserve"> y el alto riesgo</w:t>
      </w:r>
      <w:r w:rsidR="00174CB9">
        <w:rPr>
          <w:rFonts w:ascii="Arial" w:hAnsi="Arial" w:cs="Arial"/>
          <w:sz w:val="24"/>
          <w:szCs w:val="24"/>
        </w:rPr>
        <w:t xml:space="preserve">, </w:t>
      </w:r>
      <w:r w:rsidR="004764BE">
        <w:rPr>
          <w:rFonts w:ascii="Arial" w:hAnsi="Arial" w:cs="Arial"/>
          <w:sz w:val="24"/>
          <w:szCs w:val="24"/>
        </w:rPr>
        <w:t xml:space="preserve">lo que permite con detalle identificar de manera básica el costo de la atención de </w:t>
      </w:r>
      <w:r w:rsidR="002F7EBF">
        <w:rPr>
          <w:rFonts w:ascii="Arial" w:hAnsi="Arial" w:cs="Arial"/>
          <w:sz w:val="24"/>
          <w:szCs w:val="24"/>
        </w:rPr>
        <w:t>la persona</w:t>
      </w:r>
      <w:r w:rsidR="004764BE">
        <w:rPr>
          <w:rFonts w:ascii="Arial" w:hAnsi="Arial" w:cs="Arial"/>
          <w:sz w:val="24"/>
          <w:szCs w:val="24"/>
        </w:rPr>
        <w:t xml:space="preserve"> con</w:t>
      </w:r>
      <w:r w:rsidR="002F7EBF">
        <w:rPr>
          <w:rFonts w:ascii="Arial" w:hAnsi="Arial" w:cs="Arial"/>
          <w:sz w:val="24"/>
          <w:szCs w:val="24"/>
        </w:rPr>
        <w:t xml:space="preserve"> diagnósticos de patología crónica en</w:t>
      </w:r>
      <w:r w:rsidR="004764BE">
        <w:rPr>
          <w:rFonts w:ascii="Arial" w:hAnsi="Arial" w:cs="Arial"/>
          <w:sz w:val="24"/>
          <w:szCs w:val="24"/>
        </w:rPr>
        <w:t xml:space="preserve"> promedio. Sin embargo, es de resaltar que la dinámica</w:t>
      </w:r>
      <w:r w:rsidR="002F7EBF">
        <w:rPr>
          <w:rFonts w:ascii="Arial" w:hAnsi="Arial" w:cs="Arial"/>
          <w:sz w:val="24"/>
          <w:szCs w:val="24"/>
        </w:rPr>
        <w:t xml:space="preserve"> de este ejercicio técnico</w:t>
      </w:r>
      <w:r w:rsidR="004764BE">
        <w:rPr>
          <w:rFonts w:ascii="Arial" w:hAnsi="Arial" w:cs="Arial"/>
          <w:sz w:val="24"/>
          <w:szCs w:val="24"/>
        </w:rPr>
        <w:t xml:space="preserve"> cambia de acuerdo al riesgo acumulado de la persona, tipo de contrato con la EAPB, IPS asignadas para ciertas patologías a las que se deriva por parte de la EAPB</w:t>
      </w:r>
      <w:r w:rsidR="00C91D88">
        <w:rPr>
          <w:rFonts w:ascii="Arial" w:hAnsi="Arial" w:cs="Arial"/>
          <w:sz w:val="24"/>
          <w:szCs w:val="24"/>
        </w:rPr>
        <w:t xml:space="preserve"> y demás novedades que están relacionadas con la capacidad de respuesta.</w:t>
      </w:r>
    </w:p>
    <w:p w14:paraId="25C4AE90" w14:textId="464D055F" w:rsidR="007B0AA3" w:rsidRDefault="00174CB9" w:rsidP="007B0AA3">
      <w:pPr>
        <w:ind w:left="360"/>
        <w:jc w:val="both"/>
        <w:rPr>
          <w:rFonts w:ascii="Arial" w:hAnsi="Arial" w:cs="Arial"/>
          <w:sz w:val="24"/>
          <w:szCs w:val="24"/>
        </w:rPr>
      </w:pPr>
      <w:r>
        <w:rPr>
          <w:rFonts w:ascii="Arial" w:hAnsi="Arial" w:cs="Arial"/>
          <w:sz w:val="24"/>
          <w:szCs w:val="24"/>
        </w:rPr>
        <w:t>Por otra parte, se realizan acciones colectivas y/o atenciones extramurales a través de convenios interadministrativos con la Secretaria Distrital de Salud.</w:t>
      </w:r>
    </w:p>
    <w:p w14:paraId="7D2707F5" w14:textId="5500968E" w:rsidR="00174CB9" w:rsidRDefault="00174CB9" w:rsidP="00174CB9">
      <w:pPr>
        <w:ind w:left="360"/>
        <w:jc w:val="both"/>
        <w:rPr>
          <w:rFonts w:ascii="Arial" w:hAnsi="Arial" w:cs="Arial"/>
          <w:sz w:val="24"/>
          <w:szCs w:val="24"/>
        </w:rPr>
      </w:pPr>
      <w:r w:rsidRPr="00174CB9">
        <w:rPr>
          <w:rFonts w:ascii="Arial" w:hAnsi="Arial" w:cs="Arial"/>
          <w:sz w:val="24"/>
          <w:szCs w:val="24"/>
        </w:rPr>
        <w:t>Particularmente</w:t>
      </w:r>
      <w:r w:rsidR="004764BE">
        <w:rPr>
          <w:rFonts w:ascii="Arial" w:hAnsi="Arial" w:cs="Arial"/>
          <w:sz w:val="24"/>
          <w:szCs w:val="24"/>
        </w:rPr>
        <w:t>,</w:t>
      </w:r>
      <w:r w:rsidRPr="00174CB9">
        <w:rPr>
          <w:rFonts w:ascii="Arial" w:hAnsi="Arial" w:cs="Arial"/>
          <w:sz w:val="24"/>
          <w:szCs w:val="24"/>
        </w:rPr>
        <w:t xml:space="preserve"> para el convenio de Plan de Salud Pública de Intervenciones Colectivas la ejecución del convenio 4174_2024 suscritos entre el FFDS y la Subred Integrada de Servicios de Salud Sur E.S.E. en lo relacionado a la implementación del Plan de Salud Pública de Intervenciones Colectivas (PSPIC) en lo que va corrido del año 2025 se han destinado y ejecutado un total de $ 57.430.276,24 con corte a 30 de septiembre del mismo año para el abordaje de Acciones integrales de la población expuesta y/o afectada por condiciones crónicas. </w:t>
      </w:r>
    </w:p>
    <w:p w14:paraId="1E4682A4" w14:textId="0BEC38E0" w:rsidR="002F7EBF" w:rsidRDefault="002F7EBF" w:rsidP="002F7EBF">
      <w:pPr>
        <w:ind w:left="360"/>
        <w:jc w:val="both"/>
        <w:rPr>
          <w:rFonts w:ascii="Arial" w:hAnsi="Arial" w:cs="Arial"/>
          <w:sz w:val="24"/>
          <w:szCs w:val="24"/>
        </w:rPr>
      </w:pPr>
      <w:r w:rsidRPr="00174CB9">
        <w:rPr>
          <w:rFonts w:ascii="Arial" w:hAnsi="Arial" w:cs="Arial"/>
          <w:sz w:val="24"/>
          <w:szCs w:val="24"/>
        </w:rPr>
        <w:t>Dichas acciones son encaminadas a fortalecer las capacidades técnicas del talento humano en salud con relación a la promoción de la salud, detección y prevención de enfermedades cardiovasculares y cáncer que dan lugar a brindar una atención en salud con calidad y promoviendo el mejoramiento de la calidad de vida de nuestros usuarios. Así mismo se han desarrollado Jornadas en temas relacionados con las enfermedades cardiovasculares haciendo acciones intensificadas dirigidas a la comunidad y el talento humano con información de prevención frente a estos eventos, en las que se ha realizado abordaje desde los diferentes entornos cuidadores y procesos transversales en busca de lograr una cobertura importante de personas intervenidas en las cuatro localidades de la Subred Integrada de Servicios de Salud Sur E.S.E.</w:t>
      </w:r>
    </w:p>
    <w:p w14:paraId="004E9F41" w14:textId="634024BA" w:rsidR="002F7EBF" w:rsidRDefault="002F7EBF" w:rsidP="002F7EBF">
      <w:pPr>
        <w:ind w:left="360"/>
        <w:jc w:val="both"/>
        <w:rPr>
          <w:rFonts w:ascii="Arial" w:hAnsi="Arial" w:cs="Arial"/>
          <w:sz w:val="24"/>
          <w:szCs w:val="24"/>
        </w:rPr>
      </w:pPr>
    </w:p>
    <w:p w14:paraId="301EDCC4" w14:textId="56F18E48" w:rsidR="002F7EBF" w:rsidRPr="004009A2" w:rsidRDefault="002F7EBF" w:rsidP="004B64EA">
      <w:pPr>
        <w:ind w:firstLine="360"/>
        <w:jc w:val="both"/>
        <w:rPr>
          <w:rFonts w:ascii="Arial" w:hAnsi="Arial" w:cs="Arial"/>
          <w:sz w:val="24"/>
          <w:szCs w:val="24"/>
        </w:rPr>
      </w:pPr>
      <w:r>
        <w:rPr>
          <w:rFonts w:ascii="Arial" w:hAnsi="Arial" w:cs="Arial"/>
          <w:sz w:val="24"/>
          <w:szCs w:val="24"/>
        </w:rPr>
        <w:t>A nivel general se resaltan las siguientes</w:t>
      </w:r>
      <w:r w:rsidRPr="004009A2">
        <w:rPr>
          <w:rFonts w:ascii="Arial" w:hAnsi="Arial" w:cs="Arial"/>
          <w:sz w:val="24"/>
          <w:szCs w:val="24"/>
        </w:rPr>
        <w:t xml:space="preserve"> estrategias desarrolladas:</w:t>
      </w:r>
    </w:p>
    <w:p w14:paraId="2B08142F" w14:textId="6464AFA7" w:rsidR="002F7EBF" w:rsidRDefault="002F7EBF" w:rsidP="002F7EBF">
      <w:pPr>
        <w:numPr>
          <w:ilvl w:val="0"/>
          <w:numId w:val="3"/>
        </w:numPr>
        <w:jc w:val="both"/>
        <w:rPr>
          <w:rFonts w:ascii="Arial" w:hAnsi="Arial" w:cs="Arial"/>
          <w:sz w:val="24"/>
          <w:szCs w:val="24"/>
        </w:rPr>
      </w:pPr>
      <w:r w:rsidRPr="004009A2">
        <w:rPr>
          <w:rFonts w:ascii="Arial" w:hAnsi="Arial" w:cs="Arial"/>
          <w:sz w:val="24"/>
          <w:szCs w:val="24"/>
        </w:rPr>
        <w:lastRenderedPageBreak/>
        <w:t xml:space="preserve">Programa de Riesgo </w:t>
      </w:r>
      <w:proofErr w:type="spellStart"/>
      <w:r w:rsidRPr="004009A2">
        <w:rPr>
          <w:rFonts w:ascii="Arial" w:hAnsi="Arial" w:cs="Arial"/>
          <w:sz w:val="24"/>
          <w:szCs w:val="24"/>
        </w:rPr>
        <w:t>Cardiometabólico</w:t>
      </w:r>
      <w:proofErr w:type="spellEnd"/>
      <w:r w:rsidRPr="004009A2">
        <w:rPr>
          <w:rFonts w:ascii="Arial" w:hAnsi="Arial" w:cs="Arial"/>
          <w:sz w:val="24"/>
          <w:szCs w:val="24"/>
        </w:rPr>
        <w:t>: Fortalece la identificación y el seguimiento de pacientes con factores de riesgo para enfermedades cardiovasculares, bajo los lineamientos de la Resolución 3280 de 2018. Se realizan controles clínicos periódicos, valoración de laboratorio (perfil lipídico, glicemia, creatinina, TFG) y asesorías educativas.</w:t>
      </w:r>
    </w:p>
    <w:p w14:paraId="6FFB25C3" w14:textId="77777777" w:rsidR="002F7EBF" w:rsidRPr="004009A2" w:rsidRDefault="002F7EBF" w:rsidP="002F7EBF">
      <w:pPr>
        <w:numPr>
          <w:ilvl w:val="0"/>
          <w:numId w:val="3"/>
        </w:numPr>
        <w:jc w:val="both"/>
        <w:rPr>
          <w:rFonts w:ascii="Arial" w:hAnsi="Arial" w:cs="Arial"/>
          <w:sz w:val="24"/>
          <w:szCs w:val="24"/>
        </w:rPr>
      </w:pPr>
      <w:r w:rsidRPr="004009A2">
        <w:rPr>
          <w:rFonts w:ascii="Arial" w:hAnsi="Arial" w:cs="Arial"/>
          <w:sz w:val="24"/>
          <w:szCs w:val="24"/>
        </w:rPr>
        <w:t>Estrategia de Estilos de Vida Saludable (EVS): Implementada en los diferentes territorios adscritos a la Subred Sur, promueve la práctica de actividad física, alimentación balanceada y abandono del tabaquismo mediante jornadas comunitarias, ferias de salud, pausas activas y grupos de apoyo.</w:t>
      </w:r>
    </w:p>
    <w:p w14:paraId="10E4B01D" w14:textId="77777777" w:rsidR="002F7EBF" w:rsidRPr="004009A2" w:rsidRDefault="002F7EBF" w:rsidP="002F7EBF">
      <w:pPr>
        <w:numPr>
          <w:ilvl w:val="0"/>
          <w:numId w:val="3"/>
        </w:numPr>
        <w:jc w:val="both"/>
        <w:rPr>
          <w:rFonts w:ascii="Arial" w:hAnsi="Arial" w:cs="Arial"/>
          <w:sz w:val="24"/>
          <w:szCs w:val="24"/>
        </w:rPr>
      </w:pPr>
      <w:r w:rsidRPr="004009A2">
        <w:rPr>
          <w:rFonts w:ascii="Arial" w:hAnsi="Arial" w:cs="Arial"/>
          <w:sz w:val="24"/>
          <w:szCs w:val="24"/>
        </w:rPr>
        <w:t>Semana Distrital del Corazón: La Subred Sur lidera anualmente actividades de sensibilización con toma de presión arterial, peso, talla, índice de masa corporal (IMC), tamizajes de glicemia y orientación nutricional.</w:t>
      </w:r>
    </w:p>
    <w:p w14:paraId="30450F32" w14:textId="77777777" w:rsidR="002F7EBF" w:rsidRPr="00174CB9" w:rsidRDefault="002F7EBF" w:rsidP="002F7EBF">
      <w:pPr>
        <w:numPr>
          <w:ilvl w:val="0"/>
          <w:numId w:val="3"/>
        </w:numPr>
        <w:jc w:val="both"/>
        <w:rPr>
          <w:rFonts w:ascii="Arial" w:hAnsi="Arial" w:cs="Arial"/>
          <w:sz w:val="24"/>
          <w:szCs w:val="24"/>
        </w:rPr>
      </w:pPr>
      <w:r w:rsidRPr="00174CB9">
        <w:rPr>
          <w:rFonts w:ascii="Arial" w:hAnsi="Arial" w:cs="Arial"/>
          <w:sz w:val="24"/>
          <w:szCs w:val="24"/>
        </w:rPr>
        <w:t>Jornadas de detección temprana de riesgo cardiovascular: Desarrolladas en las unidades de atención, barrios y entornos laborales, con participación de los Equipos Básicos de Salud (EBE) y articulación con las Direcciones de Ambulatorios, Complementarios y Gestión del Riesgo.</w:t>
      </w:r>
    </w:p>
    <w:p w14:paraId="67E8EEDD" w14:textId="77777777" w:rsidR="00174CB9" w:rsidRPr="004009A2" w:rsidRDefault="00174CB9" w:rsidP="00174CB9">
      <w:pPr>
        <w:numPr>
          <w:ilvl w:val="0"/>
          <w:numId w:val="4"/>
        </w:numPr>
        <w:jc w:val="both"/>
        <w:rPr>
          <w:rFonts w:ascii="Arial" w:hAnsi="Arial" w:cs="Arial"/>
          <w:sz w:val="24"/>
          <w:szCs w:val="24"/>
        </w:rPr>
      </w:pPr>
      <w:r w:rsidRPr="004009A2">
        <w:rPr>
          <w:rFonts w:ascii="Arial" w:hAnsi="Arial" w:cs="Arial"/>
          <w:sz w:val="24"/>
          <w:szCs w:val="24"/>
        </w:rPr>
        <w:t>Ferias territoriales de salud cardiovascular: Espacios intersectoriales donde se articulan servicios asistenciales, comunitarios y programas de salud pública para la tamización y educación de la comunidad.</w:t>
      </w:r>
    </w:p>
    <w:p w14:paraId="6E2082F4" w14:textId="62F10BDC" w:rsidR="00174CB9" w:rsidRPr="004009A2" w:rsidRDefault="00174CB9" w:rsidP="00174CB9">
      <w:pPr>
        <w:numPr>
          <w:ilvl w:val="0"/>
          <w:numId w:val="4"/>
        </w:numPr>
        <w:jc w:val="both"/>
        <w:rPr>
          <w:rFonts w:ascii="Arial" w:hAnsi="Arial" w:cs="Arial"/>
          <w:sz w:val="24"/>
          <w:szCs w:val="24"/>
        </w:rPr>
      </w:pPr>
      <w:r w:rsidRPr="004009A2">
        <w:rPr>
          <w:rFonts w:ascii="Arial" w:hAnsi="Arial" w:cs="Arial"/>
          <w:sz w:val="24"/>
          <w:szCs w:val="24"/>
        </w:rPr>
        <w:t>Jornadas de control clínico y seguimiento domiciliario: Realizadas por los E</w:t>
      </w:r>
      <w:r w:rsidR="002F7EBF">
        <w:rPr>
          <w:rFonts w:ascii="Arial" w:hAnsi="Arial" w:cs="Arial"/>
          <w:sz w:val="24"/>
          <w:szCs w:val="24"/>
        </w:rPr>
        <w:t xml:space="preserve">quipos extramurales </w:t>
      </w:r>
      <w:r w:rsidRPr="004009A2">
        <w:rPr>
          <w:rFonts w:ascii="Arial" w:hAnsi="Arial" w:cs="Arial"/>
          <w:sz w:val="24"/>
          <w:szCs w:val="24"/>
        </w:rPr>
        <w:t>para fortalecer la adherencia terapéutica y garantizar la continuidad del tratamiento.</w:t>
      </w:r>
    </w:p>
    <w:p w14:paraId="704CAF57" w14:textId="77777777" w:rsidR="00174CB9" w:rsidRPr="004009A2" w:rsidRDefault="00174CB9" w:rsidP="00174CB9">
      <w:pPr>
        <w:numPr>
          <w:ilvl w:val="0"/>
          <w:numId w:val="4"/>
        </w:numPr>
        <w:jc w:val="both"/>
        <w:rPr>
          <w:rFonts w:ascii="Arial" w:hAnsi="Arial" w:cs="Arial"/>
          <w:sz w:val="24"/>
          <w:szCs w:val="24"/>
        </w:rPr>
      </w:pPr>
      <w:r w:rsidRPr="004009A2">
        <w:rPr>
          <w:rFonts w:ascii="Arial" w:hAnsi="Arial" w:cs="Arial"/>
          <w:sz w:val="24"/>
          <w:szCs w:val="24"/>
        </w:rPr>
        <w:t>Sesiones educativas en centros de salud y entornos comunitarios: Orientadas al reconocimiento de signos de alarma, automonitoreo de la presión arterial, alimentación saludable y manejo del estrés.</w:t>
      </w:r>
    </w:p>
    <w:p w14:paraId="48EFA19A" w14:textId="77777777" w:rsidR="00174CB9" w:rsidRPr="004009A2" w:rsidRDefault="00174CB9" w:rsidP="00174CB9">
      <w:pPr>
        <w:numPr>
          <w:ilvl w:val="0"/>
          <w:numId w:val="4"/>
        </w:numPr>
        <w:jc w:val="both"/>
        <w:rPr>
          <w:rFonts w:ascii="Arial" w:hAnsi="Arial" w:cs="Arial"/>
          <w:sz w:val="24"/>
          <w:szCs w:val="24"/>
        </w:rPr>
      </w:pPr>
      <w:r w:rsidRPr="004009A2">
        <w:rPr>
          <w:rFonts w:ascii="Arial" w:hAnsi="Arial" w:cs="Arial"/>
          <w:sz w:val="24"/>
          <w:szCs w:val="24"/>
        </w:rPr>
        <w:t>Acciones de movilización social: Campañas comunicativas permanentes con mensajes de prevención del riesgo cardiovascular difundidas en redes institucionales, emisoras locales y entornos educativos.</w:t>
      </w:r>
    </w:p>
    <w:p w14:paraId="3FF0C7AB" w14:textId="3159812A" w:rsidR="007B0AA3" w:rsidRPr="004009A2" w:rsidRDefault="007B0AA3" w:rsidP="007B0AA3">
      <w:pPr>
        <w:jc w:val="both"/>
        <w:rPr>
          <w:rFonts w:ascii="Arial" w:hAnsi="Arial" w:cs="Arial"/>
          <w:sz w:val="24"/>
          <w:szCs w:val="24"/>
        </w:rPr>
      </w:pPr>
    </w:p>
    <w:p w14:paraId="77A1EB2B" w14:textId="73990504" w:rsidR="007B0AA3" w:rsidRDefault="007B0AA3" w:rsidP="007B0AA3">
      <w:pPr>
        <w:pStyle w:val="Prrafodelista"/>
        <w:numPr>
          <w:ilvl w:val="0"/>
          <w:numId w:val="2"/>
        </w:numPr>
        <w:jc w:val="both"/>
        <w:rPr>
          <w:rFonts w:ascii="Arial" w:hAnsi="Arial" w:cs="Arial"/>
          <w:b/>
          <w:bCs/>
          <w:sz w:val="24"/>
          <w:szCs w:val="24"/>
        </w:rPr>
      </w:pPr>
      <w:r w:rsidRPr="007B0AA3">
        <w:rPr>
          <w:rFonts w:ascii="Arial" w:hAnsi="Arial" w:cs="Arial"/>
          <w:b/>
          <w:bCs/>
          <w:sz w:val="24"/>
          <w:szCs w:val="24"/>
        </w:rPr>
        <w:t xml:space="preserve">¿Cuáles son los índices de morbilidad y mortalidad relacionados con enfermedades cardiovasculares en cada uno de los hospitales a cargo de las Subredes Integradas de Servicios de Salud en el Distrito? </w:t>
      </w:r>
    </w:p>
    <w:p w14:paraId="3042B318" w14:textId="77777777" w:rsidR="004330DA" w:rsidRPr="004330DA" w:rsidRDefault="004330DA" w:rsidP="004330DA">
      <w:pPr>
        <w:ind w:left="360"/>
        <w:jc w:val="both"/>
        <w:rPr>
          <w:rFonts w:ascii="Arial" w:hAnsi="Arial" w:cs="Arial"/>
          <w:b/>
          <w:bCs/>
          <w:sz w:val="24"/>
          <w:szCs w:val="24"/>
        </w:rPr>
      </w:pPr>
      <w:r w:rsidRPr="004330DA">
        <w:rPr>
          <w:rFonts w:ascii="Arial" w:hAnsi="Arial" w:cs="Arial"/>
          <w:b/>
          <w:bCs/>
          <w:sz w:val="24"/>
          <w:szCs w:val="24"/>
        </w:rPr>
        <w:t>Respuesta:</w:t>
      </w:r>
    </w:p>
    <w:p w14:paraId="245A128A" w14:textId="7966AC93" w:rsidR="004330DA" w:rsidRDefault="00E42821" w:rsidP="005703DE">
      <w:pPr>
        <w:pStyle w:val="Prrafodelista"/>
        <w:jc w:val="both"/>
        <w:rPr>
          <w:rFonts w:ascii="Arial" w:hAnsi="Arial" w:cs="Arial"/>
          <w:sz w:val="24"/>
          <w:szCs w:val="24"/>
        </w:rPr>
      </w:pPr>
      <w:r>
        <w:rPr>
          <w:rFonts w:ascii="Arial" w:hAnsi="Arial" w:cs="Arial"/>
          <w:sz w:val="24"/>
          <w:szCs w:val="24"/>
        </w:rPr>
        <w:t>De acuerdo a información disponible en la Subred Integrada de Servicios de salud Sur E.S.E. e</w:t>
      </w:r>
      <w:r w:rsidR="004330DA">
        <w:rPr>
          <w:rFonts w:ascii="Arial" w:hAnsi="Arial" w:cs="Arial"/>
          <w:sz w:val="24"/>
          <w:szCs w:val="24"/>
        </w:rPr>
        <w:t>n cuanto a morbilidad</w:t>
      </w:r>
      <w:r>
        <w:rPr>
          <w:rFonts w:ascii="Arial" w:hAnsi="Arial" w:cs="Arial"/>
          <w:sz w:val="24"/>
          <w:szCs w:val="24"/>
        </w:rPr>
        <w:t>,</w:t>
      </w:r>
      <w:r w:rsidR="004330DA">
        <w:rPr>
          <w:rFonts w:ascii="Arial" w:hAnsi="Arial" w:cs="Arial"/>
          <w:sz w:val="24"/>
          <w:szCs w:val="24"/>
        </w:rPr>
        <w:t xml:space="preserve"> </w:t>
      </w:r>
      <w:r w:rsidR="005703DE">
        <w:rPr>
          <w:rFonts w:ascii="Arial" w:hAnsi="Arial" w:cs="Arial"/>
          <w:sz w:val="24"/>
          <w:szCs w:val="24"/>
        </w:rPr>
        <w:t>p</w:t>
      </w:r>
      <w:r w:rsidR="005703DE" w:rsidRPr="005703DE">
        <w:rPr>
          <w:rFonts w:ascii="Arial" w:hAnsi="Arial" w:cs="Arial"/>
          <w:sz w:val="24"/>
          <w:szCs w:val="24"/>
        </w:rPr>
        <w:t>ara el año 2024 teniendo como fuente de información los registros individuales de</w:t>
      </w:r>
      <w:r w:rsidR="005703DE">
        <w:rPr>
          <w:rFonts w:ascii="Arial" w:hAnsi="Arial" w:cs="Arial"/>
          <w:sz w:val="24"/>
          <w:szCs w:val="24"/>
        </w:rPr>
        <w:t xml:space="preserve"> </w:t>
      </w:r>
      <w:r w:rsidR="005703DE" w:rsidRPr="005703DE">
        <w:rPr>
          <w:rFonts w:ascii="Arial" w:hAnsi="Arial" w:cs="Arial"/>
          <w:sz w:val="24"/>
          <w:szCs w:val="24"/>
        </w:rPr>
        <w:t xml:space="preserve">prestación de servicios de salud (RIPS), </w:t>
      </w:r>
      <w:r>
        <w:rPr>
          <w:rFonts w:ascii="Arial" w:hAnsi="Arial" w:cs="Arial"/>
          <w:sz w:val="24"/>
          <w:szCs w:val="24"/>
        </w:rPr>
        <w:t xml:space="preserve">se </w:t>
      </w:r>
      <w:r w:rsidR="005703DE" w:rsidRPr="005703DE">
        <w:rPr>
          <w:rFonts w:ascii="Arial" w:hAnsi="Arial" w:cs="Arial"/>
          <w:sz w:val="24"/>
          <w:szCs w:val="24"/>
        </w:rPr>
        <w:t>identifica</w:t>
      </w:r>
      <w:r>
        <w:rPr>
          <w:rFonts w:ascii="Arial" w:hAnsi="Arial" w:cs="Arial"/>
          <w:sz w:val="24"/>
          <w:szCs w:val="24"/>
        </w:rPr>
        <w:t>ron</w:t>
      </w:r>
      <w:r w:rsidR="005703DE" w:rsidRPr="005703DE">
        <w:rPr>
          <w:rFonts w:ascii="Arial" w:hAnsi="Arial" w:cs="Arial"/>
          <w:sz w:val="24"/>
          <w:szCs w:val="24"/>
        </w:rPr>
        <w:t xml:space="preserve"> </w:t>
      </w:r>
      <w:r>
        <w:rPr>
          <w:rFonts w:ascii="Arial" w:hAnsi="Arial" w:cs="Arial"/>
          <w:sz w:val="24"/>
          <w:szCs w:val="24"/>
        </w:rPr>
        <w:t xml:space="preserve">que en </w:t>
      </w:r>
      <w:r w:rsidR="005703DE" w:rsidRPr="005703DE">
        <w:rPr>
          <w:rFonts w:ascii="Arial" w:hAnsi="Arial" w:cs="Arial"/>
          <w:sz w:val="24"/>
          <w:szCs w:val="24"/>
        </w:rPr>
        <w:t>las 10 primeras causas de atención por códigos CIE 10 agrupados</w:t>
      </w:r>
      <w:r>
        <w:rPr>
          <w:rFonts w:ascii="Arial" w:hAnsi="Arial" w:cs="Arial"/>
          <w:sz w:val="24"/>
          <w:szCs w:val="24"/>
        </w:rPr>
        <w:t xml:space="preserve"> </w:t>
      </w:r>
      <w:r w:rsidR="005703DE" w:rsidRPr="005703DE">
        <w:rPr>
          <w:rFonts w:ascii="Arial" w:hAnsi="Arial" w:cs="Arial"/>
          <w:sz w:val="24"/>
          <w:szCs w:val="24"/>
        </w:rPr>
        <w:t>en los grandes grupos (GBD)</w:t>
      </w:r>
      <w:r w:rsidR="003C6884">
        <w:rPr>
          <w:rFonts w:ascii="Arial" w:hAnsi="Arial" w:cs="Arial"/>
          <w:sz w:val="24"/>
          <w:szCs w:val="24"/>
        </w:rPr>
        <w:t xml:space="preserve"> en el servicio de consulta externa</w:t>
      </w:r>
      <w:r>
        <w:rPr>
          <w:rFonts w:ascii="Arial" w:hAnsi="Arial" w:cs="Arial"/>
          <w:sz w:val="24"/>
          <w:szCs w:val="24"/>
        </w:rPr>
        <w:t xml:space="preserve">, las enfermedades cardiovasculares ocuparon el segundo lugar </w:t>
      </w:r>
      <w:r w:rsidRPr="00E42821">
        <w:rPr>
          <w:rFonts w:ascii="Arial" w:hAnsi="Arial" w:cs="Arial"/>
          <w:sz w:val="24"/>
          <w:szCs w:val="24"/>
        </w:rPr>
        <w:t>con el10,</w:t>
      </w:r>
      <w:r w:rsidR="003C6884">
        <w:rPr>
          <w:rFonts w:ascii="Arial" w:hAnsi="Arial" w:cs="Arial"/>
          <w:sz w:val="24"/>
          <w:szCs w:val="24"/>
        </w:rPr>
        <w:t xml:space="preserve"> </w:t>
      </w:r>
      <w:r w:rsidR="003C6884" w:rsidRPr="003C6884">
        <w:rPr>
          <w:rFonts w:ascii="Arial" w:hAnsi="Arial" w:cs="Arial"/>
          <w:sz w:val="24"/>
          <w:szCs w:val="24"/>
        </w:rPr>
        <w:t>20,34% (n=18.564)</w:t>
      </w:r>
      <w:r>
        <w:rPr>
          <w:rFonts w:ascii="Arial" w:hAnsi="Arial" w:cs="Arial"/>
          <w:sz w:val="24"/>
          <w:szCs w:val="24"/>
        </w:rPr>
        <w:t xml:space="preserve"> atenciones</w:t>
      </w:r>
      <w:r w:rsidRPr="00E42821">
        <w:rPr>
          <w:rFonts w:ascii="Arial" w:hAnsi="Arial" w:cs="Arial"/>
          <w:sz w:val="24"/>
          <w:szCs w:val="24"/>
        </w:rPr>
        <w:t>)</w:t>
      </w:r>
      <w:r>
        <w:rPr>
          <w:rFonts w:ascii="Arial" w:hAnsi="Arial" w:cs="Arial"/>
          <w:sz w:val="24"/>
          <w:szCs w:val="24"/>
        </w:rPr>
        <w:t xml:space="preserve">. En cuento al comportamiento por cada uno de los centros de atención y hospitales que conforman la subred se </w:t>
      </w:r>
      <w:r w:rsidR="003C6884">
        <w:rPr>
          <w:rFonts w:ascii="Arial" w:hAnsi="Arial" w:cs="Arial"/>
          <w:sz w:val="24"/>
          <w:szCs w:val="24"/>
        </w:rPr>
        <w:t>detalla a continuación:</w:t>
      </w:r>
    </w:p>
    <w:p w14:paraId="72F779A3" w14:textId="1B025455" w:rsidR="00CC64E1" w:rsidRDefault="00CC64E1" w:rsidP="005703DE">
      <w:pPr>
        <w:pStyle w:val="Prrafodelista"/>
        <w:jc w:val="both"/>
        <w:rPr>
          <w:rFonts w:ascii="Arial" w:hAnsi="Arial" w:cs="Arial"/>
          <w:sz w:val="24"/>
          <w:szCs w:val="24"/>
        </w:rPr>
      </w:pPr>
    </w:p>
    <w:p w14:paraId="436A0CEE" w14:textId="567EEE4F" w:rsidR="00CC64E1" w:rsidRDefault="00CC64E1" w:rsidP="005703DE">
      <w:pPr>
        <w:pStyle w:val="Prrafodelista"/>
        <w:jc w:val="both"/>
        <w:rPr>
          <w:rFonts w:ascii="Arial" w:hAnsi="Arial" w:cs="Arial"/>
          <w:sz w:val="24"/>
          <w:szCs w:val="24"/>
        </w:rPr>
      </w:pPr>
    </w:p>
    <w:p w14:paraId="5E894376" w14:textId="384E546D" w:rsidR="00CC64E1" w:rsidRDefault="00CC64E1" w:rsidP="00CC64E1">
      <w:pPr>
        <w:pStyle w:val="Prrafodelista"/>
        <w:jc w:val="center"/>
        <w:rPr>
          <w:rFonts w:ascii="Arial" w:hAnsi="Arial" w:cs="Arial"/>
          <w:sz w:val="24"/>
          <w:szCs w:val="24"/>
        </w:rPr>
      </w:pPr>
      <w:r>
        <w:rPr>
          <w:rFonts w:ascii="Arial" w:hAnsi="Arial" w:cs="Arial"/>
          <w:sz w:val="24"/>
          <w:szCs w:val="24"/>
        </w:rPr>
        <w:t xml:space="preserve">Tabla 1. Centro de salud y relación de </w:t>
      </w:r>
      <w:r w:rsidRPr="005703DE">
        <w:rPr>
          <w:rFonts w:ascii="Arial" w:hAnsi="Arial" w:cs="Arial"/>
          <w:sz w:val="24"/>
          <w:szCs w:val="24"/>
        </w:rPr>
        <w:t>primeras causas de atención</w:t>
      </w:r>
    </w:p>
    <w:tbl>
      <w:tblPr>
        <w:tblW w:w="6988" w:type="dxa"/>
        <w:jc w:val="center"/>
        <w:tblCellMar>
          <w:left w:w="70" w:type="dxa"/>
          <w:right w:w="70" w:type="dxa"/>
        </w:tblCellMar>
        <w:tblLook w:val="04A0" w:firstRow="1" w:lastRow="0" w:firstColumn="1" w:lastColumn="0" w:noHBand="0" w:noVBand="1"/>
      </w:tblPr>
      <w:tblGrid>
        <w:gridCol w:w="2579"/>
        <w:gridCol w:w="2440"/>
        <w:gridCol w:w="1969"/>
      </w:tblGrid>
      <w:tr w:rsidR="00CC64E1" w:rsidRPr="00CC64E1" w14:paraId="19D0F4C0" w14:textId="77777777" w:rsidTr="00CC64E1">
        <w:trPr>
          <w:trHeight w:val="868"/>
          <w:jc w:val="center"/>
        </w:trPr>
        <w:tc>
          <w:tcPr>
            <w:tcW w:w="25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619A9" w14:textId="77777777" w:rsidR="00CC64E1" w:rsidRPr="00CC64E1" w:rsidRDefault="00CC64E1" w:rsidP="00CC64E1">
            <w:pPr>
              <w:spacing w:after="0" w:line="240" w:lineRule="auto"/>
              <w:jc w:val="center"/>
              <w:rPr>
                <w:rFonts w:ascii="Arial" w:eastAsia="Times New Roman" w:hAnsi="Arial" w:cs="Arial"/>
                <w:b/>
                <w:bCs/>
                <w:color w:val="000000"/>
                <w:kern w:val="0"/>
                <w:sz w:val="24"/>
                <w:szCs w:val="24"/>
                <w:lang w:eastAsia="es-CO"/>
                <w14:ligatures w14:val="none"/>
              </w:rPr>
            </w:pPr>
            <w:r w:rsidRPr="00CC64E1">
              <w:rPr>
                <w:rFonts w:ascii="Arial" w:eastAsia="Times New Roman" w:hAnsi="Arial" w:cs="Arial"/>
                <w:b/>
                <w:bCs/>
                <w:color w:val="000000"/>
                <w:kern w:val="0"/>
                <w:sz w:val="24"/>
                <w:szCs w:val="24"/>
                <w:lang w:eastAsia="es-CO"/>
                <w14:ligatures w14:val="none"/>
              </w:rPr>
              <w:lastRenderedPageBreak/>
              <w:t>Centro de Salud</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14:paraId="293341B6" w14:textId="64BFA90E" w:rsidR="00CC64E1" w:rsidRPr="00CC64E1" w:rsidRDefault="00CC64E1" w:rsidP="00CC64E1">
            <w:pPr>
              <w:spacing w:after="0" w:line="240" w:lineRule="auto"/>
              <w:jc w:val="center"/>
              <w:rPr>
                <w:rFonts w:ascii="Arial" w:eastAsia="Times New Roman" w:hAnsi="Arial" w:cs="Arial"/>
                <w:b/>
                <w:bCs/>
                <w:color w:val="000000"/>
                <w:kern w:val="0"/>
                <w:sz w:val="24"/>
                <w:szCs w:val="24"/>
                <w:lang w:eastAsia="es-CO"/>
                <w14:ligatures w14:val="none"/>
              </w:rPr>
            </w:pPr>
            <w:r w:rsidRPr="00CC64E1">
              <w:rPr>
                <w:rFonts w:ascii="Arial" w:eastAsia="Times New Roman" w:hAnsi="Arial" w:cs="Arial"/>
                <w:b/>
                <w:bCs/>
                <w:color w:val="000000"/>
                <w:kern w:val="0"/>
                <w:sz w:val="24"/>
                <w:szCs w:val="24"/>
                <w:lang w:eastAsia="es-CO"/>
                <w14:ligatures w14:val="none"/>
              </w:rPr>
              <w:t>Posición de 10 primeras causas de atención</w:t>
            </w:r>
          </w:p>
        </w:tc>
        <w:tc>
          <w:tcPr>
            <w:tcW w:w="1969" w:type="dxa"/>
            <w:tcBorders>
              <w:top w:val="single" w:sz="4" w:space="0" w:color="auto"/>
              <w:left w:val="nil"/>
              <w:bottom w:val="single" w:sz="4" w:space="0" w:color="auto"/>
              <w:right w:val="single" w:sz="4" w:space="0" w:color="auto"/>
            </w:tcBorders>
            <w:shd w:val="clear" w:color="auto" w:fill="auto"/>
            <w:noWrap/>
            <w:vAlign w:val="center"/>
            <w:hideMark/>
          </w:tcPr>
          <w:p w14:paraId="2E6CAA60" w14:textId="77777777" w:rsidR="00CC64E1" w:rsidRPr="00CC64E1" w:rsidRDefault="00CC64E1" w:rsidP="00CC64E1">
            <w:pPr>
              <w:spacing w:after="0" w:line="240" w:lineRule="auto"/>
              <w:jc w:val="center"/>
              <w:rPr>
                <w:rFonts w:ascii="Arial" w:eastAsia="Times New Roman" w:hAnsi="Arial" w:cs="Arial"/>
                <w:b/>
                <w:bCs/>
                <w:color w:val="000000"/>
                <w:kern w:val="0"/>
                <w:sz w:val="24"/>
                <w:szCs w:val="24"/>
                <w:lang w:eastAsia="es-CO"/>
                <w14:ligatures w14:val="none"/>
              </w:rPr>
            </w:pPr>
            <w:r w:rsidRPr="00CC64E1">
              <w:rPr>
                <w:rFonts w:ascii="Arial" w:eastAsia="Times New Roman" w:hAnsi="Arial" w:cs="Arial"/>
                <w:b/>
                <w:bCs/>
                <w:color w:val="000000"/>
                <w:kern w:val="0"/>
                <w:sz w:val="24"/>
                <w:szCs w:val="24"/>
                <w:lang w:eastAsia="es-CO"/>
                <w14:ligatures w14:val="none"/>
              </w:rPr>
              <w:t>%</w:t>
            </w:r>
          </w:p>
        </w:tc>
      </w:tr>
      <w:tr w:rsidR="00CC64E1" w:rsidRPr="00CC64E1" w14:paraId="33400D69"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004A355B"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 xml:space="preserve">Candelaria </w:t>
            </w:r>
          </w:p>
        </w:tc>
        <w:tc>
          <w:tcPr>
            <w:tcW w:w="2440" w:type="dxa"/>
            <w:tcBorders>
              <w:top w:val="nil"/>
              <w:left w:val="nil"/>
              <w:bottom w:val="single" w:sz="4" w:space="0" w:color="auto"/>
              <w:right w:val="single" w:sz="4" w:space="0" w:color="auto"/>
            </w:tcBorders>
            <w:shd w:val="clear" w:color="auto" w:fill="auto"/>
            <w:noWrap/>
            <w:vAlign w:val="bottom"/>
            <w:hideMark/>
          </w:tcPr>
          <w:p w14:paraId="39EDA21A" w14:textId="27C5615E"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Cuarta</w:t>
            </w:r>
          </w:p>
        </w:tc>
        <w:tc>
          <w:tcPr>
            <w:tcW w:w="1969" w:type="dxa"/>
            <w:tcBorders>
              <w:top w:val="nil"/>
              <w:left w:val="nil"/>
              <w:bottom w:val="single" w:sz="4" w:space="0" w:color="auto"/>
              <w:right w:val="single" w:sz="4" w:space="0" w:color="auto"/>
            </w:tcBorders>
            <w:shd w:val="clear" w:color="auto" w:fill="auto"/>
            <w:noWrap/>
            <w:vAlign w:val="bottom"/>
            <w:hideMark/>
          </w:tcPr>
          <w:p w14:paraId="6C708235"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8,60%</w:t>
            </w:r>
          </w:p>
        </w:tc>
      </w:tr>
      <w:tr w:rsidR="00CC64E1" w:rsidRPr="00CC64E1" w14:paraId="0EFB21BC"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3B4F4D30"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Vista Hermosa</w:t>
            </w:r>
          </w:p>
        </w:tc>
        <w:tc>
          <w:tcPr>
            <w:tcW w:w="2440" w:type="dxa"/>
            <w:tcBorders>
              <w:top w:val="nil"/>
              <w:left w:val="nil"/>
              <w:bottom w:val="single" w:sz="4" w:space="0" w:color="auto"/>
              <w:right w:val="single" w:sz="4" w:space="0" w:color="auto"/>
            </w:tcBorders>
            <w:shd w:val="clear" w:color="auto" w:fill="auto"/>
            <w:noWrap/>
            <w:vAlign w:val="bottom"/>
            <w:hideMark/>
          </w:tcPr>
          <w:p w14:paraId="6C50EE52"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Tercero</w:t>
            </w:r>
          </w:p>
        </w:tc>
        <w:tc>
          <w:tcPr>
            <w:tcW w:w="1969" w:type="dxa"/>
            <w:tcBorders>
              <w:top w:val="nil"/>
              <w:left w:val="nil"/>
              <w:bottom w:val="single" w:sz="4" w:space="0" w:color="auto"/>
              <w:right w:val="single" w:sz="4" w:space="0" w:color="auto"/>
            </w:tcBorders>
            <w:shd w:val="clear" w:color="auto" w:fill="auto"/>
            <w:noWrap/>
            <w:vAlign w:val="bottom"/>
            <w:hideMark/>
          </w:tcPr>
          <w:p w14:paraId="77D3AF5B"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13,22%</w:t>
            </w:r>
          </w:p>
        </w:tc>
      </w:tr>
      <w:tr w:rsidR="00CC64E1" w:rsidRPr="00CC64E1" w14:paraId="0B465D80"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5349DD85" w14:textId="4EC2ECEB"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 xml:space="preserve">Manuela </w:t>
            </w:r>
            <w:r w:rsidR="001A2E0A" w:rsidRPr="00CC64E1">
              <w:rPr>
                <w:rFonts w:ascii="Arial" w:eastAsia="Times New Roman" w:hAnsi="Arial" w:cs="Arial"/>
                <w:color w:val="000000"/>
                <w:kern w:val="0"/>
                <w:sz w:val="24"/>
                <w:szCs w:val="24"/>
                <w:lang w:eastAsia="es-CO"/>
                <w14:ligatures w14:val="none"/>
              </w:rPr>
              <w:t>Beltrán</w:t>
            </w:r>
            <w:r w:rsidRPr="00CC64E1">
              <w:rPr>
                <w:rFonts w:ascii="Arial" w:eastAsia="Times New Roman" w:hAnsi="Arial" w:cs="Arial"/>
                <w:color w:val="000000"/>
                <w:kern w:val="0"/>
                <w:sz w:val="24"/>
                <w:szCs w:val="24"/>
                <w:lang w:eastAsia="es-CO"/>
                <w14:ligatures w14:val="none"/>
              </w:rPr>
              <w:t xml:space="preserve"> </w:t>
            </w:r>
          </w:p>
        </w:tc>
        <w:tc>
          <w:tcPr>
            <w:tcW w:w="2440" w:type="dxa"/>
            <w:tcBorders>
              <w:top w:val="nil"/>
              <w:left w:val="nil"/>
              <w:bottom w:val="single" w:sz="4" w:space="0" w:color="auto"/>
              <w:right w:val="single" w:sz="4" w:space="0" w:color="auto"/>
            </w:tcBorders>
            <w:shd w:val="clear" w:color="auto" w:fill="auto"/>
            <w:noWrap/>
            <w:vAlign w:val="bottom"/>
            <w:hideMark/>
          </w:tcPr>
          <w:p w14:paraId="53C4284F"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274B353E"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15,91%</w:t>
            </w:r>
          </w:p>
        </w:tc>
      </w:tr>
      <w:tr w:rsidR="00CC64E1" w:rsidRPr="00CC64E1" w14:paraId="01BD24E2"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257DA00A"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La Estrella</w:t>
            </w:r>
          </w:p>
        </w:tc>
        <w:tc>
          <w:tcPr>
            <w:tcW w:w="2440" w:type="dxa"/>
            <w:tcBorders>
              <w:top w:val="nil"/>
              <w:left w:val="nil"/>
              <w:bottom w:val="single" w:sz="4" w:space="0" w:color="auto"/>
              <w:right w:val="single" w:sz="4" w:space="0" w:color="auto"/>
            </w:tcBorders>
            <w:shd w:val="clear" w:color="auto" w:fill="auto"/>
            <w:noWrap/>
            <w:vAlign w:val="bottom"/>
            <w:hideMark/>
          </w:tcPr>
          <w:p w14:paraId="5F715D5F"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Ninguna</w:t>
            </w:r>
          </w:p>
        </w:tc>
        <w:tc>
          <w:tcPr>
            <w:tcW w:w="1969" w:type="dxa"/>
            <w:tcBorders>
              <w:top w:val="nil"/>
              <w:left w:val="nil"/>
              <w:bottom w:val="single" w:sz="4" w:space="0" w:color="auto"/>
              <w:right w:val="single" w:sz="4" w:space="0" w:color="auto"/>
            </w:tcBorders>
            <w:shd w:val="clear" w:color="auto" w:fill="auto"/>
            <w:noWrap/>
            <w:vAlign w:val="bottom"/>
            <w:hideMark/>
          </w:tcPr>
          <w:p w14:paraId="1B17F921"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0%</w:t>
            </w:r>
          </w:p>
        </w:tc>
      </w:tr>
      <w:tr w:rsidR="00CC64E1" w:rsidRPr="00CC64E1" w14:paraId="7084336F"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503CA6ED" w14:textId="73B9C6DE" w:rsidR="00CC64E1" w:rsidRPr="00CC64E1" w:rsidRDefault="001A2E0A"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Jerusalén</w:t>
            </w:r>
          </w:p>
        </w:tc>
        <w:tc>
          <w:tcPr>
            <w:tcW w:w="2440" w:type="dxa"/>
            <w:tcBorders>
              <w:top w:val="nil"/>
              <w:left w:val="nil"/>
              <w:bottom w:val="single" w:sz="4" w:space="0" w:color="auto"/>
              <w:right w:val="single" w:sz="4" w:space="0" w:color="auto"/>
            </w:tcBorders>
            <w:shd w:val="clear" w:color="auto" w:fill="auto"/>
            <w:noWrap/>
            <w:vAlign w:val="bottom"/>
            <w:hideMark/>
          </w:tcPr>
          <w:p w14:paraId="41DCAE1D"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4A105B1D"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4,04%</w:t>
            </w:r>
          </w:p>
        </w:tc>
      </w:tr>
      <w:tr w:rsidR="00CC64E1" w:rsidRPr="00CC64E1" w14:paraId="3DBED371"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1AB6299B"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Mochuelo</w:t>
            </w:r>
          </w:p>
        </w:tc>
        <w:tc>
          <w:tcPr>
            <w:tcW w:w="2440" w:type="dxa"/>
            <w:tcBorders>
              <w:top w:val="nil"/>
              <w:left w:val="nil"/>
              <w:bottom w:val="single" w:sz="4" w:space="0" w:color="auto"/>
              <w:right w:val="single" w:sz="4" w:space="0" w:color="auto"/>
            </w:tcBorders>
            <w:shd w:val="clear" w:color="auto" w:fill="auto"/>
            <w:noWrap/>
            <w:vAlign w:val="bottom"/>
            <w:hideMark/>
          </w:tcPr>
          <w:p w14:paraId="5966D196"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58833CC2"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11,34%</w:t>
            </w:r>
          </w:p>
        </w:tc>
      </w:tr>
      <w:tr w:rsidR="00CC64E1" w:rsidRPr="00CC64E1" w14:paraId="6F41EB67"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5CC25E48"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Pasquilla</w:t>
            </w:r>
          </w:p>
        </w:tc>
        <w:tc>
          <w:tcPr>
            <w:tcW w:w="2440" w:type="dxa"/>
            <w:tcBorders>
              <w:top w:val="nil"/>
              <w:left w:val="nil"/>
              <w:bottom w:val="single" w:sz="4" w:space="0" w:color="auto"/>
              <w:right w:val="single" w:sz="4" w:space="0" w:color="auto"/>
            </w:tcBorders>
            <w:shd w:val="clear" w:color="auto" w:fill="auto"/>
            <w:noWrap/>
            <w:vAlign w:val="bottom"/>
            <w:hideMark/>
          </w:tcPr>
          <w:p w14:paraId="27A7CDE5"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6B928695"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13,81%</w:t>
            </w:r>
          </w:p>
        </w:tc>
      </w:tr>
      <w:tr w:rsidR="00CC64E1" w:rsidRPr="00CC64E1" w14:paraId="7699B446"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4EF0B033"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Usme</w:t>
            </w:r>
          </w:p>
        </w:tc>
        <w:tc>
          <w:tcPr>
            <w:tcW w:w="2440" w:type="dxa"/>
            <w:tcBorders>
              <w:top w:val="nil"/>
              <w:left w:val="nil"/>
              <w:bottom w:val="single" w:sz="4" w:space="0" w:color="auto"/>
              <w:right w:val="single" w:sz="4" w:space="0" w:color="auto"/>
            </w:tcBorders>
            <w:shd w:val="clear" w:color="auto" w:fill="auto"/>
            <w:noWrap/>
            <w:vAlign w:val="bottom"/>
            <w:hideMark/>
          </w:tcPr>
          <w:p w14:paraId="02A47005"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Tercero</w:t>
            </w:r>
          </w:p>
        </w:tc>
        <w:tc>
          <w:tcPr>
            <w:tcW w:w="1969" w:type="dxa"/>
            <w:tcBorders>
              <w:top w:val="nil"/>
              <w:left w:val="nil"/>
              <w:bottom w:val="single" w:sz="4" w:space="0" w:color="auto"/>
              <w:right w:val="single" w:sz="4" w:space="0" w:color="auto"/>
            </w:tcBorders>
            <w:shd w:val="clear" w:color="auto" w:fill="auto"/>
            <w:noWrap/>
            <w:vAlign w:val="bottom"/>
            <w:hideMark/>
          </w:tcPr>
          <w:p w14:paraId="796A1AF9"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11,23%</w:t>
            </w:r>
          </w:p>
        </w:tc>
      </w:tr>
      <w:tr w:rsidR="00CC64E1" w:rsidRPr="00CC64E1" w14:paraId="3CF7566E"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01A5CEE7"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Marichuela</w:t>
            </w:r>
          </w:p>
        </w:tc>
        <w:tc>
          <w:tcPr>
            <w:tcW w:w="2440" w:type="dxa"/>
            <w:tcBorders>
              <w:top w:val="nil"/>
              <w:left w:val="nil"/>
              <w:bottom w:val="single" w:sz="4" w:space="0" w:color="auto"/>
              <w:right w:val="single" w:sz="4" w:space="0" w:color="auto"/>
            </w:tcBorders>
            <w:shd w:val="clear" w:color="auto" w:fill="auto"/>
            <w:noWrap/>
            <w:vAlign w:val="bottom"/>
            <w:hideMark/>
          </w:tcPr>
          <w:p w14:paraId="50FF35EE"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69C4C646"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14,78%</w:t>
            </w:r>
          </w:p>
        </w:tc>
      </w:tr>
      <w:tr w:rsidR="00CC64E1" w:rsidRPr="00CC64E1" w14:paraId="14190659"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77BB7C1F"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Danubio</w:t>
            </w:r>
          </w:p>
        </w:tc>
        <w:tc>
          <w:tcPr>
            <w:tcW w:w="2440" w:type="dxa"/>
            <w:tcBorders>
              <w:top w:val="nil"/>
              <w:left w:val="nil"/>
              <w:bottom w:val="single" w:sz="4" w:space="0" w:color="auto"/>
              <w:right w:val="single" w:sz="4" w:space="0" w:color="auto"/>
            </w:tcBorders>
            <w:shd w:val="clear" w:color="auto" w:fill="auto"/>
            <w:noWrap/>
            <w:vAlign w:val="bottom"/>
            <w:hideMark/>
          </w:tcPr>
          <w:p w14:paraId="6E959A02"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7C423C87"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12,34%</w:t>
            </w:r>
          </w:p>
        </w:tc>
      </w:tr>
      <w:tr w:rsidR="00CC64E1" w:rsidRPr="00CC64E1" w14:paraId="3DCFC9E8"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1F154F30"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Betania</w:t>
            </w:r>
          </w:p>
        </w:tc>
        <w:tc>
          <w:tcPr>
            <w:tcW w:w="2440" w:type="dxa"/>
            <w:tcBorders>
              <w:top w:val="nil"/>
              <w:left w:val="nil"/>
              <w:bottom w:val="single" w:sz="4" w:space="0" w:color="auto"/>
              <w:right w:val="single" w:sz="4" w:space="0" w:color="auto"/>
            </w:tcBorders>
            <w:shd w:val="clear" w:color="auto" w:fill="auto"/>
            <w:noWrap/>
            <w:vAlign w:val="bottom"/>
            <w:hideMark/>
          </w:tcPr>
          <w:p w14:paraId="0F8BA986" w14:textId="5A352079"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Cuarta</w:t>
            </w:r>
          </w:p>
        </w:tc>
        <w:tc>
          <w:tcPr>
            <w:tcW w:w="1969" w:type="dxa"/>
            <w:tcBorders>
              <w:top w:val="nil"/>
              <w:left w:val="nil"/>
              <w:bottom w:val="single" w:sz="4" w:space="0" w:color="auto"/>
              <w:right w:val="single" w:sz="4" w:space="0" w:color="auto"/>
            </w:tcBorders>
            <w:shd w:val="clear" w:color="auto" w:fill="auto"/>
            <w:noWrap/>
            <w:vAlign w:val="bottom"/>
            <w:hideMark/>
          </w:tcPr>
          <w:p w14:paraId="7BF33F49"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5,77%</w:t>
            </w:r>
          </w:p>
        </w:tc>
      </w:tr>
      <w:tr w:rsidR="00CC64E1" w:rsidRPr="00CC64E1" w14:paraId="7C816277"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6781A2D2"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Santa Librada</w:t>
            </w:r>
          </w:p>
        </w:tc>
        <w:tc>
          <w:tcPr>
            <w:tcW w:w="2440" w:type="dxa"/>
            <w:tcBorders>
              <w:top w:val="nil"/>
              <w:left w:val="nil"/>
              <w:bottom w:val="single" w:sz="4" w:space="0" w:color="auto"/>
              <w:right w:val="single" w:sz="4" w:space="0" w:color="auto"/>
            </w:tcBorders>
            <w:shd w:val="clear" w:color="auto" w:fill="auto"/>
            <w:noWrap/>
            <w:vAlign w:val="bottom"/>
            <w:hideMark/>
          </w:tcPr>
          <w:p w14:paraId="73502E73"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Tercero</w:t>
            </w:r>
          </w:p>
        </w:tc>
        <w:tc>
          <w:tcPr>
            <w:tcW w:w="1969" w:type="dxa"/>
            <w:tcBorders>
              <w:top w:val="nil"/>
              <w:left w:val="nil"/>
              <w:bottom w:val="single" w:sz="4" w:space="0" w:color="auto"/>
              <w:right w:val="single" w:sz="4" w:space="0" w:color="auto"/>
            </w:tcBorders>
            <w:shd w:val="clear" w:color="auto" w:fill="auto"/>
            <w:noWrap/>
            <w:vAlign w:val="bottom"/>
            <w:hideMark/>
          </w:tcPr>
          <w:p w14:paraId="6612DBA6"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3,15%</w:t>
            </w:r>
          </w:p>
        </w:tc>
      </w:tr>
      <w:tr w:rsidR="00CC64E1" w:rsidRPr="00CC64E1" w14:paraId="39CB43C7"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0AAB7668"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Reforma</w:t>
            </w:r>
          </w:p>
        </w:tc>
        <w:tc>
          <w:tcPr>
            <w:tcW w:w="2440" w:type="dxa"/>
            <w:tcBorders>
              <w:top w:val="nil"/>
              <w:left w:val="nil"/>
              <w:bottom w:val="single" w:sz="4" w:space="0" w:color="auto"/>
              <w:right w:val="single" w:sz="4" w:space="0" w:color="auto"/>
            </w:tcBorders>
            <w:shd w:val="clear" w:color="auto" w:fill="auto"/>
            <w:noWrap/>
            <w:vAlign w:val="bottom"/>
            <w:hideMark/>
          </w:tcPr>
          <w:p w14:paraId="6EEA1AF7"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261975DC"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8%</w:t>
            </w:r>
          </w:p>
        </w:tc>
      </w:tr>
      <w:tr w:rsidR="00CC64E1" w:rsidRPr="00CC64E1" w14:paraId="71D71318"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45F3EE60"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Flora</w:t>
            </w:r>
          </w:p>
        </w:tc>
        <w:tc>
          <w:tcPr>
            <w:tcW w:w="2440" w:type="dxa"/>
            <w:tcBorders>
              <w:top w:val="nil"/>
              <w:left w:val="nil"/>
              <w:bottom w:val="single" w:sz="4" w:space="0" w:color="auto"/>
              <w:right w:val="single" w:sz="4" w:space="0" w:color="auto"/>
            </w:tcBorders>
            <w:shd w:val="clear" w:color="auto" w:fill="auto"/>
            <w:noWrap/>
            <w:vAlign w:val="bottom"/>
            <w:hideMark/>
          </w:tcPr>
          <w:p w14:paraId="3A0CC4D9"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16E888DC"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8,71%</w:t>
            </w:r>
          </w:p>
        </w:tc>
      </w:tr>
      <w:tr w:rsidR="00CC64E1" w:rsidRPr="00CC64E1" w14:paraId="0B82A548"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6304823E"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Destino</w:t>
            </w:r>
          </w:p>
        </w:tc>
        <w:tc>
          <w:tcPr>
            <w:tcW w:w="2440" w:type="dxa"/>
            <w:tcBorders>
              <w:top w:val="nil"/>
              <w:left w:val="nil"/>
              <w:bottom w:val="single" w:sz="4" w:space="0" w:color="auto"/>
              <w:right w:val="single" w:sz="4" w:space="0" w:color="auto"/>
            </w:tcBorders>
            <w:shd w:val="clear" w:color="auto" w:fill="auto"/>
            <w:noWrap/>
            <w:vAlign w:val="bottom"/>
            <w:hideMark/>
          </w:tcPr>
          <w:p w14:paraId="3F056E8C"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4E6ECB86"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9,90%</w:t>
            </w:r>
          </w:p>
        </w:tc>
      </w:tr>
      <w:tr w:rsidR="00CC64E1" w:rsidRPr="00CC64E1" w14:paraId="2BD7F0B1"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2E0B6737"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Tunjuelito</w:t>
            </w:r>
          </w:p>
        </w:tc>
        <w:tc>
          <w:tcPr>
            <w:tcW w:w="2440" w:type="dxa"/>
            <w:tcBorders>
              <w:top w:val="nil"/>
              <w:left w:val="nil"/>
              <w:bottom w:val="single" w:sz="4" w:space="0" w:color="auto"/>
              <w:right w:val="single" w:sz="4" w:space="0" w:color="auto"/>
            </w:tcBorders>
            <w:shd w:val="clear" w:color="auto" w:fill="auto"/>
            <w:noWrap/>
            <w:vAlign w:val="bottom"/>
            <w:hideMark/>
          </w:tcPr>
          <w:p w14:paraId="06837B55"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7D1F10E4"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13,53%</w:t>
            </w:r>
          </w:p>
        </w:tc>
      </w:tr>
      <w:tr w:rsidR="00CC64E1" w:rsidRPr="00CC64E1" w14:paraId="6740AF82"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16398581"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 xml:space="preserve">Tunal </w:t>
            </w:r>
          </w:p>
        </w:tc>
        <w:tc>
          <w:tcPr>
            <w:tcW w:w="2440" w:type="dxa"/>
            <w:tcBorders>
              <w:top w:val="nil"/>
              <w:left w:val="nil"/>
              <w:bottom w:val="single" w:sz="4" w:space="0" w:color="auto"/>
              <w:right w:val="single" w:sz="4" w:space="0" w:color="auto"/>
            </w:tcBorders>
            <w:shd w:val="clear" w:color="auto" w:fill="auto"/>
            <w:noWrap/>
            <w:vAlign w:val="bottom"/>
            <w:hideMark/>
          </w:tcPr>
          <w:p w14:paraId="37C3591D"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Tercero</w:t>
            </w:r>
          </w:p>
        </w:tc>
        <w:tc>
          <w:tcPr>
            <w:tcW w:w="1969" w:type="dxa"/>
            <w:tcBorders>
              <w:top w:val="nil"/>
              <w:left w:val="nil"/>
              <w:bottom w:val="single" w:sz="4" w:space="0" w:color="auto"/>
              <w:right w:val="single" w:sz="4" w:space="0" w:color="auto"/>
            </w:tcBorders>
            <w:shd w:val="clear" w:color="auto" w:fill="auto"/>
            <w:noWrap/>
            <w:vAlign w:val="bottom"/>
            <w:hideMark/>
          </w:tcPr>
          <w:p w14:paraId="5C3E90AA"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8,95%</w:t>
            </w:r>
          </w:p>
        </w:tc>
      </w:tr>
      <w:tr w:rsidR="00CC64E1" w:rsidRPr="00CC64E1" w14:paraId="23723148"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379A01B1" w14:textId="77777777" w:rsidR="00CC64E1" w:rsidRPr="00CC64E1" w:rsidRDefault="00CC64E1" w:rsidP="00CC64E1">
            <w:pPr>
              <w:spacing w:after="0" w:line="240" w:lineRule="auto"/>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El Carmen</w:t>
            </w:r>
          </w:p>
        </w:tc>
        <w:tc>
          <w:tcPr>
            <w:tcW w:w="2440" w:type="dxa"/>
            <w:tcBorders>
              <w:top w:val="nil"/>
              <w:left w:val="nil"/>
              <w:bottom w:val="single" w:sz="4" w:space="0" w:color="auto"/>
              <w:right w:val="single" w:sz="4" w:space="0" w:color="auto"/>
            </w:tcBorders>
            <w:shd w:val="clear" w:color="auto" w:fill="auto"/>
            <w:noWrap/>
            <w:vAlign w:val="bottom"/>
            <w:hideMark/>
          </w:tcPr>
          <w:p w14:paraId="2A3FB99F"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69C0C5D3" w14:textId="77777777" w:rsidR="00CC64E1" w:rsidRPr="00CC64E1" w:rsidRDefault="00CC64E1" w:rsidP="00CC64E1">
            <w:pPr>
              <w:spacing w:after="0" w:line="240" w:lineRule="auto"/>
              <w:jc w:val="center"/>
              <w:rPr>
                <w:rFonts w:ascii="Arial" w:eastAsia="Times New Roman" w:hAnsi="Arial" w:cs="Arial"/>
                <w:color w:val="000000"/>
                <w:kern w:val="0"/>
                <w:sz w:val="24"/>
                <w:szCs w:val="24"/>
                <w:lang w:eastAsia="es-CO"/>
                <w14:ligatures w14:val="none"/>
              </w:rPr>
            </w:pPr>
            <w:r w:rsidRPr="00CC64E1">
              <w:rPr>
                <w:rFonts w:ascii="Arial" w:eastAsia="Times New Roman" w:hAnsi="Arial" w:cs="Arial"/>
                <w:color w:val="000000"/>
                <w:kern w:val="0"/>
                <w:sz w:val="24"/>
                <w:szCs w:val="24"/>
                <w:lang w:eastAsia="es-CO"/>
                <w14:ligatures w14:val="none"/>
              </w:rPr>
              <w:t>15,48%</w:t>
            </w:r>
          </w:p>
        </w:tc>
      </w:tr>
      <w:tr w:rsidR="00CC64E1" w:rsidRPr="00CC64E1" w14:paraId="709E7980"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6ED953C5" w14:textId="77777777" w:rsidR="00CC64E1" w:rsidRPr="00CC64E1" w:rsidRDefault="00CC64E1" w:rsidP="00CC64E1">
            <w:pPr>
              <w:spacing w:after="0" w:line="240" w:lineRule="auto"/>
              <w:rPr>
                <w:rFonts w:ascii="Arial" w:hAnsi="Arial" w:cs="Arial"/>
                <w:sz w:val="24"/>
                <w:szCs w:val="24"/>
              </w:rPr>
            </w:pPr>
            <w:r w:rsidRPr="00CC64E1">
              <w:rPr>
                <w:rFonts w:ascii="Arial" w:hAnsi="Arial" w:cs="Arial"/>
                <w:sz w:val="24"/>
                <w:szCs w:val="24"/>
              </w:rPr>
              <w:t>San Benito</w:t>
            </w:r>
          </w:p>
        </w:tc>
        <w:tc>
          <w:tcPr>
            <w:tcW w:w="2440" w:type="dxa"/>
            <w:tcBorders>
              <w:top w:val="nil"/>
              <w:left w:val="nil"/>
              <w:bottom w:val="single" w:sz="4" w:space="0" w:color="auto"/>
              <w:right w:val="single" w:sz="4" w:space="0" w:color="auto"/>
            </w:tcBorders>
            <w:shd w:val="clear" w:color="auto" w:fill="auto"/>
            <w:noWrap/>
            <w:vAlign w:val="bottom"/>
            <w:hideMark/>
          </w:tcPr>
          <w:p w14:paraId="226FAABF" w14:textId="77777777" w:rsidR="00CC64E1" w:rsidRPr="00CC64E1" w:rsidRDefault="00CC64E1" w:rsidP="00CC64E1">
            <w:pPr>
              <w:spacing w:after="0" w:line="240" w:lineRule="auto"/>
              <w:jc w:val="center"/>
              <w:rPr>
                <w:rFonts w:ascii="Arial" w:hAnsi="Arial" w:cs="Arial"/>
                <w:sz w:val="24"/>
                <w:szCs w:val="24"/>
              </w:rPr>
            </w:pPr>
            <w:r w:rsidRPr="00CC64E1">
              <w:rPr>
                <w:rFonts w:ascii="Arial" w:hAnsi="Arial" w:cs="Arial"/>
                <w:sz w:val="24"/>
                <w:szCs w:val="24"/>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30F636BB" w14:textId="77777777" w:rsidR="00CC64E1" w:rsidRPr="00CC64E1" w:rsidRDefault="00CC64E1" w:rsidP="00CC64E1">
            <w:pPr>
              <w:spacing w:after="0" w:line="240" w:lineRule="auto"/>
              <w:jc w:val="center"/>
              <w:rPr>
                <w:rFonts w:ascii="Arial" w:hAnsi="Arial" w:cs="Arial"/>
                <w:sz w:val="24"/>
                <w:szCs w:val="24"/>
              </w:rPr>
            </w:pPr>
            <w:r w:rsidRPr="00CC64E1">
              <w:rPr>
                <w:rFonts w:ascii="Arial" w:hAnsi="Arial" w:cs="Arial"/>
                <w:sz w:val="24"/>
                <w:szCs w:val="24"/>
              </w:rPr>
              <w:t>9,89%</w:t>
            </w:r>
          </w:p>
        </w:tc>
      </w:tr>
      <w:tr w:rsidR="00CC64E1" w:rsidRPr="00CC64E1" w14:paraId="768A1D33"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0AA80DFA" w14:textId="77777777" w:rsidR="00CC64E1" w:rsidRPr="00CC64E1" w:rsidRDefault="00CC64E1" w:rsidP="00CC64E1">
            <w:pPr>
              <w:spacing w:after="0" w:line="240" w:lineRule="auto"/>
              <w:rPr>
                <w:rFonts w:ascii="Arial" w:hAnsi="Arial" w:cs="Arial"/>
                <w:sz w:val="24"/>
                <w:szCs w:val="24"/>
              </w:rPr>
            </w:pPr>
            <w:r w:rsidRPr="00CC64E1">
              <w:rPr>
                <w:rFonts w:ascii="Arial" w:hAnsi="Arial" w:cs="Arial"/>
                <w:sz w:val="24"/>
                <w:szCs w:val="24"/>
              </w:rPr>
              <w:t>Sumapaz</w:t>
            </w:r>
          </w:p>
        </w:tc>
        <w:tc>
          <w:tcPr>
            <w:tcW w:w="2440" w:type="dxa"/>
            <w:tcBorders>
              <w:top w:val="nil"/>
              <w:left w:val="nil"/>
              <w:bottom w:val="single" w:sz="4" w:space="0" w:color="auto"/>
              <w:right w:val="single" w:sz="4" w:space="0" w:color="auto"/>
            </w:tcBorders>
            <w:shd w:val="clear" w:color="auto" w:fill="auto"/>
            <w:noWrap/>
            <w:vAlign w:val="bottom"/>
            <w:hideMark/>
          </w:tcPr>
          <w:p w14:paraId="6C2CE7A4" w14:textId="77777777" w:rsidR="00CC64E1" w:rsidRPr="00CC64E1" w:rsidRDefault="00CC64E1" w:rsidP="00CC64E1">
            <w:pPr>
              <w:spacing w:after="0" w:line="240" w:lineRule="auto"/>
              <w:jc w:val="center"/>
              <w:rPr>
                <w:rFonts w:ascii="Arial" w:hAnsi="Arial" w:cs="Arial"/>
                <w:sz w:val="24"/>
                <w:szCs w:val="24"/>
              </w:rPr>
            </w:pPr>
            <w:r w:rsidRPr="00CC64E1">
              <w:rPr>
                <w:rFonts w:ascii="Arial" w:hAnsi="Arial" w:cs="Arial"/>
                <w:sz w:val="24"/>
                <w:szCs w:val="24"/>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11BF64C9" w14:textId="77777777" w:rsidR="00CC64E1" w:rsidRPr="00CC64E1" w:rsidRDefault="00CC64E1" w:rsidP="00CC64E1">
            <w:pPr>
              <w:spacing w:after="0" w:line="240" w:lineRule="auto"/>
              <w:jc w:val="center"/>
              <w:rPr>
                <w:rFonts w:ascii="Arial" w:hAnsi="Arial" w:cs="Arial"/>
                <w:sz w:val="24"/>
                <w:szCs w:val="24"/>
              </w:rPr>
            </w:pPr>
            <w:r w:rsidRPr="00CC64E1">
              <w:rPr>
                <w:rFonts w:ascii="Arial" w:hAnsi="Arial" w:cs="Arial"/>
                <w:sz w:val="24"/>
                <w:szCs w:val="24"/>
              </w:rPr>
              <w:t>17,85%</w:t>
            </w:r>
          </w:p>
        </w:tc>
      </w:tr>
      <w:tr w:rsidR="00CC64E1" w:rsidRPr="00CC64E1" w14:paraId="1A9F5769"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2B8F37D9" w14:textId="77777777" w:rsidR="00CC64E1" w:rsidRPr="00CC64E1" w:rsidRDefault="00CC64E1" w:rsidP="00CC64E1">
            <w:pPr>
              <w:spacing w:after="0" w:line="240" w:lineRule="auto"/>
              <w:rPr>
                <w:rFonts w:ascii="Arial" w:hAnsi="Arial" w:cs="Arial"/>
                <w:sz w:val="24"/>
                <w:szCs w:val="24"/>
              </w:rPr>
            </w:pPr>
            <w:r w:rsidRPr="00CC64E1">
              <w:rPr>
                <w:rFonts w:ascii="Arial" w:hAnsi="Arial" w:cs="Arial"/>
                <w:sz w:val="24"/>
                <w:szCs w:val="24"/>
              </w:rPr>
              <w:t>Nazareth</w:t>
            </w:r>
          </w:p>
        </w:tc>
        <w:tc>
          <w:tcPr>
            <w:tcW w:w="2440" w:type="dxa"/>
            <w:tcBorders>
              <w:top w:val="nil"/>
              <w:left w:val="nil"/>
              <w:bottom w:val="single" w:sz="4" w:space="0" w:color="auto"/>
              <w:right w:val="single" w:sz="4" w:space="0" w:color="auto"/>
            </w:tcBorders>
            <w:shd w:val="clear" w:color="auto" w:fill="auto"/>
            <w:noWrap/>
            <w:vAlign w:val="bottom"/>
            <w:hideMark/>
          </w:tcPr>
          <w:p w14:paraId="305E3F4C" w14:textId="77777777" w:rsidR="00CC64E1" w:rsidRPr="00CC64E1" w:rsidRDefault="00CC64E1" w:rsidP="00CC64E1">
            <w:pPr>
              <w:spacing w:after="0" w:line="240" w:lineRule="auto"/>
              <w:jc w:val="center"/>
              <w:rPr>
                <w:rFonts w:ascii="Arial" w:hAnsi="Arial" w:cs="Arial"/>
                <w:sz w:val="24"/>
                <w:szCs w:val="24"/>
              </w:rPr>
            </w:pPr>
            <w:r w:rsidRPr="00CC64E1">
              <w:rPr>
                <w:rFonts w:ascii="Arial" w:hAnsi="Arial" w:cs="Arial"/>
                <w:sz w:val="24"/>
                <w:szCs w:val="24"/>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2AAF1AAE" w14:textId="77777777" w:rsidR="00CC64E1" w:rsidRPr="00CC64E1" w:rsidRDefault="00CC64E1" w:rsidP="00CC64E1">
            <w:pPr>
              <w:spacing w:after="0" w:line="240" w:lineRule="auto"/>
              <w:jc w:val="center"/>
              <w:rPr>
                <w:rFonts w:ascii="Arial" w:hAnsi="Arial" w:cs="Arial"/>
                <w:sz w:val="24"/>
                <w:szCs w:val="24"/>
              </w:rPr>
            </w:pPr>
            <w:r w:rsidRPr="00CC64E1">
              <w:rPr>
                <w:rFonts w:ascii="Arial" w:hAnsi="Arial" w:cs="Arial"/>
                <w:sz w:val="24"/>
                <w:szCs w:val="24"/>
              </w:rPr>
              <w:t>15,74%</w:t>
            </w:r>
          </w:p>
        </w:tc>
      </w:tr>
      <w:tr w:rsidR="00CC64E1" w:rsidRPr="00CC64E1" w14:paraId="77BC338B" w14:textId="77777777" w:rsidTr="00CC64E1">
        <w:trPr>
          <w:trHeight w:val="289"/>
          <w:jc w:val="center"/>
        </w:trPr>
        <w:tc>
          <w:tcPr>
            <w:tcW w:w="2579" w:type="dxa"/>
            <w:tcBorders>
              <w:top w:val="nil"/>
              <w:left w:val="single" w:sz="4" w:space="0" w:color="auto"/>
              <w:bottom w:val="single" w:sz="4" w:space="0" w:color="auto"/>
              <w:right w:val="single" w:sz="4" w:space="0" w:color="auto"/>
            </w:tcBorders>
            <w:shd w:val="clear" w:color="auto" w:fill="auto"/>
            <w:noWrap/>
            <w:vAlign w:val="bottom"/>
            <w:hideMark/>
          </w:tcPr>
          <w:p w14:paraId="6DE91495" w14:textId="77777777" w:rsidR="00CC64E1" w:rsidRPr="00CC64E1" w:rsidRDefault="00CC64E1" w:rsidP="00CC64E1">
            <w:pPr>
              <w:spacing w:after="0" w:line="240" w:lineRule="auto"/>
              <w:rPr>
                <w:rFonts w:ascii="Arial" w:hAnsi="Arial" w:cs="Arial"/>
                <w:sz w:val="24"/>
                <w:szCs w:val="24"/>
              </w:rPr>
            </w:pPr>
            <w:r w:rsidRPr="00CC64E1">
              <w:rPr>
                <w:rFonts w:ascii="Arial" w:hAnsi="Arial" w:cs="Arial"/>
                <w:sz w:val="24"/>
                <w:szCs w:val="24"/>
              </w:rPr>
              <w:t>San Juan</w:t>
            </w:r>
          </w:p>
        </w:tc>
        <w:tc>
          <w:tcPr>
            <w:tcW w:w="2440" w:type="dxa"/>
            <w:tcBorders>
              <w:top w:val="nil"/>
              <w:left w:val="nil"/>
              <w:bottom w:val="single" w:sz="4" w:space="0" w:color="auto"/>
              <w:right w:val="single" w:sz="4" w:space="0" w:color="auto"/>
            </w:tcBorders>
            <w:shd w:val="clear" w:color="auto" w:fill="auto"/>
            <w:noWrap/>
            <w:vAlign w:val="bottom"/>
            <w:hideMark/>
          </w:tcPr>
          <w:p w14:paraId="21C7963C" w14:textId="77777777" w:rsidR="00CC64E1" w:rsidRPr="00CC64E1" w:rsidRDefault="00CC64E1" w:rsidP="00CC64E1">
            <w:pPr>
              <w:spacing w:after="0" w:line="240" w:lineRule="auto"/>
              <w:jc w:val="center"/>
              <w:rPr>
                <w:rFonts w:ascii="Arial" w:hAnsi="Arial" w:cs="Arial"/>
                <w:sz w:val="24"/>
                <w:szCs w:val="24"/>
              </w:rPr>
            </w:pPr>
            <w:r w:rsidRPr="00CC64E1">
              <w:rPr>
                <w:rFonts w:ascii="Arial" w:hAnsi="Arial" w:cs="Arial"/>
                <w:sz w:val="24"/>
                <w:szCs w:val="24"/>
              </w:rPr>
              <w:t>Segundo</w:t>
            </w:r>
          </w:p>
        </w:tc>
        <w:tc>
          <w:tcPr>
            <w:tcW w:w="1969" w:type="dxa"/>
            <w:tcBorders>
              <w:top w:val="nil"/>
              <w:left w:val="nil"/>
              <w:bottom w:val="single" w:sz="4" w:space="0" w:color="auto"/>
              <w:right w:val="single" w:sz="4" w:space="0" w:color="auto"/>
            </w:tcBorders>
            <w:shd w:val="clear" w:color="auto" w:fill="auto"/>
            <w:noWrap/>
            <w:vAlign w:val="bottom"/>
            <w:hideMark/>
          </w:tcPr>
          <w:p w14:paraId="00DB4A40" w14:textId="77777777" w:rsidR="00CC64E1" w:rsidRPr="00CC64E1" w:rsidRDefault="00CC64E1" w:rsidP="00CC64E1">
            <w:pPr>
              <w:spacing w:after="0" w:line="240" w:lineRule="auto"/>
              <w:jc w:val="center"/>
              <w:rPr>
                <w:rFonts w:ascii="Arial" w:hAnsi="Arial" w:cs="Arial"/>
                <w:sz w:val="24"/>
                <w:szCs w:val="24"/>
              </w:rPr>
            </w:pPr>
            <w:r w:rsidRPr="00CC64E1">
              <w:rPr>
                <w:rFonts w:ascii="Arial" w:hAnsi="Arial" w:cs="Arial"/>
                <w:sz w:val="24"/>
                <w:szCs w:val="24"/>
              </w:rPr>
              <w:t>20,21%</w:t>
            </w:r>
          </w:p>
        </w:tc>
      </w:tr>
    </w:tbl>
    <w:p w14:paraId="0B604840" w14:textId="1B37F55D" w:rsidR="003C6884" w:rsidRPr="00824B02" w:rsidRDefault="003C6884" w:rsidP="003C6884">
      <w:pPr>
        <w:pStyle w:val="Prrafodelista"/>
        <w:jc w:val="center"/>
        <w:rPr>
          <w:rFonts w:ascii="Arial" w:hAnsi="Arial" w:cs="Arial"/>
          <w:sz w:val="24"/>
          <w:szCs w:val="24"/>
        </w:rPr>
      </w:pPr>
    </w:p>
    <w:p w14:paraId="51C1308A" w14:textId="67DB638A" w:rsidR="003C6884" w:rsidRPr="00824B02" w:rsidRDefault="003C6884" w:rsidP="003C6884">
      <w:pPr>
        <w:pStyle w:val="Prrafodelista"/>
        <w:jc w:val="center"/>
        <w:rPr>
          <w:rFonts w:ascii="Arial" w:hAnsi="Arial" w:cs="Arial"/>
          <w:sz w:val="24"/>
          <w:szCs w:val="24"/>
        </w:rPr>
      </w:pPr>
      <w:r w:rsidRPr="00824B02">
        <w:rPr>
          <w:rFonts w:ascii="Arial" w:hAnsi="Arial" w:cs="Arial"/>
          <w:sz w:val="24"/>
          <w:szCs w:val="24"/>
        </w:rPr>
        <w:t>Fuente: Registro Individual de Prestación de Servicios (RIPS), Dinámica Gerencial, Subred Integrada de Servicios de Salud del Sur ESE, 2024.</w:t>
      </w:r>
    </w:p>
    <w:p w14:paraId="4EFDFD30" w14:textId="00E6F195" w:rsidR="00374DF1" w:rsidRPr="00824B02" w:rsidRDefault="00374DF1" w:rsidP="00374DF1">
      <w:pPr>
        <w:pStyle w:val="Prrafodelista"/>
        <w:rPr>
          <w:rFonts w:ascii="Arial" w:hAnsi="Arial" w:cs="Arial"/>
          <w:sz w:val="24"/>
          <w:szCs w:val="24"/>
        </w:rPr>
      </w:pPr>
    </w:p>
    <w:p w14:paraId="36CE9E1F" w14:textId="66DBAD6D" w:rsidR="00374DF1" w:rsidRDefault="00374DF1" w:rsidP="00374DF1">
      <w:pPr>
        <w:pStyle w:val="Prrafodelista"/>
        <w:jc w:val="both"/>
        <w:rPr>
          <w:rFonts w:ascii="Arial" w:hAnsi="Arial" w:cs="Arial"/>
          <w:sz w:val="24"/>
          <w:szCs w:val="24"/>
        </w:rPr>
      </w:pPr>
      <w:r w:rsidRPr="00374DF1">
        <w:rPr>
          <w:rFonts w:ascii="Arial" w:hAnsi="Arial" w:cs="Arial"/>
          <w:sz w:val="24"/>
          <w:szCs w:val="24"/>
        </w:rPr>
        <w:t>En cuanto a mortalidad, se presenta información disponible por la Subred (datos por ocurrencia del fallecimiento)</w:t>
      </w:r>
      <w:r w:rsidR="00084332">
        <w:rPr>
          <w:rFonts w:ascii="Arial" w:hAnsi="Arial" w:cs="Arial"/>
          <w:sz w:val="24"/>
          <w:szCs w:val="24"/>
        </w:rPr>
        <w:t xml:space="preserve"> del año 2024:</w:t>
      </w:r>
    </w:p>
    <w:p w14:paraId="13B6E7C3" w14:textId="77777777" w:rsidR="00084332" w:rsidRPr="00084332" w:rsidRDefault="00084332" w:rsidP="00084332">
      <w:pPr>
        <w:pStyle w:val="Prrafodelista"/>
        <w:jc w:val="both"/>
        <w:rPr>
          <w:rFonts w:ascii="Arial" w:hAnsi="Arial" w:cs="Arial"/>
          <w:sz w:val="24"/>
          <w:szCs w:val="24"/>
        </w:rPr>
      </w:pPr>
      <w:r w:rsidRPr="00084332">
        <w:rPr>
          <w:rFonts w:ascii="Arial" w:hAnsi="Arial" w:cs="Arial"/>
          <w:sz w:val="24"/>
          <w:szCs w:val="24"/>
        </w:rPr>
        <w:t>• Total muertes analizadas: 1.691</w:t>
      </w:r>
    </w:p>
    <w:p w14:paraId="6AE5E001" w14:textId="77777777" w:rsidR="00084332" w:rsidRPr="00084332" w:rsidRDefault="00084332" w:rsidP="00084332">
      <w:pPr>
        <w:pStyle w:val="Prrafodelista"/>
        <w:jc w:val="both"/>
        <w:rPr>
          <w:rFonts w:ascii="Arial" w:hAnsi="Arial" w:cs="Arial"/>
          <w:sz w:val="24"/>
          <w:szCs w:val="24"/>
        </w:rPr>
      </w:pPr>
      <w:r w:rsidRPr="00084332">
        <w:rPr>
          <w:rFonts w:ascii="Arial" w:hAnsi="Arial" w:cs="Arial"/>
          <w:sz w:val="24"/>
          <w:szCs w:val="24"/>
        </w:rPr>
        <w:t>• Distribución por sexo:</w:t>
      </w:r>
    </w:p>
    <w:p w14:paraId="0FCF8119" w14:textId="77777777" w:rsidR="00084332" w:rsidRPr="00084332" w:rsidRDefault="00084332" w:rsidP="00084332">
      <w:pPr>
        <w:pStyle w:val="Prrafodelista"/>
        <w:jc w:val="both"/>
        <w:rPr>
          <w:rFonts w:ascii="Arial" w:hAnsi="Arial" w:cs="Arial"/>
          <w:sz w:val="24"/>
          <w:szCs w:val="24"/>
        </w:rPr>
      </w:pPr>
      <w:r w:rsidRPr="00084332">
        <w:rPr>
          <w:rFonts w:ascii="Arial" w:hAnsi="Arial" w:cs="Arial"/>
          <w:sz w:val="24"/>
          <w:szCs w:val="24"/>
        </w:rPr>
        <w:t xml:space="preserve">   - Masculino: 934 (55%)</w:t>
      </w:r>
    </w:p>
    <w:p w14:paraId="269863F1" w14:textId="77777777" w:rsidR="00084332" w:rsidRPr="00084332" w:rsidRDefault="00084332" w:rsidP="00084332">
      <w:pPr>
        <w:pStyle w:val="Prrafodelista"/>
        <w:jc w:val="both"/>
        <w:rPr>
          <w:rFonts w:ascii="Arial" w:hAnsi="Arial" w:cs="Arial"/>
          <w:sz w:val="24"/>
          <w:szCs w:val="24"/>
        </w:rPr>
      </w:pPr>
      <w:r w:rsidRPr="00084332">
        <w:rPr>
          <w:rFonts w:ascii="Arial" w:hAnsi="Arial" w:cs="Arial"/>
          <w:sz w:val="24"/>
          <w:szCs w:val="24"/>
        </w:rPr>
        <w:t xml:space="preserve">   - Femenino: 757 (45%)</w:t>
      </w:r>
    </w:p>
    <w:p w14:paraId="3F3ECF72" w14:textId="77777777" w:rsidR="00084332" w:rsidRPr="00084332" w:rsidRDefault="00084332" w:rsidP="00084332">
      <w:pPr>
        <w:pStyle w:val="Prrafodelista"/>
        <w:jc w:val="both"/>
        <w:rPr>
          <w:rFonts w:ascii="Arial" w:hAnsi="Arial" w:cs="Arial"/>
          <w:sz w:val="24"/>
          <w:szCs w:val="24"/>
        </w:rPr>
      </w:pPr>
      <w:r w:rsidRPr="00084332">
        <w:rPr>
          <w:rFonts w:ascii="Arial" w:hAnsi="Arial" w:cs="Arial"/>
          <w:sz w:val="24"/>
          <w:szCs w:val="24"/>
        </w:rPr>
        <w:t>Principales causas de muerte:</w:t>
      </w:r>
    </w:p>
    <w:p w14:paraId="67A91969" w14:textId="77777777" w:rsidR="00084332" w:rsidRPr="00084332" w:rsidRDefault="00084332" w:rsidP="00084332">
      <w:pPr>
        <w:pStyle w:val="Prrafodelista"/>
        <w:jc w:val="both"/>
        <w:rPr>
          <w:rFonts w:ascii="Arial" w:hAnsi="Arial" w:cs="Arial"/>
          <w:sz w:val="24"/>
          <w:szCs w:val="24"/>
        </w:rPr>
      </w:pPr>
      <w:r w:rsidRPr="00084332">
        <w:rPr>
          <w:rFonts w:ascii="Arial" w:hAnsi="Arial" w:cs="Arial"/>
          <w:sz w:val="24"/>
          <w:szCs w:val="24"/>
        </w:rPr>
        <w:t>1. Enfermedades isquémicas del corazón – 607 (36%)</w:t>
      </w:r>
    </w:p>
    <w:p w14:paraId="5D40B88B" w14:textId="77777777" w:rsidR="00084332" w:rsidRPr="00084332" w:rsidRDefault="00084332" w:rsidP="00084332">
      <w:pPr>
        <w:pStyle w:val="Prrafodelista"/>
        <w:jc w:val="both"/>
        <w:rPr>
          <w:rFonts w:ascii="Arial" w:hAnsi="Arial" w:cs="Arial"/>
          <w:sz w:val="24"/>
          <w:szCs w:val="24"/>
        </w:rPr>
      </w:pPr>
      <w:r w:rsidRPr="00084332">
        <w:rPr>
          <w:rFonts w:ascii="Arial" w:hAnsi="Arial" w:cs="Arial"/>
          <w:sz w:val="24"/>
          <w:szCs w:val="24"/>
        </w:rPr>
        <w:t>2. Infecciones respiratorias agudas – 270 (16%)</w:t>
      </w:r>
    </w:p>
    <w:p w14:paraId="16F49FD0" w14:textId="77777777" w:rsidR="00084332" w:rsidRPr="00084332" w:rsidRDefault="00084332" w:rsidP="00084332">
      <w:pPr>
        <w:pStyle w:val="Prrafodelista"/>
        <w:jc w:val="both"/>
        <w:rPr>
          <w:rFonts w:ascii="Arial" w:hAnsi="Arial" w:cs="Arial"/>
          <w:sz w:val="24"/>
          <w:szCs w:val="24"/>
        </w:rPr>
      </w:pPr>
      <w:r w:rsidRPr="00084332">
        <w:rPr>
          <w:rFonts w:ascii="Arial" w:hAnsi="Arial" w:cs="Arial"/>
          <w:sz w:val="24"/>
          <w:szCs w:val="24"/>
        </w:rPr>
        <w:t>3. Agresiones (homicidios) – 198 (12%)</w:t>
      </w:r>
    </w:p>
    <w:p w14:paraId="41A3B6F2" w14:textId="77777777" w:rsidR="00084332" w:rsidRPr="00084332" w:rsidRDefault="00084332" w:rsidP="00084332">
      <w:pPr>
        <w:pStyle w:val="Prrafodelista"/>
        <w:jc w:val="both"/>
        <w:rPr>
          <w:rFonts w:ascii="Arial" w:hAnsi="Arial" w:cs="Arial"/>
          <w:sz w:val="24"/>
          <w:szCs w:val="24"/>
        </w:rPr>
      </w:pPr>
      <w:r w:rsidRPr="00084332">
        <w:rPr>
          <w:rFonts w:ascii="Arial" w:hAnsi="Arial" w:cs="Arial"/>
          <w:sz w:val="24"/>
          <w:szCs w:val="24"/>
        </w:rPr>
        <w:t>4. Infecciosas y parasitarias – 180 (11%)</w:t>
      </w:r>
    </w:p>
    <w:p w14:paraId="40AE2739" w14:textId="77777777" w:rsidR="00084332" w:rsidRPr="00084332" w:rsidRDefault="00084332" w:rsidP="00084332">
      <w:pPr>
        <w:pStyle w:val="Prrafodelista"/>
        <w:jc w:val="both"/>
        <w:rPr>
          <w:rFonts w:ascii="Arial" w:hAnsi="Arial" w:cs="Arial"/>
          <w:sz w:val="24"/>
          <w:szCs w:val="24"/>
        </w:rPr>
      </w:pPr>
      <w:r w:rsidRPr="00084332">
        <w:rPr>
          <w:rFonts w:ascii="Arial" w:hAnsi="Arial" w:cs="Arial"/>
          <w:sz w:val="24"/>
          <w:szCs w:val="24"/>
        </w:rPr>
        <w:t>5. Enfermedades cerebrovasculares – 152 (9%)</w:t>
      </w:r>
    </w:p>
    <w:p w14:paraId="14991FAB" w14:textId="732E8D0A" w:rsidR="00084332" w:rsidRDefault="00084332" w:rsidP="00374DF1">
      <w:pPr>
        <w:pStyle w:val="Prrafodelista"/>
        <w:jc w:val="both"/>
        <w:rPr>
          <w:rFonts w:ascii="Arial" w:hAnsi="Arial" w:cs="Arial"/>
          <w:sz w:val="24"/>
          <w:szCs w:val="24"/>
        </w:rPr>
      </w:pPr>
    </w:p>
    <w:p w14:paraId="5BE59B16" w14:textId="52F6298A" w:rsidR="00084332" w:rsidRDefault="00084332" w:rsidP="006D3F80">
      <w:pPr>
        <w:pStyle w:val="Prrafodelista"/>
        <w:jc w:val="center"/>
        <w:rPr>
          <w:rFonts w:ascii="Arial" w:hAnsi="Arial" w:cs="Arial"/>
          <w:sz w:val="24"/>
          <w:szCs w:val="24"/>
        </w:rPr>
      </w:pPr>
      <w:r>
        <w:rPr>
          <w:rFonts w:ascii="Arial" w:hAnsi="Arial" w:cs="Arial"/>
          <w:sz w:val="24"/>
          <w:szCs w:val="24"/>
        </w:rPr>
        <w:t xml:space="preserve">Gráfica 1. Primeras </w:t>
      </w:r>
      <w:r w:rsidRPr="00084332">
        <w:rPr>
          <w:rFonts w:ascii="Arial" w:hAnsi="Arial" w:cs="Arial"/>
          <w:sz w:val="24"/>
          <w:szCs w:val="24"/>
        </w:rPr>
        <w:t>10 causas de mortalidad 2024</w:t>
      </w:r>
    </w:p>
    <w:p w14:paraId="507AD379" w14:textId="36A6A8F9" w:rsidR="00084332" w:rsidRDefault="00084332" w:rsidP="00374DF1">
      <w:pPr>
        <w:pStyle w:val="Prrafodelista"/>
        <w:jc w:val="both"/>
        <w:rPr>
          <w:rFonts w:ascii="Arial" w:hAnsi="Arial" w:cs="Arial"/>
          <w:sz w:val="24"/>
          <w:szCs w:val="24"/>
        </w:rPr>
      </w:pPr>
      <w:r w:rsidRPr="00824B02">
        <w:rPr>
          <w:rFonts w:ascii="Arial" w:hAnsi="Arial" w:cs="Arial"/>
          <w:noProof/>
          <w:sz w:val="24"/>
          <w:szCs w:val="24"/>
        </w:rPr>
        <w:lastRenderedPageBreak/>
        <w:drawing>
          <wp:inline distT="0" distB="0" distL="0" distR="0" wp14:anchorId="6E5B07D3" wp14:editId="1EBF943D">
            <wp:extent cx="5191094" cy="3163385"/>
            <wp:effectExtent l="0" t="0" r="0" b="0"/>
            <wp:docPr id="3" name="Picture 2" descr="mortalidad_top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mortalidad_top10.png"/>
                    <pic:cNvPicPr>
                      <a:picLocks noChangeAspect="1"/>
                    </pic:cNvPicPr>
                  </pic:nvPicPr>
                  <pic:blipFill>
                    <a:blip r:embed="rId5"/>
                    <a:stretch>
                      <a:fillRect/>
                    </a:stretch>
                  </pic:blipFill>
                  <pic:spPr>
                    <a:xfrm>
                      <a:off x="0" y="0"/>
                      <a:ext cx="5205281" cy="3172030"/>
                    </a:xfrm>
                    <a:prstGeom prst="rect">
                      <a:avLst/>
                    </a:prstGeom>
                  </pic:spPr>
                </pic:pic>
              </a:graphicData>
            </a:graphic>
          </wp:inline>
        </w:drawing>
      </w:r>
    </w:p>
    <w:p w14:paraId="3D172794" w14:textId="77777777" w:rsidR="006600C5" w:rsidRPr="00824B02" w:rsidRDefault="006D3F80" w:rsidP="006D3F80">
      <w:pPr>
        <w:pStyle w:val="Prrafodelista"/>
        <w:jc w:val="center"/>
        <w:rPr>
          <w:rFonts w:ascii="Arial" w:hAnsi="Arial" w:cs="Arial"/>
          <w:sz w:val="24"/>
          <w:szCs w:val="24"/>
        </w:rPr>
      </w:pPr>
      <w:r w:rsidRPr="00824B02">
        <w:rPr>
          <w:rFonts w:ascii="Arial" w:hAnsi="Arial" w:cs="Arial"/>
          <w:sz w:val="24"/>
          <w:szCs w:val="24"/>
        </w:rPr>
        <w:t>Fuente. Reporte RUAF. Defunciones Subred Integrada de Servicios de Salud E.S.E.</w:t>
      </w:r>
    </w:p>
    <w:p w14:paraId="34589CA0" w14:textId="77777777" w:rsidR="006600C5" w:rsidRPr="00824B02" w:rsidRDefault="006600C5" w:rsidP="006600C5">
      <w:pPr>
        <w:pStyle w:val="Prrafodelista"/>
        <w:rPr>
          <w:rFonts w:ascii="Arial" w:hAnsi="Arial" w:cs="Arial"/>
          <w:sz w:val="24"/>
          <w:szCs w:val="24"/>
        </w:rPr>
      </w:pPr>
    </w:p>
    <w:p w14:paraId="551395E3" w14:textId="77777777" w:rsidR="006600C5" w:rsidRPr="00824B02" w:rsidRDefault="006600C5" w:rsidP="006600C5">
      <w:pPr>
        <w:pStyle w:val="Prrafodelista"/>
        <w:rPr>
          <w:rFonts w:ascii="Arial" w:hAnsi="Arial" w:cs="Arial"/>
          <w:sz w:val="24"/>
          <w:szCs w:val="24"/>
        </w:rPr>
      </w:pPr>
    </w:p>
    <w:p w14:paraId="32AD36DE" w14:textId="42426759" w:rsidR="006D3F80" w:rsidRDefault="006600C5" w:rsidP="006600C5">
      <w:pPr>
        <w:pStyle w:val="Prrafodelista"/>
        <w:rPr>
          <w:rFonts w:ascii="Arial" w:hAnsi="Arial" w:cs="Arial"/>
          <w:sz w:val="24"/>
          <w:szCs w:val="24"/>
        </w:rPr>
      </w:pPr>
      <w:r w:rsidRPr="006600C5">
        <w:rPr>
          <w:rFonts w:ascii="Arial" w:hAnsi="Arial" w:cs="Arial"/>
          <w:sz w:val="24"/>
          <w:szCs w:val="24"/>
        </w:rPr>
        <w:t xml:space="preserve">El </w:t>
      </w:r>
      <w:r w:rsidR="00401B97">
        <w:rPr>
          <w:rFonts w:ascii="Arial" w:hAnsi="Arial" w:cs="Arial"/>
          <w:sz w:val="24"/>
          <w:szCs w:val="24"/>
        </w:rPr>
        <w:t>90</w:t>
      </w:r>
      <w:r w:rsidRPr="006600C5">
        <w:rPr>
          <w:rFonts w:ascii="Arial" w:hAnsi="Arial" w:cs="Arial"/>
          <w:sz w:val="24"/>
          <w:szCs w:val="24"/>
        </w:rPr>
        <w:t>% de las defunciones son certificada</w:t>
      </w:r>
      <w:r w:rsidR="00401B97">
        <w:rPr>
          <w:rFonts w:ascii="Arial" w:hAnsi="Arial" w:cs="Arial"/>
          <w:sz w:val="24"/>
          <w:szCs w:val="24"/>
        </w:rPr>
        <w:t>s</w:t>
      </w:r>
      <w:r w:rsidRPr="006600C5">
        <w:rPr>
          <w:rFonts w:ascii="Arial" w:hAnsi="Arial" w:cs="Arial"/>
          <w:sz w:val="24"/>
          <w:szCs w:val="24"/>
        </w:rPr>
        <w:t xml:space="preserve"> </w:t>
      </w:r>
      <w:r w:rsidR="00EE3E10">
        <w:rPr>
          <w:rFonts w:ascii="Arial" w:hAnsi="Arial" w:cs="Arial"/>
          <w:sz w:val="24"/>
          <w:szCs w:val="24"/>
        </w:rPr>
        <w:t>por los H</w:t>
      </w:r>
      <w:r w:rsidRPr="006600C5">
        <w:rPr>
          <w:rFonts w:ascii="Arial" w:hAnsi="Arial" w:cs="Arial"/>
          <w:sz w:val="24"/>
          <w:szCs w:val="24"/>
        </w:rPr>
        <w:t>ospital</w:t>
      </w:r>
      <w:r w:rsidR="00EE3E10">
        <w:rPr>
          <w:rFonts w:ascii="Arial" w:hAnsi="Arial" w:cs="Arial"/>
          <w:sz w:val="24"/>
          <w:szCs w:val="24"/>
        </w:rPr>
        <w:t>es</w:t>
      </w:r>
      <w:r w:rsidRPr="006600C5">
        <w:rPr>
          <w:rFonts w:ascii="Arial" w:hAnsi="Arial" w:cs="Arial"/>
          <w:sz w:val="24"/>
          <w:szCs w:val="24"/>
        </w:rPr>
        <w:t xml:space="preserve"> Tunal y Meissen</w:t>
      </w:r>
      <w:r>
        <w:rPr>
          <w:rFonts w:ascii="Arial" w:hAnsi="Arial" w:cs="Arial"/>
          <w:sz w:val="24"/>
          <w:szCs w:val="24"/>
        </w:rPr>
        <w:t xml:space="preserve">, </w:t>
      </w:r>
      <w:r w:rsidR="00EE3E10">
        <w:rPr>
          <w:rFonts w:ascii="Arial" w:hAnsi="Arial" w:cs="Arial"/>
          <w:sz w:val="24"/>
          <w:szCs w:val="24"/>
        </w:rPr>
        <w:t>lo</w:t>
      </w:r>
      <w:r>
        <w:rPr>
          <w:rFonts w:ascii="Arial" w:hAnsi="Arial" w:cs="Arial"/>
          <w:sz w:val="24"/>
          <w:szCs w:val="24"/>
        </w:rPr>
        <w:t xml:space="preserve"> cual obedece a la concentración de usuarios en el servicio de urgencias y hospitalización</w:t>
      </w:r>
      <w:r w:rsidRPr="006600C5">
        <w:rPr>
          <w:rFonts w:ascii="Arial" w:hAnsi="Arial" w:cs="Arial"/>
          <w:sz w:val="24"/>
          <w:szCs w:val="24"/>
        </w:rPr>
        <w:t xml:space="preserve">. </w:t>
      </w:r>
      <w:r w:rsidR="006D3F80" w:rsidRPr="006600C5">
        <w:rPr>
          <w:rFonts w:ascii="Arial" w:hAnsi="Arial" w:cs="Arial"/>
          <w:sz w:val="24"/>
          <w:szCs w:val="24"/>
        </w:rPr>
        <w:t xml:space="preserve"> </w:t>
      </w:r>
    </w:p>
    <w:p w14:paraId="08838A04" w14:textId="39527646" w:rsidR="00824B02" w:rsidRDefault="00824B02" w:rsidP="006600C5">
      <w:pPr>
        <w:pStyle w:val="Prrafodelista"/>
        <w:rPr>
          <w:rFonts w:ascii="Arial" w:hAnsi="Arial" w:cs="Arial"/>
          <w:sz w:val="24"/>
          <w:szCs w:val="24"/>
        </w:rPr>
      </w:pPr>
    </w:p>
    <w:p w14:paraId="796F841B" w14:textId="602D4C6D" w:rsidR="00824B02" w:rsidRPr="00FD055D" w:rsidRDefault="00824B02" w:rsidP="00824B02">
      <w:pPr>
        <w:pStyle w:val="Prrafodelista"/>
        <w:numPr>
          <w:ilvl w:val="0"/>
          <w:numId w:val="2"/>
        </w:numPr>
        <w:rPr>
          <w:rFonts w:ascii="Arial" w:hAnsi="Arial" w:cs="Arial"/>
          <w:b/>
          <w:bCs/>
          <w:sz w:val="24"/>
          <w:szCs w:val="24"/>
        </w:rPr>
      </w:pPr>
      <w:r w:rsidRPr="00FD055D">
        <w:rPr>
          <w:rFonts w:ascii="Arial" w:hAnsi="Arial" w:cs="Arial"/>
          <w:b/>
          <w:bCs/>
          <w:sz w:val="24"/>
          <w:szCs w:val="24"/>
        </w:rPr>
        <w:t>¿Cuál es el costo promedio para el Distrito la atención de pacientes con enfermedades cardiovasculares?</w:t>
      </w:r>
    </w:p>
    <w:p w14:paraId="2B338FB8" w14:textId="69E4B6C9" w:rsidR="00824B02" w:rsidRDefault="00FD055D" w:rsidP="00665919">
      <w:pPr>
        <w:ind w:left="360"/>
        <w:jc w:val="both"/>
        <w:rPr>
          <w:rFonts w:ascii="Arial" w:hAnsi="Arial" w:cs="Arial"/>
          <w:sz w:val="24"/>
          <w:szCs w:val="24"/>
        </w:rPr>
      </w:pPr>
      <w:r w:rsidRPr="00FD055D">
        <w:rPr>
          <w:rFonts w:ascii="Arial" w:hAnsi="Arial" w:cs="Arial"/>
          <w:b/>
          <w:bCs/>
          <w:sz w:val="24"/>
          <w:szCs w:val="24"/>
        </w:rPr>
        <w:t>Respuesta.</w:t>
      </w:r>
      <w:r w:rsidR="00665919">
        <w:rPr>
          <w:rFonts w:ascii="Arial" w:hAnsi="Arial" w:cs="Arial"/>
          <w:b/>
          <w:bCs/>
          <w:sz w:val="24"/>
          <w:szCs w:val="24"/>
        </w:rPr>
        <w:t xml:space="preserve"> </w:t>
      </w:r>
      <w:r>
        <w:rPr>
          <w:rFonts w:ascii="Arial" w:hAnsi="Arial" w:cs="Arial"/>
          <w:sz w:val="24"/>
          <w:szCs w:val="24"/>
        </w:rPr>
        <w:t>Tal y como se menciona en la respuesta al numeral 13 en un ejercicio propio de la Subred en el año 2022 se costeó la Ruta de enfermedades respiratorias crónicas (costo promedio usuario $</w:t>
      </w:r>
      <w:r w:rsidRPr="004764BE">
        <w:rPr>
          <w:rFonts w:ascii="Arial" w:hAnsi="Arial" w:cs="Arial"/>
          <w:sz w:val="24"/>
          <w:szCs w:val="24"/>
        </w:rPr>
        <w:t>757</w:t>
      </w:r>
      <w:r>
        <w:rPr>
          <w:rFonts w:ascii="Arial" w:hAnsi="Arial" w:cs="Arial"/>
          <w:sz w:val="24"/>
          <w:szCs w:val="24"/>
        </w:rPr>
        <w:t>.</w:t>
      </w:r>
      <w:r w:rsidRPr="004764BE">
        <w:rPr>
          <w:rFonts w:ascii="Arial" w:hAnsi="Arial" w:cs="Arial"/>
          <w:sz w:val="24"/>
          <w:szCs w:val="24"/>
        </w:rPr>
        <w:t>126</w:t>
      </w:r>
      <w:r>
        <w:rPr>
          <w:rFonts w:ascii="Arial" w:hAnsi="Arial" w:cs="Arial"/>
          <w:sz w:val="24"/>
          <w:szCs w:val="24"/>
        </w:rPr>
        <w:t>) y la Ruta cardio cerebro vascular y metabólica (costo promedio usuario $951.223) tomando como guía las atenciones que incluyen estos contratos y el alto riesgo, lo que permite con detalle identificar de manera básica el costo de la atención de la persona con diagnósticos de patología crónica en promedio.</w:t>
      </w:r>
    </w:p>
    <w:p w14:paraId="654AA7E0" w14:textId="77777777" w:rsidR="00824B02" w:rsidRPr="00FD055D" w:rsidRDefault="00824B02" w:rsidP="00824B02">
      <w:pPr>
        <w:rPr>
          <w:rFonts w:ascii="Arial" w:hAnsi="Arial" w:cs="Arial"/>
          <w:sz w:val="24"/>
          <w:szCs w:val="24"/>
        </w:rPr>
      </w:pPr>
    </w:p>
    <w:p w14:paraId="2B902576" w14:textId="2357CD6C" w:rsidR="00824B02" w:rsidRDefault="00824B02" w:rsidP="00824B02">
      <w:pPr>
        <w:pStyle w:val="Prrafodelista"/>
        <w:numPr>
          <w:ilvl w:val="0"/>
          <w:numId w:val="2"/>
        </w:numPr>
        <w:rPr>
          <w:rFonts w:ascii="Arial" w:hAnsi="Arial" w:cs="Arial"/>
          <w:b/>
          <w:bCs/>
          <w:sz w:val="24"/>
          <w:szCs w:val="24"/>
        </w:rPr>
      </w:pPr>
      <w:r w:rsidRPr="00FD055D">
        <w:rPr>
          <w:rFonts w:ascii="Arial" w:hAnsi="Arial" w:cs="Arial"/>
          <w:b/>
          <w:bCs/>
          <w:sz w:val="24"/>
          <w:szCs w:val="24"/>
        </w:rPr>
        <w:t>¿Cómo influye la detección temprana de enfermedades en los gastos futuros de atención a pacientes?</w:t>
      </w:r>
    </w:p>
    <w:p w14:paraId="7A706A78" w14:textId="0FE0AE0A" w:rsidR="00FD055D" w:rsidRDefault="00FD055D" w:rsidP="00D96101">
      <w:pPr>
        <w:ind w:left="360"/>
        <w:jc w:val="both"/>
        <w:rPr>
          <w:rFonts w:ascii="Arial" w:hAnsi="Arial" w:cs="Arial"/>
          <w:sz w:val="24"/>
          <w:szCs w:val="24"/>
        </w:rPr>
      </w:pPr>
      <w:r w:rsidRPr="00FD055D">
        <w:rPr>
          <w:rFonts w:ascii="Arial" w:hAnsi="Arial" w:cs="Arial"/>
          <w:b/>
          <w:bCs/>
          <w:sz w:val="24"/>
          <w:szCs w:val="24"/>
        </w:rPr>
        <w:t>Respuesta.</w:t>
      </w:r>
      <w:r>
        <w:rPr>
          <w:rFonts w:ascii="Arial" w:hAnsi="Arial" w:cs="Arial"/>
          <w:b/>
          <w:bCs/>
          <w:sz w:val="24"/>
          <w:szCs w:val="24"/>
        </w:rPr>
        <w:t xml:space="preserve"> </w:t>
      </w:r>
      <w:r w:rsidR="00787E95" w:rsidRPr="00787E95">
        <w:rPr>
          <w:rFonts w:ascii="Arial" w:hAnsi="Arial" w:cs="Arial"/>
          <w:sz w:val="24"/>
          <w:szCs w:val="24"/>
        </w:rPr>
        <w:t>Si bien es cierto las enfermedades crónicas son un componente de Cuentas de Alto Costo, l</w:t>
      </w:r>
      <w:r w:rsidR="00C85920" w:rsidRPr="00787E95">
        <w:rPr>
          <w:rFonts w:ascii="Arial" w:hAnsi="Arial" w:cs="Arial"/>
          <w:sz w:val="24"/>
          <w:szCs w:val="24"/>
        </w:rPr>
        <w:t xml:space="preserve">a detección temprana de personas en riesgo de padecer enfermedades cardiovasculares </w:t>
      </w:r>
      <w:r w:rsidR="005E27EB" w:rsidRPr="00787E95">
        <w:rPr>
          <w:rFonts w:ascii="Arial" w:hAnsi="Arial" w:cs="Arial"/>
          <w:sz w:val="24"/>
          <w:szCs w:val="24"/>
        </w:rPr>
        <w:t>es</w:t>
      </w:r>
      <w:r w:rsidR="005E27EB">
        <w:rPr>
          <w:rFonts w:ascii="Arial" w:hAnsi="Arial" w:cs="Arial"/>
          <w:sz w:val="24"/>
          <w:szCs w:val="24"/>
        </w:rPr>
        <w:t xml:space="preserve"> uno de los mecanismos de</w:t>
      </w:r>
      <w:r w:rsidR="00C85920">
        <w:rPr>
          <w:rFonts w:ascii="Arial" w:hAnsi="Arial" w:cs="Arial"/>
          <w:sz w:val="24"/>
          <w:szCs w:val="24"/>
        </w:rPr>
        <w:t xml:space="preserve"> enfoque pre</w:t>
      </w:r>
      <w:r w:rsidR="005E27EB">
        <w:rPr>
          <w:rFonts w:ascii="Arial" w:hAnsi="Arial" w:cs="Arial"/>
          <w:sz w:val="24"/>
          <w:szCs w:val="24"/>
        </w:rPr>
        <w:t xml:space="preserve">dictivo que permitiría minimizar la presencia de la enfermedad y que hace </w:t>
      </w:r>
      <w:r w:rsidR="00EF6B0A">
        <w:rPr>
          <w:rFonts w:ascii="Arial" w:hAnsi="Arial" w:cs="Arial"/>
          <w:sz w:val="24"/>
          <w:szCs w:val="24"/>
        </w:rPr>
        <w:t>p</w:t>
      </w:r>
      <w:r w:rsidR="005E27EB">
        <w:rPr>
          <w:rFonts w:ascii="Arial" w:hAnsi="Arial" w:cs="Arial"/>
          <w:sz w:val="24"/>
          <w:szCs w:val="24"/>
        </w:rPr>
        <w:t xml:space="preserve">arte del Modelo de </w:t>
      </w:r>
      <w:r w:rsidR="00C85920">
        <w:rPr>
          <w:rFonts w:ascii="Arial" w:hAnsi="Arial" w:cs="Arial"/>
          <w:sz w:val="24"/>
          <w:szCs w:val="24"/>
        </w:rPr>
        <w:t>atención</w:t>
      </w:r>
      <w:r w:rsidR="005E27EB">
        <w:rPr>
          <w:rFonts w:ascii="Arial" w:hAnsi="Arial" w:cs="Arial"/>
          <w:sz w:val="24"/>
          <w:szCs w:val="24"/>
        </w:rPr>
        <w:t xml:space="preserve"> en salud MAS Bienestar</w:t>
      </w:r>
      <w:r w:rsidR="00787E95">
        <w:rPr>
          <w:rFonts w:ascii="Arial" w:hAnsi="Arial" w:cs="Arial"/>
          <w:sz w:val="24"/>
          <w:szCs w:val="24"/>
        </w:rPr>
        <w:t>; y de igual forma esta contemplado en el marco de la Ruta Integral de Atención en Salud de Promoción y Mantenimiento. En cuanto a los gastos futuros están sujetos a las dinámicas de las contrataciones con las EAPB</w:t>
      </w:r>
      <w:r w:rsidR="006D037F">
        <w:rPr>
          <w:rFonts w:ascii="Arial" w:hAnsi="Arial" w:cs="Arial"/>
          <w:sz w:val="24"/>
          <w:szCs w:val="24"/>
        </w:rPr>
        <w:t xml:space="preserve"> y</w:t>
      </w:r>
      <w:r w:rsidR="00787E95">
        <w:rPr>
          <w:rFonts w:ascii="Arial" w:hAnsi="Arial" w:cs="Arial"/>
          <w:sz w:val="24"/>
          <w:szCs w:val="24"/>
        </w:rPr>
        <w:t xml:space="preserve"> ajustes operativos del modelo de salud a nivel distrital.</w:t>
      </w:r>
    </w:p>
    <w:p w14:paraId="398174F3" w14:textId="36705469" w:rsidR="00373E56" w:rsidRDefault="00373E56" w:rsidP="00D96101">
      <w:pPr>
        <w:ind w:left="360"/>
        <w:jc w:val="both"/>
        <w:rPr>
          <w:rFonts w:ascii="Arial" w:hAnsi="Arial" w:cs="Arial"/>
          <w:b/>
          <w:bCs/>
          <w:sz w:val="24"/>
          <w:szCs w:val="24"/>
        </w:rPr>
      </w:pPr>
    </w:p>
    <w:p w14:paraId="0E631A96" w14:textId="1A4779B4" w:rsidR="00373E56" w:rsidRDefault="00373E56" w:rsidP="00D96101">
      <w:pPr>
        <w:ind w:left="360"/>
        <w:jc w:val="both"/>
        <w:rPr>
          <w:rFonts w:ascii="Arial" w:hAnsi="Arial" w:cs="Arial"/>
          <w:b/>
          <w:bCs/>
          <w:sz w:val="24"/>
          <w:szCs w:val="24"/>
        </w:rPr>
      </w:pPr>
    </w:p>
    <w:p w14:paraId="4314B92B" w14:textId="77777777" w:rsidR="00F56446" w:rsidRDefault="00F56446" w:rsidP="00D96101">
      <w:pPr>
        <w:ind w:left="360"/>
        <w:jc w:val="both"/>
        <w:rPr>
          <w:rFonts w:ascii="Arial" w:hAnsi="Arial" w:cs="Arial"/>
          <w:b/>
          <w:bCs/>
          <w:sz w:val="24"/>
          <w:szCs w:val="24"/>
        </w:rPr>
      </w:pPr>
      <w:bookmarkStart w:id="0" w:name="_GoBack"/>
      <w:bookmarkEnd w:id="0"/>
    </w:p>
    <w:p w14:paraId="031D8C67" w14:textId="59FF0850" w:rsidR="00373E56" w:rsidRDefault="00373E56" w:rsidP="00675F69">
      <w:pPr>
        <w:spacing w:after="0"/>
        <w:ind w:left="360"/>
        <w:jc w:val="both"/>
        <w:rPr>
          <w:rFonts w:ascii="Arial" w:hAnsi="Arial" w:cs="Arial"/>
          <w:sz w:val="24"/>
          <w:szCs w:val="24"/>
        </w:rPr>
      </w:pPr>
      <w:r>
        <w:rPr>
          <w:rFonts w:ascii="Arial" w:hAnsi="Arial" w:cs="Arial"/>
          <w:sz w:val="24"/>
          <w:szCs w:val="24"/>
        </w:rPr>
        <w:lastRenderedPageBreak/>
        <w:t xml:space="preserve">Revisado. Yolanda Gutiérrez Montilla </w:t>
      </w:r>
    </w:p>
    <w:p w14:paraId="0D0A4EDD" w14:textId="32B68C9E" w:rsidR="00373E56" w:rsidRPr="00373E56" w:rsidRDefault="00373E56" w:rsidP="00675F69">
      <w:pPr>
        <w:spacing w:after="0"/>
        <w:ind w:left="360"/>
        <w:jc w:val="both"/>
        <w:rPr>
          <w:rFonts w:ascii="Arial" w:hAnsi="Arial" w:cs="Arial"/>
          <w:sz w:val="24"/>
          <w:szCs w:val="24"/>
        </w:rPr>
      </w:pPr>
      <w:r w:rsidRPr="00373E56">
        <w:rPr>
          <w:rFonts w:ascii="Arial" w:hAnsi="Arial" w:cs="Arial"/>
          <w:sz w:val="24"/>
          <w:szCs w:val="24"/>
        </w:rPr>
        <w:t>Proyecto. Yizeth Roncancio/Luisa Ospina / Gina Flórez</w:t>
      </w:r>
    </w:p>
    <w:p w14:paraId="50A82A77" w14:textId="77777777" w:rsidR="00FD055D" w:rsidRPr="00FD055D" w:rsidRDefault="00FD055D" w:rsidP="00FD055D">
      <w:pPr>
        <w:rPr>
          <w:rFonts w:ascii="Arial" w:hAnsi="Arial" w:cs="Arial"/>
          <w:sz w:val="24"/>
          <w:szCs w:val="24"/>
        </w:rPr>
      </w:pPr>
    </w:p>
    <w:sectPr w:rsidR="00FD055D" w:rsidRPr="00FD055D" w:rsidSect="007B0AA3">
      <w:pgSz w:w="12240" w:h="15840"/>
      <w:pgMar w:top="1400" w:right="900" w:bottom="0" w:left="9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26186"/>
    <w:multiLevelType w:val="hybridMultilevel"/>
    <w:tmpl w:val="875AEA16"/>
    <w:lvl w:ilvl="0" w:tplc="240A000F">
      <w:start w:val="1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184CF1"/>
    <w:multiLevelType w:val="multilevel"/>
    <w:tmpl w:val="DE60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477CEB"/>
    <w:multiLevelType w:val="multilevel"/>
    <w:tmpl w:val="3072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457237"/>
    <w:multiLevelType w:val="multilevel"/>
    <w:tmpl w:val="0CB61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5E011F"/>
    <w:multiLevelType w:val="multilevel"/>
    <w:tmpl w:val="3BFE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EE02DC"/>
    <w:multiLevelType w:val="multilevel"/>
    <w:tmpl w:val="D03E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8E3F53"/>
    <w:multiLevelType w:val="multilevel"/>
    <w:tmpl w:val="19869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1C45B8"/>
    <w:multiLevelType w:val="hybridMultilevel"/>
    <w:tmpl w:val="E2965B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4"/>
  </w:num>
  <w:num w:numId="5">
    <w:abstractNumId w:val="6"/>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AA3"/>
    <w:rsid w:val="00084332"/>
    <w:rsid w:val="001136A8"/>
    <w:rsid w:val="00174CB9"/>
    <w:rsid w:val="001A2E0A"/>
    <w:rsid w:val="00251034"/>
    <w:rsid w:val="002F7EBF"/>
    <w:rsid w:val="003570A5"/>
    <w:rsid w:val="00373E56"/>
    <w:rsid w:val="00374DF1"/>
    <w:rsid w:val="003C6884"/>
    <w:rsid w:val="004009A2"/>
    <w:rsid w:val="00401B97"/>
    <w:rsid w:val="004330DA"/>
    <w:rsid w:val="004764BE"/>
    <w:rsid w:val="004B64EA"/>
    <w:rsid w:val="004C48F4"/>
    <w:rsid w:val="005703DE"/>
    <w:rsid w:val="005E2606"/>
    <w:rsid w:val="005E27EB"/>
    <w:rsid w:val="00614AD6"/>
    <w:rsid w:val="006600C5"/>
    <w:rsid w:val="00665919"/>
    <w:rsid w:val="00675F69"/>
    <w:rsid w:val="006D037F"/>
    <w:rsid w:val="006D3F80"/>
    <w:rsid w:val="00787E95"/>
    <w:rsid w:val="007B0AA3"/>
    <w:rsid w:val="00824B02"/>
    <w:rsid w:val="008407C5"/>
    <w:rsid w:val="008573D5"/>
    <w:rsid w:val="00861526"/>
    <w:rsid w:val="009D7E1C"/>
    <w:rsid w:val="00A7045A"/>
    <w:rsid w:val="00C85920"/>
    <w:rsid w:val="00C91D88"/>
    <w:rsid w:val="00CC64E1"/>
    <w:rsid w:val="00D20A76"/>
    <w:rsid w:val="00D96101"/>
    <w:rsid w:val="00E42821"/>
    <w:rsid w:val="00EE3E10"/>
    <w:rsid w:val="00EF6B0A"/>
    <w:rsid w:val="00F56446"/>
    <w:rsid w:val="00FD055D"/>
    <w:rsid w:val="00FD56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224B9"/>
  <w15:chartTrackingRefBased/>
  <w15:docId w15:val="{4DF9AC92-4A31-427B-B492-5E91663B6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tulo1">
    <w:name w:val="heading 1"/>
    <w:basedOn w:val="Normal"/>
    <w:next w:val="Normal"/>
    <w:link w:val="Ttulo1Car"/>
    <w:uiPriority w:val="9"/>
    <w:qFormat/>
    <w:rsid w:val="007B0A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B0A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B0AA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B0AA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B0AA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B0AA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B0AA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B0AA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B0AA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B0AA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B0AA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B0AA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B0AA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B0AA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B0A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B0A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B0A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B0AA3"/>
    <w:rPr>
      <w:rFonts w:eastAsiaTheme="majorEastAsia" w:cstheme="majorBidi"/>
      <w:color w:val="272727" w:themeColor="text1" w:themeTint="D8"/>
    </w:rPr>
  </w:style>
  <w:style w:type="paragraph" w:styleId="Ttulo">
    <w:name w:val="Title"/>
    <w:basedOn w:val="Normal"/>
    <w:next w:val="Normal"/>
    <w:link w:val="TtuloCar"/>
    <w:uiPriority w:val="10"/>
    <w:qFormat/>
    <w:rsid w:val="007B0A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B0A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B0AA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B0A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B0AA3"/>
    <w:pPr>
      <w:spacing w:before="160"/>
      <w:jc w:val="center"/>
    </w:pPr>
    <w:rPr>
      <w:i/>
      <w:iCs/>
      <w:color w:val="404040" w:themeColor="text1" w:themeTint="BF"/>
    </w:rPr>
  </w:style>
  <w:style w:type="character" w:customStyle="1" w:styleId="CitaCar">
    <w:name w:val="Cita Car"/>
    <w:basedOn w:val="Fuentedeprrafopredeter"/>
    <w:link w:val="Cita"/>
    <w:uiPriority w:val="29"/>
    <w:rsid w:val="007B0AA3"/>
    <w:rPr>
      <w:i/>
      <w:iCs/>
      <w:color w:val="404040" w:themeColor="text1" w:themeTint="BF"/>
    </w:rPr>
  </w:style>
  <w:style w:type="paragraph" w:styleId="Prrafodelista">
    <w:name w:val="List Paragraph"/>
    <w:basedOn w:val="Normal"/>
    <w:uiPriority w:val="34"/>
    <w:qFormat/>
    <w:rsid w:val="007B0AA3"/>
    <w:pPr>
      <w:ind w:left="720"/>
      <w:contextualSpacing/>
    </w:pPr>
  </w:style>
  <w:style w:type="character" w:styleId="nfasisintenso">
    <w:name w:val="Intense Emphasis"/>
    <w:basedOn w:val="Fuentedeprrafopredeter"/>
    <w:uiPriority w:val="21"/>
    <w:qFormat/>
    <w:rsid w:val="007B0AA3"/>
    <w:rPr>
      <w:i/>
      <w:iCs/>
      <w:color w:val="2F5496" w:themeColor="accent1" w:themeShade="BF"/>
    </w:rPr>
  </w:style>
  <w:style w:type="paragraph" w:styleId="Citadestacada">
    <w:name w:val="Intense Quote"/>
    <w:basedOn w:val="Normal"/>
    <w:next w:val="Normal"/>
    <w:link w:val="CitadestacadaCar"/>
    <w:uiPriority w:val="30"/>
    <w:qFormat/>
    <w:rsid w:val="007B0A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B0AA3"/>
    <w:rPr>
      <w:i/>
      <w:iCs/>
      <w:color w:val="2F5496" w:themeColor="accent1" w:themeShade="BF"/>
    </w:rPr>
  </w:style>
  <w:style w:type="character" w:styleId="Referenciaintensa">
    <w:name w:val="Intense Reference"/>
    <w:basedOn w:val="Fuentedeprrafopredeter"/>
    <w:uiPriority w:val="32"/>
    <w:qFormat/>
    <w:rsid w:val="007B0AA3"/>
    <w:rPr>
      <w:b/>
      <w:bCs/>
      <w:smallCaps/>
      <w:color w:val="2F5496" w:themeColor="accent1" w:themeShade="BF"/>
      <w:spacing w:val="5"/>
    </w:rPr>
  </w:style>
  <w:style w:type="paragraph" w:styleId="NormalWeb">
    <w:name w:val="Normal (Web)"/>
    <w:basedOn w:val="Normal"/>
    <w:uiPriority w:val="99"/>
    <w:semiHidden/>
    <w:unhideWhenUsed/>
    <w:rsid w:val="007B0A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35074">
      <w:bodyDiv w:val="1"/>
      <w:marLeft w:val="0"/>
      <w:marRight w:val="0"/>
      <w:marTop w:val="0"/>
      <w:marBottom w:val="0"/>
      <w:divBdr>
        <w:top w:val="none" w:sz="0" w:space="0" w:color="auto"/>
        <w:left w:val="none" w:sz="0" w:space="0" w:color="auto"/>
        <w:bottom w:val="none" w:sz="0" w:space="0" w:color="auto"/>
        <w:right w:val="none" w:sz="0" w:space="0" w:color="auto"/>
      </w:divBdr>
    </w:div>
    <w:div w:id="727605958">
      <w:bodyDiv w:val="1"/>
      <w:marLeft w:val="0"/>
      <w:marRight w:val="0"/>
      <w:marTop w:val="0"/>
      <w:marBottom w:val="0"/>
      <w:divBdr>
        <w:top w:val="none" w:sz="0" w:space="0" w:color="auto"/>
        <w:left w:val="none" w:sz="0" w:space="0" w:color="auto"/>
        <w:bottom w:val="none" w:sz="0" w:space="0" w:color="auto"/>
        <w:right w:val="none" w:sz="0" w:space="0" w:color="auto"/>
      </w:divBdr>
    </w:div>
    <w:div w:id="134933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1403</Words>
  <Characters>7722</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Lineamientos INS</dc:creator>
  <cp:keywords/>
  <dc:description/>
  <cp:lastModifiedBy>VHMED</cp:lastModifiedBy>
  <cp:revision>18</cp:revision>
  <dcterms:created xsi:type="dcterms:W3CDTF">2025-10-21T16:26:00Z</dcterms:created>
  <dcterms:modified xsi:type="dcterms:W3CDTF">2025-10-21T16:58:00Z</dcterms:modified>
</cp:coreProperties>
</file>