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B8D58" w14:textId="77777777" w:rsidR="003334B3" w:rsidRPr="003334B3" w:rsidRDefault="003334B3" w:rsidP="003334B3">
      <w:pPr>
        <w:spacing w:before="100" w:beforeAutospacing="1" w:after="100" w:afterAutospacing="1" w:line="276" w:lineRule="auto"/>
        <w:jc w:val="center"/>
        <w:outlineLvl w:val="2"/>
        <w:rPr>
          <w:rFonts w:ascii="Arial" w:eastAsia="Times New Roman" w:hAnsi="Arial" w:cs="Arial"/>
          <w:b/>
          <w:bCs/>
          <w:lang w:eastAsia="es-CO"/>
        </w:rPr>
      </w:pPr>
      <w:r w:rsidRPr="003334B3">
        <w:rPr>
          <w:rFonts w:ascii="Arial" w:eastAsia="Times New Roman" w:hAnsi="Arial" w:cs="Arial"/>
          <w:b/>
          <w:bCs/>
          <w:lang w:eastAsia="es-CO"/>
        </w:rPr>
        <w:t>Necesidades de Talento Humano para la Operación Plena del Nuevo Hospital de Usme</w:t>
      </w:r>
    </w:p>
    <w:p w14:paraId="59AA6E31" w14:textId="50CE29DD" w:rsidR="003334B3" w:rsidRPr="00BC00C0" w:rsidRDefault="003334B3" w:rsidP="003334B3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es-CO"/>
        </w:rPr>
      </w:pPr>
      <w:bookmarkStart w:id="0" w:name="_Hlk220917669"/>
      <w:r w:rsidRPr="003334B3">
        <w:rPr>
          <w:rFonts w:ascii="Arial" w:eastAsia="Times New Roman" w:hAnsi="Arial" w:cs="Arial"/>
          <w:lang w:eastAsia="es-CO"/>
        </w:rPr>
        <w:t xml:space="preserve">El Nuevo Hospital de Usme, con una capacidad </w:t>
      </w:r>
      <w:r w:rsidRPr="00BC00C0">
        <w:rPr>
          <w:rFonts w:ascii="Arial" w:eastAsia="Times New Roman" w:hAnsi="Arial" w:cs="Arial"/>
          <w:lang w:eastAsia="es-CO"/>
        </w:rPr>
        <w:t xml:space="preserve">instalada de 221 camas distribuidas en 83 camas de UCI (incluyendo adultas, pediátricas y 6 neonatales) y 138 camas de hospitalización general, además de 5 quirófanos y 10 consultorios, requiere un total de 980 personas para su operación plena, cubriendo 23 especialidades médicas. Esta dotación se distribuye en un 85% (833 personas) para talento humano asistencial y un 15% (147 personas) para talento administrativo, alineándose con estándares internacionales de eficiencia hospitalaria (como los establecidos por la OMS y normativas </w:t>
      </w:r>
      <w:r w:rsidR="006E259F" w:rsidRPr="00BC00C0">
        <w:rPr>
          <w:rFonts w:ascii="Arial" w:eastAsia="Times New Roman" w:hAnsi="Arial" w:cs="Arial"/>
          <w:lang w:eastAsia="es-CO"/>
        </w:rPr>
        <w:t>de habilitación de servicios</w:t>
      </w:r>
      <w:r w:rsidRPr="00BC00C0">
        <w:rPr>
          <w:rFonts w:ascii="Arial" w:eastAsia="Times New Roman" w:hAnsi="Arial" w:cs="Arial"/>
          <w:lang w:eastAsia="es-CO"/>
        </w:rPr>
        <w:t>), que priorizan la atención directa al paciente mientras optimizan el soporte operativo.</w:t>
      </w:r>
      <w:r w:rsidR="00BC00C0" w:rsidRPr="00BC00C0">
        <w:rPr>
          <w:rFonts w:ascii="Arial" w:eastAsia="Times New Roman" w:hAnsi="Arial" w:cs="Arial"/>
          <w:lang w:eastAsia="es-CO"/>
        </w:rPr>
        <w:t xml:space="preserve"> Que se calcula según el procedimiento de: GH PLA PTH 01 -1 Planeación del talento humano. Se contratarán por orden de prestación de servicios y se priorizara según los perfiles con prioridad de talento humano de las localidades del área de influencia, del nuevo hospital.  </w:t>
      </w:r>
    </w:p>
    <w:p w14:paraId="7A523187" w14:textId="77777777" w:rsidR="003334B3" w:rsidRPr="00BC00C0" w:rsidRDefault="003334B3" w:rsidP="003334B3">
      <w:pPr>
        <w:spacing w:before="100" w:beforeAutospacing="1" w:after="100" w:afterAutospacing="1" w:line="276" w:lineRule="auto"/>
        <w:jc w:val="both"/>
        <w:outlineLvl w:val="3"/>
        <w:rPr>
          <w:rFonts w:ascii="Arial" w:eastAsia="Times New Roman" w:hAnsi="Arial" w:cs="Arial"/>
          <w:b/>
          <w:bCs/>
          <w:lang w:eastAsia="es-CO"/>
        </w:rPr>
      </w:pPr>
      <w:r w:rsidRPr="00BC00C0">
        <w:rPr>
          <w:rFonts w:ascii="Arial" w:eastAsia="Times New Roman" w:hAnsi="Arial" w:cs="Arial"/>
          <w:b/>
          <w:bCs/>
          <w:lang w:eastAsia="es-CO"/>
        </w:rPr>
        <w:t>Necesidades de Talento Asistencial (85% - 833 personas)</w:t>
      </w:r>
    </w:p>
    <w:p w14:paraId="3E42FF2E" w14:textId="77777777" w:rsidR="003334B3" w:rsidRPr="00BC00C0" w:rsidRDefault="003334B3" w:rsidP="003334B3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es-CO"/>
        </w:rPr>
      </w:pPr>
      <w:r w:rsidRPr="00BC00C0">
        <w:rPr>
          <w:rFonts w:ascii="Arial" w:eastAsia="Times New Roman" w:hAnsi="Arial" w:cs="Arial"/>
          <w:lang w:eastAsia="es-CO"/>
        </w:rPr>
        <w:t xml:space="preserve">El componente asistencial se enfoca en perfiles clínicos y de soporte directo a la atención, garantizando </w:t>
      </w:r>
      <w:r w:rsidR="006E259F" w:rsidRPr="00BC00C0">
        <w:rPr>
          <w:rFonts w:ascii="Arial" w:eastAsia="Times New Roman" w:hAnsi="Arial" w:cs="Arial"/>
          <w:lang w:eastAsia="es-CO"/>
        </w:rPr>
        <w:t xml:space="preserve">porcentajes </w:t>
      </w:r>
      <w:r w:rsidRPr="00BC00C0">
        <w:rPr>
          <w:rFonts w:ascii="Arial" w:eastAsia="Times New Roman" w:hAnsi="Arial" w:cs="Arial"/>
          <w:lang w:eastAsia="es-CO"/>
        </w:rPr>
        <w:t>óptimos de cobertura para la demanda proyectada:</w:t>
      </w:r>
    </w:p>
    <w:p w14:paraId="2B445A5C" w14:textId="77777777" w:rsidR="003334B3" w:rsidRPr="00BC00C0" w:rsidRDefault="003334B3" w:rsidP="003334B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es-CO"/>
        </w:rPr>
      </w:pPr>
      <w:r w:rsidRPr="00BC00C0">
        <w:rPr>
          <w:rFonts w:ascii="Arial" w:eastAsia="Times New Roman" w:hAnsi="Arial" w:cs="Arial"/>
          <w:b/>
          <w:bCs/>
          <w:lang w:eastAsia="es-CO"/>
        </w:rPr>
        <w:t>Médicos especialistas y generales</w:t>
      </w:r>
      <w:r w:rsidRPr="00BC00C0">
        <w:rPr>
          <w:rFonts w:ascii="Arial" w:eastAsia="Times New Roman" w:hAnsi="Arial" w:cs="Arial"/>
          <w:lang w:eastAsia="es-CO"/>
        </w:rPr>
        <w:t>: Aproximadamente 200-250 profesionales distribuidos en las 23 especialidades (ej. cardiología, pediatría, neonatología, cirugía), con al menos 1-2 especialistas por área para cubrir turnos 24/7 en UCI y hospitalización, considerando una carga media de 10-15 pacientes por médico en hospitalización general y 4-6 en UCI.</w:t>
      </w:r>
    </w:p>
    <w:p w14:paraId="784B3C4F" w14:textId="77777777" w:rsidR="003334B3" w:rsidRPr="00BC00C0" w:rsidRDefault="003334B3" w:rsidP="003334B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es-CO"/>
        </w:rPr>
      </w:pPr>
      <w:r w:rsidRPr="00BC00C0">
        <w:rPr>
          <w:rFonts w:ascii="Arial" w:eastAsia="Times New Roman" w:hAnsi="Arial" w:cs="Arial"/>
          <w:b/>
          <w:bCs/>
          <w:lang w:eastAsia="es-CO"/>
        </w:rPr>
        <w:t>Enfermería y auxiliares</w:t>
      </w:r>
      <w:r w:rsidRPr="00BC00C0">
        <w:rPr>
          <w:rFonts w:ascii="Arial" w:eastAsia="Times New Roman" w:hAnsi="Arial" w:cs="Arial"/>
          <w:lang w:eastAsia="es-CO"/>
        </w:rPr>
        <w:t>: Alrededor de 400-450 personas, aplicando ratios estándar de 1:4 en UCI (para las 83 camas) y 1:6-8 en hospitalización general (para las 138 camas), más soporte en quirófanos (1-2 por sala) y consultorios (1 por consultorio), asegurando continuidad en rotaciones y manejo de emergencias.</w:t>
      </w:r>
    </w:p>
    <w:p w14:paraId="79558813" w14:textId="77777777" w:rsidR="003334B3" w:rsidRPr="00BC00C0" w:rsidRDefault="003334B3" w:rsidP="003334B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es-CO"/>
        </w:rPr>
      </w:pPr>
      <w:r w:rsidRPr="00BC00C0">
        <w:rPr>
          <w:rFonts w:ascii="Arial" w:eastAsia="Times New Roman" w:hAnsi="Arial" w:cs="Arial"/>
          <w:b/>
          <w:bCs/>
          <w:lang w:eastAsia="es-CO"/>
        </w:rPr>
        <w:t>Técnicos y terapeutas</w:t>
      </w:r>
      <w:r w:rsidRPr="00BC00C0">
        <w:rPr>
          <w:rFonts w:ascii="Arial" w:eastAsia="Times New Roman" w:hAnsi="Arial" w:cs="Arial"/>
          <w:lang w:eastAsia="es-CO"/>
        </w:rPr>
        <w:t>: Unos 150-200 en áreas como laboratorio, radiología, rehabilitación y farmacia, para soportar procedimientos en quirófanos y consultas ambulatorias, con énfasis en eficiencia operativa para un flujo diario estimado de 200-300 pacientes. Esta distribución asegura una atención integral, minimizando riesgos como fatiga del personal y garantizando cumplimiento de protocolos de calidad, con un enfoque en la alta complejidad de las UCI neonatales y pediátricas.</w:t>
      </w:r>
    </w:p>
    <w:p w14:paraId="615237F6" w14:textId="77777777" w:rsidR="003334B3" w:rsidRPr="00BC00C0" w:rsidRDefault="003334B3" w:rsidP="003334B3">
      <w:pPr>
        <w:spacing w:before="100" w:beforeAutospacing="1" w:after="100" w:afterAutospacing="1" w:line="276" w:lineRule="auto"/>
        <w:jc w:val="both"/>
        <w:outlineLvl w:val="3"/>
        <w:rPr>
          <w:rFonts w:ascii="Arial" w:eastAsia="Times New Roman" w:hAnsi="Arial" w:cs="Arial"/>
          <w:b/>
          <w:bCs/>
          <w:lang w:eastAsia="es-CO"/>
        </w:rPr>
      </w:pPr>
      <w:r w:rsidRPr="00BC00C0">
        <w:rPr>
          <w:rFonts w:ascii="Arial" w:eastAsia="Times New Roman" w:hAnsi="Arial" w:cs="Arial"/>
          <w:b/>
          <w:bCs/>
          <w:lang w:eastAsia="es-CO"/>
        </w:rPr>
        <w:t>Necesidades de Talento Administrativo (15% - 147 personas)</w:t>
      </w:r>
    </w:p>
    <w:p w14:paraId="2A39CA56" w14:textId="77777777" w:rsidR="003334B3" w:rsidRPr="00BC00C0" w:rsidRDefault="003334B3" w:rsidP="003334B3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es-CO"/>
        </w:rPr>
      </w:pPr>
      <w:r w:rsidRPr="00BC00C0">
        <w:rPr>
          <w:rFonts w:ascii="Arial" w:eastAsia="Times New Roman" w:hAnsi="Arial" w:cs="Arial"/>
          <w:lang w:eastAsia="es-CO"/>
        </w:rPr>
        <w:t>El soporte administrativo optimiza la gestión sin sobrecargar el presupuesto, incluyendo:</w:t>
      </w:r>
    </w:p>
    <w:p w14:paraId="06140349" w14:textId="77777777" w:rsidR="003334B3" w:rsidRPr="00BC00C0" w:rsidRDefault="003334B3" w:rsidP="003334B3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es-CO"/>
        </w:rPr>
      </w:pPr>
      <w:r w:rsidRPr="00BC00C0">
        <w:rPr>
          <w:rFonts w:ascii="Arial" w:eastAsia="Times New Roman" w:hAnsi="Arial" w:cs="Arial"/>
          <w:b/>
          <w:bCs/>
          <w:lang w:eastAsia="es-CO"/>
        </w:rPr>
        <w:t>Gestión operativa y logística</w:t>
      </w:r>
      <w:r w:rsidRPr="00BC00C0">
        <w:rPr>
          <w:rFonts w:ascii="Arial" w:eastAsia="Times New Roman" w:hAnsi="Arial" w:cs="Arial"/>
          <w:lang w:eastAsia="es-CO"/>
        </w:rPr>
        <w:t>: 50-60 personas en admisiones, facturación, mantenimiento y suministros, para manejar el volumen de 221 camas y 5 quirófanos, asegurando disponibilidad de recursos 24/7.</w:t>
      </w:r>
    </w:p>
    <w:p w14:paraId="48CECA48" w14:textId="77777777" w:rsidR="003334B3" w:rsidRPr="00BC00C0" w:rsidRDefault="003334B3" w:rsidP="003334B3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es-CO"/>
        </w:rPr>
      </w:pPr>
      <w:r w:rsidRPr="00BC00C0">
        <w:rPr>
          <w:rFonts w:ascii="Arial" w:eastAsia="Times New Roman" w:hAnsi="Arial" w:cs="Arial"/>
          <w:b/>
          <w:bCs/>
          <w:lang w:eastAsia="es-CO"/>
        </w:rPr>
        <w:lastRenderedPageBreak/>
        <w:t>Recursos humanos y financieros</w:t>
      </w:r>
      <w:r w:rsidRPr="00BC00C0">
        <w:rPr>
          <w:rFonts w:ascii="Arial" w:eastAsia="Times New Roman" w:hAnsi="Arial" w:cs="Arial"/>
          <w:lang w:eastAsia="es-CO"/>
        </w:rPr>
        <w:t>: 40-50 en RRHH, contabilidad y control de calidad, para coordinar turnos, capacitaciones y presupuestos alineados con normativas del Ministerio de Salud.</w:t>
      </w:r>
    </w:p>
    <w:p w14:paraId="4032FFED" w14:textId="77777777" w:rsidR="003334B3" w:rsidRPr="00BC00C0" w:rsidRDefault="003334B3" w:rsidP="003334B3">
      <w:pPr>
        <w:numPr>
          <w:ilvl w:val="0"/>
          <w:numId w:val="2"/>
        </w:num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es-CO"/>
        </w:rPr>
      </w:pPr>
      <w:r w:rsidRPr="00BC00C0">
        <w:rPr>
          <w:rFonts w:ascii="Arial" w:eastAsia="Times New Roman" w:hAnsi="Arial" w:cs="Arial"/>
          <w:b/>
          <w:bCs/>
          <w:lang w:eastAsia="es-CO"/>
        </w:rPr>
        <w:t>Soporte técnico y TI</w:t>
      </w:r>
      <w:r w:rsidRPr="00BC00C0">
        <w:rPr>
          <w:rFonts w:ascii="Arial" w:eastAsia="Times New Roman" w:hAnsi="Arial" w:cs="Arial"/>
          <w:lang w:eastAsia="es-CO"/>
        </w:rPr>
        <w:t>: 30-40 en sistemas informáticos, registros médicos electrónicos y seguridad, esenciales para integrar las 23 especialidades y evitar interrupciones en operaciones críticas. Esta proporción del 15% refleja una estructura, priorizando la eficiencia administrativa para respaldar el 85% asistencial, evitando duplicidades y enfocándose en métricas de productividad hospitalaria.</w:t>
      </w:r>
    </w:p>
    <w:p w14:paraId="7F9103C8" w14:textId="77777777" w:rsidR="003334B3" w:rsidRPr="003334B3" w:rsidRDefault="003334B3" w:rsidP="003334B3">
      <w:pPr>
        <w:spacing w:before="100" w:beforeAutospacing="1" w:after="100" w:afterAutospacing="1" w:line="276" w:lineRule="auto"/>
        <w:jc w:val="both"/>
        <w:rPr>
          <w:rFonts w:ascii="Arial" w:eastAsia="Times New Roman" w:hAnsi="Arial" w:cs="Arial"/>
          <w:lang w:eastAsia="es-CO"/>
        </w:rPr>
      </w:pPr>
      <w:r w:rsidRPr="00BC00C0">
        <w:rPr>
          <w:rFonts w:ascii="Arial" w:eastAsia="Times New Roman" w:hAnsi="Arial" w:cs="Arial"/>
          <w:lang w:eastAsia="es-CO"/>
        </w:rPr>
        <w:t>En resumen, esta configuración de 980 personas responde a la capacidad instalada y al portafolio de servicios, promoviendo una operación sostenible, segura y de alta calidad, con potencial para ajustes basados en monitoreo de ocupación real.</w:t>
      </w:r>
    </w:p>
    <w:bookmarkEnd w:id="0"/>
    <w:p w14:paraId="794B03F1" w14:textId="7DB20A09" w:rsidR="00F870BA" w:rsidRPr="003334B3" w:rsidRDefault="00070525" w:rsidP="008B2AC2">
      <w:pPr>
        <w:pStyle w:val="Ttulo2"/>
        <w:spacing w:line="480" w:lineRule="auto"/>
      </w:pPr>
      <w:r>
        <w:t>Le32222</w:t>
      </w:r>
      <w:r w:rsidR="001E5CF2">
        <w:t>G2</w:t>
      </w:r>
      <w:bookmarkStart w:id="1" w:name="_GoBack"/>
      <w:bookmarkEnd w:id="1"/>
    </w:p>
    <w:sectPr w:rsidR="00F870BA" w:rsidRPr="003334B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7406D"/>
    <w:multiLevelType w:val="multilevel"/>
    <w:tmpl w:val="AB102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9FF5E50"/>
    <w:multiLevelType w:val="multilevel"/>
    <w:tmpl w:val="E5B62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C6F"/>
    <w:rsid w:val="00070525"/>
    <w:rsid w:val="000D1FB2"/>
    <w:rsid w:val="001E5CF2"/>
    <w:rsid w:val="001E6C6F"/>
    <w:rsid w:val="002923F9"/>
    <w:rsid w:val="003334B3"/>
    <w:rsid w:val="005A43AA"/>
    <w:rsid w:val="006E259F"/>
    <w:rsid w:val="008B2AC2"/>
    <w:rsid w:val="00AD4AAD"/>
    <w:rsid w:val="00BC00C0"/>
    <w:rsid w:val="00BC064F"/>
    <w:rsid w:val="00DF41F2"/>
    <w:rsid w:val="00F850D9"/>
    <w:rsid w:val="00F870BA"/>
    <w:rsid w:val="00FB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1A812"/>
  <w15:chartTrackingRefBased/>
  <w15:docId w15:val="{C7E04D28-DACD-49F3-9B60-066840B9F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705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333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Ttulo4">
    <w:name w:val="heading 4"/>
    <w:basedOn w:val="Normal"/>
    <w:link w:val="Ttulo4Car"/>
    <w:uiPriority w:val="9"/>
    <w:qFormat/>
    <w:rsid w:val="003334B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334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34B3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3334B3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customStyle="1" w:styleId="Ttulo4Car">
    <w:name w:val="Título 4 Car"/>
    <w:basedOn w:val="Fuentedeprrafopredeter"/>
    <w:link w:val="Ttulo4"/>
    <w:uiPriority w:val="9"/>
    <w:rsid w:val="003334B3"/>
    <w:rPr>
      <w:rFonts w:ascii="Times New Roman" w:eastAsia="Times New Roman" w:hAnsi="Times New Roman" w:cs="Times New Roman"/>
      <w:b/>
      <w:bCs/>
      <w:sz w:val="24"/>
      <w:szCs w:val="24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333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3334B3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rsid w:val="0007052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0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555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Leonthe Muñoz Trujillo</dc:creator>
  <cp:keywords/>
  <dc:description/>
  <cp:lastModifiedBy>Leonthe Muñoz Trujillo</cp:lastModifiedBy>
  <cp:revision>100</cp:revision>
  <dcterms:created xsi:type="dcterms:W3CDTF">2026-01-26T19:49:00Z</dcterms:created>
  <dcterms:modified xsi:type="dcterms:W3CDTF">2026-02-02T17:04:00Z</dcterms:modified>
</cp:coreProperties>
</file>