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605F" w:rsidRPr="0005605F" w:rsidRDefault="0005605F" w:rsidP="0005605F">
      <w:pPr>
        <w:jc w:val="both"/>
        <w:rPr>
          <w:rFonts w:ascii="Arial" w:hAnsi="Arial" w:cs="Arial"/>
          <w:i/>
        </w:rPr>
      </w:pPr>
      <w:r>
        <w:rPr>
          <w:rFonts w:ascii="Arial" w:hAnsi="Arial" w:cs="Arial"/>
          <w:b/>
          <w:color w:val="000000"/>
          <w:bdr w:val="none" w:sz="0" w:space="0" w:color="auto" w:frame="1"/>
          <w:shd w:val="clear" w:color="auto" w:fill="FFFFFF"/>
        </w:rPr>
        <w:t xml:space="preserve">13. </w:t>
      </w:r>
      <w:r w:rsidRPr="00700EC9">
        <w:rPr>
          <w:rFonts w:ascii="Arial" w:hAnsi="Arial" w:cs="Arial"/>
          <w:i/>
        </w:rPr>
        <w:t>Como d</w:t>
      </w:r>
      <w:bookmarkStart w:id="0" w:name="_GoBack"/>
      <w:bookmarkEnd w:id="0"/>
      <w:r w:rsidRPr="00700EC9">
        <w:rPr>
          <w:rFonts w:ascii="Arial" w:hAnsi="Arial" w:cs="Arial"/>
          <w:i/>
        </w:rPr>
        <w:t xml:space="preserve">esde cada subred se está garantizando, el suministro de medicamentos, ayudas técnicas. Discrimine contratos vigentes y cuantos están en curso, su objeto y publicación y número de registro en el </w:t>
      </w:r>
      <w:proofErr w:type="spellStart"/>
      <w:r w:rsidRPr="00700EC9">
        <w:rPr>
          <w:rFonts w:ascii="Arial" w:hAnsi="Arial" w:cs="Arial"/>
          <w:i/>
        </w:rPr>
        <w:t>secop</w:t>
      </w:r>
      <w:proofErr w:type="spellEnd"/>
      <w:r w:rsidRPr="00700EC9">
        <w:rPr>
          <w:rFonts w:ascii="Arial" w:hAnsi="Arial" w:cs="Arial"/>
          <w:i/>
        </w:rPr>
        <w:t>.</w:t>
      </w:r>
    </w:p>
    <w:p w:rsidR="0005605F" w:rsidRPr="00150E2B" w:rsidRDefault="0005605F" w:rsidP="0005605F">
      <w:pPr>
        <w:jc w:val="both"/>
        <w:rPr>
          <w:rFonts w:ascii="Arial" w:hAnsi="Arial" w:cs="Arial"/>
          <w:color w:val="000000"/>
          <w:bdr w:val="none" w:sz="0" w:space="0" w:color="auto" w:frame="1"/>
          <w:shd w:val="clear" w:color="auto" w:fill="FFFFFF"/>
        </w:rPr>
      </w:pPr>
      <w:r w:rsidRPr="00454280">
        <w:rPr>
          <w:rFonts w:ascii="Arial" w:hAnsi="Arial" w:cs="Arial"/>
          <w:b/>
          <w:color w:val="000000"/>
          <w:bdr w:val="none" w:sz="0" w:space="0" w:color="auto" w:frame="1"/>
          <w:shd w:val="clear" w:color="auto" w:fill="FFFFFF"/>
        </w:rPr>
        <w:t>RESPUESTA:</w:t>
      </w:r>
      <w:r>
        <w:rPr>
          <w:rFonts w:ascii="Arial" w:hAnsi="Arial" w:cs="Arial"/>
          <w:b/>
          <w:color w:val="000000"/>
          <w:bdr w:val="none" w:sz="0" w:space="0" w:color="auto" w:frame="1"/>
          <w:shd w:val="clear" w:color="auto" w:fill="FFFFFF"/>
        </w:rPr>
        <w:t xml:space="preserve"> </w:t>
      </w:r>
      <w:r w:rsidRPr="00150E2B">
        <w:rPr>
          <w:rFonts w:ascii="Arial" w:hAnsi="Arial" w:cs="Arial"/>
          <w:color w:val="000000"/>
          <w:bdr w:val="none" w:sz="0" w:space="0" w:color="auto" w:frame="1"/>
          <w:shd w:val="clear" w:color="auto" w:fill="FFFFFF"/>
        </w:rPr>
        <w:t>La Subred Integrada de Servicios de Salud Sur E.S.E. informa que el suministro de medicamentos está garantizado tanto para pacientes ambulatorios como hospitalarios. En concordancia con los contratos suscritos con las diferentes EAPB, se asegura la cobertura del abastecimiento mediante un proceso sistemático de planeación de necesidades, basado en el perfil de morbilidad de la población asignada y en el análisis de los consumos históricos anuales.</w:t>
      </w:r>
    </w:p>
    <w:p w:rsidR="0005605F" w:rsidRDefault="0005605F" w:rsidP="0005605F">
      <w:pPr>
        <w:jc w:val="both"/>
        <w:rPr>
          <w:rFonts w:ascii="Arial" w:hAnsi="Arial" w:cs="Arial"/>
          <w:color w:val="000000"/>
          <w:bdr w:val="none" w:sz="0" w:space="0" w:color="auto" w:frame="1"/>
          <w:shd w:val="clear" w:color="auto" w:fill="FFFFFF"/>
        </w:rPr>
      </w:pPr>
      <w:r w:rsidRPr="00150E2B">
        <w:rPr>
          <w:rFonts w:ascii="Arial" w:hAnsi="Arial" w:cs="Arial"/>
          <w:color w:val="000000"/>
          <w:bdr w:val="none" w:sz="0" w:space="0" w:color="auto" w:frame="1"/>
          <w:shd w:val="clear" w:color="auto" w:fill="FFFFFF"/>
        </w:rPr>
        <w:t>Adicionalmente, se implementa una estrategia de gestión de inventarios a través del sistema de información institucional, que permite definir y monitorear niveles mínimos y máximos de existencias, con el fin de responder oportunamente a la demanda del servicio. Asimismo, el sistema genera alertas tempranas que facilitan la gestión anticipada del reabastecimiento de medicamentos, garantizando continuidad, oportunidad y eficiencia en la prestación del servicio farmacéutico.</w:t>
      </w:r>
    </w:p>
    <w:p w:rsidR="0005605F" w:rsidRPr="00543F9A" w:rsidRDefault="0005605F" w:rsidP="0005605F">
      <w:pPr>
        <w:jc w:val="both"/>
        <w:rPr>
          <w:rFonts w:ascii="Arial" w:hAnsi="Arial" w:cs="Arial"/>
          <w:color w:val="000000"/>
          <w:bdr w:val="none" w:sz="0" w:space="0" w:color="auto" w:frame="1"/>
          <w:shd w:val="clear" w:color="auto" w:fill="FFFFFF"/>
        </w:rPr>
      </w:pPr>
      <w:r w:rsidRPr="00543F9A">
        <w:rPr>
          <w:rFonts w:ascii="Arial" w:hAnsi="Arial" w:cs="Arial"/>
          <w:color w:val="000000"/>
          <w:bdr w:val="none" w:sz="0" w:space="0" w:color="auto" w:frame="1"/>
          <w:shd w:val="clear" w:color="auto" w:fill="FFFFFF"/>
        </w:rPr>
        <w:t>De igual forma, los procesos de adquisición se realizan mediante licitación pública a través de SECOP II, donde se publican todas las convocatorias para la compra de las moléculas requeridas y se selecciona(n) el(los) proveedor(es) adjudicado(s).</w:t>
      </w:r>
    </w:p>
    <w:p w:rsidR="0005605F" w:rsidRPr="00543F9A" w:rsidRDefault="0005605F" w:rsidP="0005605F">
      <w:pPr>
        <w:jc w:val="both"/>
        <w:rPr>
          <w:rFonts w:ascii="Arial" w:hAnsi="Arial" w:cs="Arial"/>
          <w:color w:val="000000"/>
          <w:bdr w:val="none" w:sz="0" w:space="0" w:color="auto" w:frame="1"/>
          <w:shd w:val="clear" w:color="auto" w:fill="FFFFFF"/>
        </w:rPr>
      </w:pPr>
      <w:r w:rsidRPr="00543F9A">
        <w:rPr>
          <w:rFonts w:ascii="Arial" w:hAnsi="Arial" w:cs="Arial"/>
          <w:color w:val="000000"/>
          <w:bdr w:val="none" w:sz="0" w:space="0" w:color="auto" w:frame="1"/>
          <w:shd w:val="clear" w:color="auto" w:fill="FFFFFF"/>
        </w:rPr>
        <w:t>A los proveedores seleccionados se les efectúa seguimiento mediante supervisión técnica, con el fin de verificar la completitud y disponibilidad del inventario contratado. Paralelamente, en cada uno de los Servicios Farmacéuticos de la Subred se realiza control y verificación periódica de inventarios, lo que permite gestionar la redistribución interna cuando sea necesario.</w:t>
      </w:r>
    </w:p>
    <w:p w:rsidR="0005605F" w:rsidRDefault="0005605F" w:rsidP="0005605F">
      <w:pPr>
        <w:jc w:val="both"/>
        <w:rPr>
          <w:rFonts w:ascii="Arial" w:hAnsi="Arial" w:cs="Arial"/>
          <w:color w:val="000000"/>
          <w:bdr w:val="none" w:sz="0" w:space="0" w:color="auto" w:frame="1"/>
          <w:shd w:val="clear" w:color="auto" w:fill="FFFFFF"/>
        </w:rPr>
      </w:pPr>
      <w:r w:rsidRPr="00543F9A">
        <w:rPr>
          <w:rFonts w:ascii="Arial" w:hAnsi="Arial" w:cs="Arial"/>
          <w:color w:val="000000"/>
          <w:bdr w:val="none" w:sz="0" w:space="0" w:color="auto" w:frame="1"/>
          <w:shd w:val="clear" w:color="auto" w:fill="FFFFFF"/>
        </w:rPr>
        <w:t>Estas acciones garantizan que todas las farmacias cuenten con el stock suficiente para atender la demanda y realizar la dispensación en los tiempos programados, asegurando oportunidad, continuidad y calidad en el servicio.</w:t>
      </w:r>
    </w:p>
    <w:p w:rsidR="0005605F" w:rsidRDefault="0005605F" w:rsidP="0005605F">
      <w:pPr>
        <w:jc w:val="both"/>
        <w:rPr>
          <w:rFonts w:ascii="Arial" w:hAnsi="Arial" w:cs="Arial"/>
        </w:rPr>
      </w:pPr>
      <w:r w:rsidRPr="0005605F">
        <w:rPr>
          <w:rFonts w:ascii="Arial" w:hAnsi="Arial" w:cs="Arial"/>
        </w:rPr>
        <w:t>La</w:t>
      </w:r>
      <w:r>
        <w:rPr>
          <w:rFonts w:ascii="Arial" w:hAnsi="Arial" w:cs="Arial"/>
        </w:rPr>
        <w:t xml:space="preserve"> Subred cuenta con procesos de entrega interna entre las farmacias y mecanismos de coordinación permanente con los proveedores, con el fin de garantizar la entrega oportuna de las moléculas y su disponibilidad para el despacho a los usuarios dentro de los tiempos definidos.</w:t>
      </w:r>
    </w:p>
    <w:p w:rsidR="0005605F" w:rsidRDefault="0005605F" w:rsidP="0005605F">
      <w:pPr>
        <w:jc w:val="both"/>
        <w:rPr>
          <w:rFonts w:ascii="Arial" w:hAnsi="Arial" w:cs="Arial"/>
        </w:rPr>
      </w:pPr>
      <w:r>
        <w:rPr>
          <w:rFonts w:ascii="Arial" w:hAnsi="Arial" w:cs="Arial"/>
        </w:rPr>
        <w:t>Así mismo se realiza seguimiento a la satisfacción de los usuarios de la entrega y completitud de los medicamentos contemplados en los contratos suscritos con la Subred y que son objeto de entrega.</w:t>
      </w:r>
    </w:p>
    <w:p w:rsidR="0005605F" w:rsidRDefault="0005605F" w:rsidP="0005605F">
      <w:pPr>
        <w:jc w:val="both"/>
        <w:rPr>
          <w:rFonts w:ascii="Arial" w:hAnsi="Arial" w:cs="Arial"/>
        </w:rPr>
      </w:pPr>
      <w:r w:rsidRPr="00454280">
        <w:rPr>
          <w:rFonts w:ascii="Arial" w:hAnsi="Arial" w:cs="Arial"/>
          <w:color w:val="000000"/>
          <w:bdr w:val="none" w:sz="0" w:space="0" w:color="auto" w:frame="1"/>
          <w:shd w:val="clear" w:color="auto" w:fill="FFFFFF"/>
        </w:rPr>
        <w:t xml:space="preserve">Se relaciona en anexo </w:t>
      </w:r>
      <w:r w:rsidRPr="0005605F">
        <w:rPr>
          <w:rFonts w:ascii="Arial" w:hAnsi="Arial" w:cs="Arial"/>
          <w:color w:val="FF0000"/>
          <w:bdr w:val="none" w:sz="0" w:space="0" w:color="auto" w:frame="1"/>
          <w:shd w:val="clear" w:color="auto" w:fill="FFFFFF"/>
        </w:rPr>
        <w:t>XXXXX</w:t>
      </w:r>
      <w:r w:rsidRPr="00454280">
        <w:rPr>
          <w:rFonts w:ascii="Arial" w:hAnsi="Arial" w:cs="Arial"/>
          <w:color w:val="000000"/>
          <w:bdr w:val="none" w:sz="0" w:space="0" w:color="auto" w:frame="1"/>
          <w:shd w:val="clear" w:color="auto" w:fill="FFFFFF"/>
        </w:rPr>
        <w:t xml:space="preserve"> diez contratos vigentes para el suministro de medicamentos, con su objeto y número de registro de </w:t>
      </w:r>
      <w:proofErr w:type="spellStart"/>
      <w:r w:rsidRPr="00454280">
        <w:rPr>
          <w:rFonts w:ascii="Arial" w:hAnsi="Arial" w:cs="Arial"/>
          <w:color w:val="000000"/>
          <w:bdr w:val="none" w:sz="0" w:space="0" w:color="auto" w:frame="1"/>
          <w:shd w:val="clear" w:color="auto" w:fill="FFFFFF"/>
        </w:rPr>
        <w:t>Secop</w:t>
      </w:r>
      <w:proofErr w:type="spellEnd"/>
      <w:r w:rsidRPr="00454280">
        <w:rPr>
          <w:rFonts w:ascii="Arial" w:hAnsi="Arial" w:cs="Arial"/>
          <w:color w:val="000000"/>
          <w:bdr w:val="none" w:sz="0" w:space="0" w:color="auto" w:frame="1"/>
          <w:shd w:val="clear" w:color="auto" w:fill="FFFFFF"/>
        </w:rPr>
        <w:t xml:space="preserve"> II.</w:t>
      </w:r>
      <w:r w:rsidRPr="0005605F">
        <w:rPr>
          <w:rFonts w:ascii="Arial" w:hAnsi="Arial" w:cs="Arial"/>
        </w:rPr>
        <w:t xml:space="preserve"> </w:t>
      </w:r>
    </w:p>
    <w:p w:rsidR="0005605F" w:rsidRDefault="0005605F" w:rsidP="0005605F">
      <w:pPr>
        <w:jc w:val="both"/>
        <w:rPr>
          <w:rFonts w:ascii="Arial" w:hAnsi="Arial" w:cs="Arial"/>
          <w:szCs w:val="24"/>
        </w:rPr>
      </w:pPr>
      <w:r>
        <w:rPr>
          <w:rFonts w:ascii="Arial" w:hAnsi="Arial" w:cs="Arial"/>
        </w:rPr>
        <w:t xml:space="preserve">Respecto la garantía de Ayudas técnicas </w:t>
      </w:r>
      <w:r w:rsidRPr="0096288B">
        <w:rPr>
          <w:rFonts w:ascii="Arial" w:hAnsi="Arial" w:cs="Arial"/>
          <w:szCs w:val="24"/>
        </w:rPr>
        <w:t>La Subred Sur, en el marco de los convenios y/o contratos interadministrativos suscritos con los Fondos de Desarrollo Local, garantiza la entrega de dispositivos de asistencia personal (ayudas técnicas), conforme a los criterios técnicos y normativos establecidos para tal fin</w:t>
      </w:r>
      <w:r>
        <w:rPr>
          <w:rFonts w:ascii="Arial" w:hAnsi="Arial" w:cs="Arial"/>
          <w:szCs w:val="24"/>
        </w:rPr>
        <w:t>.</w:t>
      </w:r>
    </w:p>
    <w:p w:rsidR="0005605F" w:rsidRDefault="0005605F" w:rsidP="0005605F">
      <w:pPr>
        <w:pStyle w:val="NormalWeb"/>
        <w:jc w:val="both"/>
        <w:rPr>
          <w:rFonts w:ascii="Arial" w:hAnsi="Arial" w:cs="Arial"/>
          <w:sz w:val="22"/>
        </w:rPr>
      </w:pPr>
      <w:r w:rsidRPr="00AD5E5A">
        <w:rPr>
          <w:rFonts w:ascii="Arial" w:hAnsi="Arial" w:cs="Arial"/>
          <w:sz w:val="22"/>
        </w:rPr>
        <w:t xml:space="preserve">Para ello, la Subred Sur adelanta procesos de contratación de </w:t>
      </w:r>
      <w:r w:rsidRPr="00AD5E5A">
        <w:rPr>
          <w:rStyle w:val="Textoennegrita"/>
          <w:rFonts w:ascii="Arial" w:hAnsi="Arial" w:cs="Arial"/>
          <w:sz w:val="22"/>
        </w:rPr>
        <w:t>bienes y servicios de dispositivos de asistencia personal</w:t>
      </w:r>
      <w:r w:rsidRPr="00AD5E5A">
        <w:rPr>
          <w:rFonts w:ascii="Arial" w:hAnsi="Arial" w:cs="Arial"/>
          <w:b/>
          <w:bCs/>
          <w:sz w:val="22"/>
        </w:rPr>
        <w:t>,</w:t>
      </w:r>
      <w:r w:rsidRPr="00AD5E5A">
        <w:rPr>
          <w:rFonts w:ascii="Arial" w:hAnsi="Arial" w:cs="Arial"/>
          <w:sz w:val="22"/>
        </w:rPr>
        <w:t xml:space="preserve"> mediante la modalidad de </w:t>
      </w:r>
      <w:r w:rsidRPr="00AD5E5A">
        <w:rPr>
          <w:rStyle w:val="Textoennegrita"/>
          <w:rFonts w:ascii="Arial" w:hAnsi="Arial" w:cs="Arial"/>
          <w:sz w:val="22"/>
        </w:rPr>
        <w:t>Invitación a Cotizar</w:t>
      </w:r>
      <w:r w:rsidRPr="00AD5E5A">
        <w:rPr>
          <w:rFonts w:ascii="Arial" w:hAnsi="Arial" w:cs="Arial"/>
          <w:b/>
          <w:bCs/>
          <w:sz w:val="22"/>
        </w:rPr>
        <w:t>,</w:t>
      </w:r>
      <w:r w:rsidRPr="00AD5E5A">
        <w:rPr>
          <w:rFonts w:ascii="Arial" w:hAnsi="Arial" w:cs="Arial"/>
          <w:sz w:val="22"/>
        </w:rPr>
        <w:t xml:space="preserve"> en la cual se adjudica al proponente que cumple con los criterios habilitantes </w:t>
      </w:r>
      <w:r w:rsidRPr="00AD5E5A">
        <w:rPr>
          <w:rStyle w:val="Textoennegrita"/>
          <w:rFonts w:ascii="Arial" w:hAnsi="Arial" w:cs="Arial"/>
          <w:sz w:val="22"/>
        </w:rPr>
        <w:t xml:space="preserve">técnicos, </w:t>
      </w:r>
      <w:r w:rsidRPr="00AD5E5A">
        <w:rPr>
          <w:rStyle w:val="Textoennegrita"/>
          <w:rFonts w:ascii="Arial" w:hAnsi="Arial" w:cs="Arial"/>
          <w:sz w:val="22"/>
        </w:rPr>
        <w:lastRenderedPageBreak/>
        <w:t>jurídicos y financieros</w:t>
      </w:r>
      <w:r w:rsidRPr="00AD5E5A">
        <w:rPr>
          <w:rFonts w:ascii="Arial" w:hAnsi="Arial" w:cs="Arial"/>
          <w:b/>
          <w:bCs/>
          <w:sz w:val="22"/>
        </w:rPr>
        <w:t xml:space="preserve">. </w:t>
      </w:r>
      <w:r w:rsidRPr="00AD5E5A">
        <w:rPr>
          <w:rFonts w:ascii="Arial" w:hAnsi="Arial" w:cs="Arial"/>
          <w:sz w:val="22"/>
        </w:rPr>
        <w:t xml:space="preserve">Estos procesos tienen como propósito garantizar el otorgamiento de dispositivos a personas con discapacidad en las localidades de </w:t>
      </w:r>
      <w:r w:rsidRPr="00AD5E5A">
        <w:rPr>
          <w:rStyle w:val="Textoennegrita"/>
          <w:rFonts w:ascii="Arial" w:hAnsi="Arial" w:cs="Arial"/>
          <w:sz w:val="22"/>
        </w:rPr>
        <w:t xml:space="preserve">Usme, La Candelaria, Tunjuelito, San Cristóbal, Ciudad Bolívar y Rafael Uribe </w:t>
      </w:r>
      <w:proofErr w:type="spellStart"/>
      <w:r w:rsidRPr="00AD5E5A">
        <w:rPr>
          <w:rStyle w:val="Textoennegrita"/>
          <w:rFonts w:ascii="Arial" w:hAnsi="Arial" w:cs="Arial"/>
          <w:sz w:val="22"/>
        </w:rPr>
        <w:t>Uribe</w:t>
      </w:r>
      <w:proofErr w:type="spellEnd"/>
      <w:r w:rsidRPr="00AD5E5A">
        <w:rPr>
          <w:rFonts w:ascii="Arial" w:hAnsi="Arial" w:cs="Arial"/>
          <w:b/>
          <w:bCs/>
          <w:sz w:val="22"/>
        </w:rPr>
        <w:t>,</w:t>
      </w:r>
      <w:r w:rsidRPr="00AD5E5A">
        <w:rPr>
          <w:rFonts w:ascii="Arial" w:hAnsi="Arial" w:cs="Arial"/>
          <w:sz w:val="22"/>
        </w:rPr>
        <w:t xml:space="preserve"> dando cobertura a la necesidad identificada y a la meta poblacional definida por las alcaldías locales, de acuerdo con sus respectivos planes de gobierno. (Anexo archivo Excel: Contratos DAP)</w:t>
      </w:r>
    </w:p>
    <w:p w:rsidR="0005605F" w:rsidRPr="0096288B" w:rsidRDefault="0005605F" w:rsidP="0005605F">
      <w:pPr>
        <w:pStyle w:val="NormalWeb"/>
        <w:jc w:val="both"/>
        <w:rPr>
          <w:rFonts w:ascii="Arial" w:hAnsi="Arial" w:cs="Arial"/>
          <w:sz w:val="22"/>
        </w:rPr>
      </w:pPr>
      <w:r w:rsidRPr="0096288B">
        <w:rPr>
          <w:rFonts w:ascii="Arial" w:hAnsi="Arial" w:cs="Arial"/>
          <w:sz w:val="22"/>
        </w:rPr>
        <w:t>Para asegurar esta garantía, la Entidad adelanta procesos de contratación de bienes y servicios bajo la modalidad de Invitación a Cotizar, adjudicando al proponente que cumple con los requisitos habilitantes de orden técnico, jurídico y financiero, en observancia de los principios de transparencia y selección objetiva. Los procesos contractuales y su respectiva publicación se realizan a través de SECOP II, donde pueden consultarse el objeto contractual, número de proceso, estado (vigente o en ejecución), valor y demás información asociada.</w:t>
      </w:r>
      <w:r>
        <w:rPr>
          <w:rFonts w:ascii="Arial" w:hAnsi="Arial" w:cs="Arial"/>
          <w:sz w:val="22"/>
        </w:rPr>
        <w:t xml:space="preserve"> </w:t>
      </w:r>
      <w:proofErr w:type="gramStart"/>
      <w:r>
        <w:rPr>
          <w:rFonts w:ascii="Arial" w:hAnsi="Arial" w:cs="Arial"/>
          <w:sz w:val="22"/>
        </w:rPr>
        <w:t xml:space="preserve">( </w:t>
      </w:r>
      <w:r w:rsidRPr="00454280">
        <w:rPr>
          <w:rFonts w:ascii="Arial" w:hAnsi="Arial" w:cs="Arial"/>
          <w:color w:val="000000"/>
          <w:bdr w:val="none" w:sz="0" w:space="0" w:color="auto" w:frame="1"/>
          <w:shd w:val="clear" w:color="auto" w:fill="FFFFFF"/>
        </w:rPr>
        <w:t>anexo</w:t>
      </w:r>
      <w:proofErr w:type="gramEnd"/>
      <w:r w:rsidRPr="00454280">
        <w:rPr>
          <w:rFonts w:ascii="Arial" w:hAnsi="Arial" w:cs="Arial"/>
          <w:color w:val="000000"/>
          <w:bdr w:val="none" w:sz="0" w:space="0" w:color="auto" w:frame="1"/>
          <w:shd w:val="clear" w:color="auto" w:fill="FFFFFF"/>
        </w:rPr>
        <w:t xml:space="preserve"> </w:t>
      </w:r>
      <w:r w:rsidRPr="0005605F">
        <w:rPr>
          <w:rFonts w:ascii="Arial" w:hAnsi="Arial" w:cs="Arial"/>
          <w:color w:val="FF0000"/>
          <w:bdr w:val="none" w:sz="0" w:space="0" w:color="auto" w:frame="1"/>
          <w:shd w:val="clear" w:color="auto" w:fill="FFFFFF"/>
        </w:rPr>
        <w:t>XXXXX</w:t>
      </w:r>
      <w:r>
        <w:rPr>
          <w:rFonts w:ascii="Arial" w:hAnsi="Arial" w:cs="Arial"/>
          <w:color w:val="FF0000"/>
          <w:bdr w:val="none" w:sz="0" w:space="0" w:color="auto" w:frame="1"/>
          <w:shd w:val="clear" w:color="auto" w:fill="FFFFFF"/>
        </w:rPr>
        <w:t>)</w:t>
      </w:r>
    </w:p>
    <w:p w:rsidR="0005605F" w:rsidRPr="0005605F" w:rsidRDefault="0005605F" w:rsidP="0005605F">
      <w:pPr>
        <w:pStyle w:val="NormalWeb"/>
        <w:jc w:val="both"/>
        <w:rPr>
          <w:rFonts w:ascii="Arial" w:hAnsi="Arial" w:cs="Arial"/>
          <w:sz w:val="22"/>
          <w:szCs w:val="22"/>
        </w:rPr>
      </w:pPr>
      <w:r w:rsidRPr="0005605F">
        <w:rPr>
          <w:rFonts w:ascii="Arial" w:hAnsi="Arial" w:cs="Arial"/>
          <w:sz w:val="22"/>
          <w:szCs w:val="22"/>
        </w:rPr>
        <w:t xml:space="preserve">Estos contratos tienen por objeto el suministro y entrega de dispositivos de asistencia personal a personas con discapacidad en las localidades de Usme, La Candelaria, Tunjuelito, San Cristóbal, Ciudad Bolívar y Rafael Uribe </w:t>
      </w:r>
      <w:proofErr w:type="spellStart"/>
      <w:r w:rsidRPr="0005605F">
        <w:rPr>
          <w:rFonts w:ascii="Arial" w:hAnsi="Arial" w:cs="Arial"/>
          <w:sz w:val="22"/>
          <w:szCs w:val="22"/>
        </w:rPr>
        <w:t>Uribe</w:t>
      </w:r>
      <w:proofErr w:type="spellEnd"/>
      <w:r w:rsidRPr="0005605F">
        <w:rPr>
          <w:rFonts w:ascii="Arial" w:hAnsi="Arial" w:cs="Arial"/>
          <w:sz w:val="22"/>
          <w:szCs w:val="22"/>
        </w:rPr>
        <w:t>, en cumplimiento de las metas poblacionales definidas por las Alcaldías Locales en sus respectivos planes de desarrollo.</w:t>
      </w:r>
    </w:p>
    <w:p w:rsidR="0005605F" w:rsidRPr="0005605F" w:rsidRDefault="0005605F" w:rsidP="0005605F">
      <w:pPr>
        <w:pStyle w:val="NormalWeb"/>
        <w:jc w:val="both"/>
        <w:rPr>
          <w:rFonts w:ascii="Arial" w:hAnsi="Arial" w:cs="Arial"/>
          <w:b/>
          <w:sz w:val="22"/>
          <w:szCs w:val="22"/>
        </w:rPr>
      </w:pPr>
      <w:r w:rsidRPr="0005605F">
        <w:rPr>
          <w:rFonts w:ascii="Arial" w:hAnsi="Arial" w:cs="Arial"/>
          <w:sz w:val="22"/>
          <w:szCs w:val="22"/>
        </w:rPr>
        <w:t xml:space="preserve">Los operadores contratados para la ejecución de estas actividades fueron: </w:t>
      </w:r>
      <w:r w:rsidRPr="0005605F">
        <w:rPr>
          <w:rStyle w:val="Textoennegrita"/>
          <w:rFonts w:ascii="Arial" w:hAnsi="Arial" w:cs="Arial"/>
          <w:b w:val="0"/>
          <w:bCs w:val="0"/>
          <w:sz w:val="22"/>
          <w:szCs w:val="22"/>
        </w:rPr>
        <w:t>Unión Temporal Avanza por Bogotá</w:t>
      </w:r>
      <w:r w:rsidRPr="0005605F">
        <w:rPr>
          <w:rFonts w:ascii="Arial" w:hAnsi="Arial" w:cs="Arial"/>
          <w:b/>
          <w:bCs/>
          <w:sz w:val="22"/>
          <w:szCs w:val="22"/>
        </w:rPr>
        <w:t xml:space="preserve">, </w:t>
      </w:r>
      <w:r w:rsidRPr="0005605F">
        <w:rPr>
          <w:rStyle w:val="Textoennegrita"/>
          <w:rFonts w:ascii="Arial" w:hAnsi="Arial" w:cs="Arial"/>
          <w:b w:val="0"/>
          <w:bCs w:val="0"/>
          <w:sz w:val="22"/>
          <w:szCs w:val="22"/>
        </w:rPr>
        <w:t>Unión Temporal Movilidad y Vida E&amp;J</w:t>
      </w:r>
      <w:r w:rsidRPr="0005605F">
        <w:rPr>
          <w:rFonts w:ascii="Arial" w:hAnsi="Arial" w:cs="Arial"/>
          <w:b/>
          <w:bCs/>
          <w:sz w:val="22"/>
          <w:szCs w:val="22"/>
        </w:rPr>
        <w:t xml:space="preserve">, </w:t>
      </w:r>
      <w:r w:rsidRPr="0005605F">
        <w:rPr>
          <w:rStyle w:val="Textoennegrita"/>
          <w:rFonts w:ascii="Arial" w:hAnsi="Arial" w:cs="Arial"/>
          <w:b w:val="0"/>
          <w:bCs w:val="0"/>
          <w:sz w:val="22"/>
          <w:szCs w:val="22"/>
        </w:rPr>
        <w:t>Bogotá Eficiente Unión Temporal</w:t>
      </w:r>
      <w:r w:rsidRPr="0005605F">
        <w:rPr>
          <w:rFonts w:ascii="Arial" w:hAnsi="Arial" w:cs="Arial"/>
          <w:b/>
          <w:bCs/>
          <w:sz w:val="22"/>
          <w:szCs w:val="22"/>
        </w:rPr>
        <w:t xml:space="preserve"> y </w:t>
      </w:r>
      <w:r w:rsidRPr="0005605F">
        <w:rPr>
          <w:rStyle w:val="Textoennegrita"/>
          <w:rFonts w:ascii="Arial" w:hAnsi="Arial" w:cs="Arial"/>
          <w:b w:val="0"/>
          <w:bCs w:val="0"/>
          <w:sz w:val="22"/>
          <w:szCs w:val="22"/>
        </w:rPr>
        <w:t>ENTIS Laboratorio Ortopédico S.A.S.</w:t>
      </w:r>
    </w:p>
    <w:p w:rsidR="0005605F" w:rsidRDefault="0005605F" w:rsidP="0005605F">
      <w:pPr>
        <w:pStyle w:val="NormalWeb"/>
        <w:jc w:val="both"/>
        <w:rPr>
          <w:rFonts w:ascii="Arial" w:hAnsi="Arial" w:cs="Arial"/>
          <w:sz w:val="22"/>
          <w:szCs w:val="22"/>
        </w:rPr>
      </w:pPr>
      <w:r w:rsidRPr="0005605F">
        <w:rPr>
          <w:rFonts w:ascii="Arial" w:hAnsi="Arial" w:cs="Arial"/>
          <w:sz w:val="22"/>
          <w:szCs w:val="22"/>
        </w:rPr>
        <w:t xml:space="preserve">Es importante señalar que, para el otorgamiento de los dispositivos de asistencia </w:t>
      </w:r>
      <w:r w:rsidRPr="0005605F">
        <w:rPr>
          <w:rFonts w:ascii="Arial" w:hAnsi="Arial" w:cs="Arial"/>
          <w:sz w:val="22"/>
          <w:szCs w:val="22"/>
        </w:rPr>
        <w:t>personal a</w:t>
      </w:r>
      <w:r w:rsidRPr="0005605F">
        <w:rPr>
          <w:rFonts w:ascii="Arial" w:hAnsi="Arial" w:cs="Arial"/>
          <w:sz w:val="22"/>
          <w:szCs w:val="22"/>
        </w:rPr>
        <w:t xml:space="preserve"> personas con discapacidad, la Subred Sur se acoge a lo dispuesto en el </w:t>
      </w:r>
      <w:r w:rsidRPr="0005605F">
        <w:rPr>
          <w:rStyle w:val="Textoennegrita"/>
          <w:rFonts w:ascii="Arial" w:hAnsi="Arial" w:cs="Arial"/>
          <w:b w:val="0"/>
          <w:bCs w:val="0"/>
          <w:sz w:val="22"/>
          <w:szCs w:val="22"/>
        </w:rPr>
        <w:t>Lineamiento Orientador versión 7 de la Secretaría Distrital de Salud</w:t>
      </w:r>
      <w:r w:rsidRPr="0005605F">
        <w:rPr>
          <w:rFonts w:ascii="Arial" w:hAnsi="Arial" w:cs="Arial"/>
          <w:b/>
          <w:sz w:val="22"/>
          <w:szCs w:val="22"/>
        </w:rPr>
        <w:t>,</w:t>
      </w:r>
      <w:r w:rsidRPr="0005605F">
        <w:rPr>
          <w:rFonts w:ascii="Arial" w:hAnsi="Arial" w:cs="Arial"/>
          <w:b/>
          <w:bCs/>
          <w:sz w:val="22"/>
          <w:szCs w:val="22"/>
        </w:rPr>
        <w:t xml:space="preserve"> </w:t>
      </w:r>
      <w:r w:rsidRPr="0005605F">
        <w:rPr>
          <w:rFonts w:ascii="Arial" w:hAnsi="Arial" w:cs="Arial"/>
          <w:sz w:val="22"/>
          <w:szCs w:val="22"/>
        </w:rPr>
        <w:t xml:space="preserve">en el cual se establecen los criterios para la identificación de potenciales beneficiarios, entre ellos: </w:t>
      </w:r>
    </w:p>
    <w:p w:rsidR="0005605F" w:rsidRPr="0005605F" w:rsidRDefault="0005605F" w:rsidP="0005605F">
      <w:pPr>
        <w:pStyle w:val="NormalWeb"/>
        <w:ind w:left="708"/>
        <w:jc w:val="both"/>
        <w:rPr>
          <w:rFonts w:ascii="Arial" w:hAnsi="Arial" w:cs="Arial"/>
          <w:sz w:val="22"/>
          <w:szCs w:val="22"/>
        </w:rPr>
      </w:pPr>
      <w:r w:rsidRPr="0005605F">
        <w:rPr>
          <w:rFonts w:ascii="Arial" w:hAnsi="Arial" w:cs="Arial"/>
          <w:sz w:val="22"/>
          <w:szCs w:val="22"/>
        </w:rPr>
        <w:t>No contar con los recursos económicos para adquirir el dispositivo de asistencia personal mediante compra.</w:t>
      </w:r>
    </w:p>
    <w:p w:rsidR="0005605F" w:rsidRPr="0005605F" w:rsidRDefault="0005605F" w:rsidP="0005605F">
      <w:pPr>
        <w:pStyle w:val="NormalWeb"/>
        <w:ind w:left="708"/>
        <w:jc w:val="both"/>
        <w:rPr>
          <w:rFonts w:ascii="Arial" w:hAnsi="Arial" w:cs="Arial"/>
          <w:sz w:val="22"/>
          <w:szCs w:val="22"/>
        </w:rPr>
      </w:pPr>
      <w:r w:rsidRPr="0005605F">
        <w:rPr>
          <w:rFonts w:ascii="Arial" w:hAnsi="Arial" w:cs="Arial"/>
          <w:sz w:val="22"/>
          <w:szCs w:val="22"/>
        </w:rPr>
        <w:t>Presentar una discapacidad de carácter permanente.</w:t>
      </w:r>
    </w:p>
    <w:p w:rsidR="0005605F" w:rsidRPr="0005605F" w:rsidRDefault="0005605F" w:rsidP="0005605F">
      <w:pPr>
        <w:pStyle w:val="NormalWeb"/>
        <w:ind w:left="708"/>
        <w:jc w:val="both"/>
        <w:rPr>
          <w:rFonts w:ascii="Arial" w:hAnsi="Arial" w:cs="Arial"/>
          <w:sz w:val="22"/>
          <w:szCs w:val="22"/>
        </w:rPr>
      </w:pPr>
      <w:r w:rsidRPr="0005605F">
        <w:rPr>
          <w:rFonts w:ascii="Arial" w:hAnsi="Arial" w:cs="Arial"/>
          <w:sz w:val="22"/>
          <w:szCs w:val="22"/>
        </w:rPr>
        <w:t xml:space="preserve">Que el dispositivo solicitado no se encuentre incluido en el </w:t>
      </w:r>
      <w:r w:rsidRPr="0005605F">
        <w:rPr>
          <w:rStyle w:val="Textoennegrita"/>
          <w:rFonts w:ascii="Arial" w:hAnsi="Arial" w:cs="Arial"/>
          <w:sz w:val="22"/>
          <w:szCs w:val="22"/>
        </w:rPr>
        <w:t>Plan de Beneficios vigente</w:t>
      </w:r>
      <w:r w:rsidRPr="0005605F">
        <w:rPr>
          <w:rFonts w:ascii="Arial" w:hAnsi="Arial" w:cs="Arial"/>
          <w:sz w:val="22"/>
          <w:szCs w:val="22"/>
        </w:rPr>
        <w:t xml:space="preserve"> (Resolución 2808 de 2022).</w:t>
      </w:r>
    </w:p>
    <w:p w:rsidR="0005605F" w:rsidRPr="0005605F" w:rsidRDefault="0005605F" w:rsidP="0005605F">
      <w:pPr>
        <w:pStyle w:val="NormalWeb"/>
        <w:ind w:left="708"/>
        <w:jc w:val="both"/>
        <w:rPr>
          <w:rFonts w:ascii="Arial" w:hAnsi="Arial" w:cs="Arial"/>
          <w:sz w:val="22"/>
          <w:szCs w:val="22"/>
        </w:rPr>
      </w:pPr>
      <w:r w:rsidRPr="0005605F">
        <w:rPr>
          <w:rFonts w:ascii="Arial" w:hAnsi="Arial" w:cs="Arial"/>
          <w:sz w:val="22"/>
          <w:szCs w:val="22"/>
        </w:rPr>
        <w:t>Ser habitante de la ciudad de Bogotá y residente</w:t>
      </w:r>
    </w:p>
    <w:p w:rsidR="0005605F" w:rsidRPr="0005605F" w:rsidRDefault="0005605F" w:rsidP="0005605F">
      <w:pPr>
        <w:jc w:val="both"/>
        <w:rPr>
          <w:rFonts w:ascii="Arial" w:hAnsi="Arial" w:cs="Arial"/>
        </w:rPr>
      </w:pPr>
    </w:p>
    <w:sectPr w:rsidR="0005605F" w:rsidRPr="0005605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B94C71"/>
    <w:multiLevelType w:val="multilevel"/>
    <w:tmpl w:val="BFB29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05F"/>
    <w:rsid w:val="000560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76896"/>
  <w15:chartTrackingRefBased/>
  <w15:docId w15:val="{F64FC12C-5C66-4BF6-AF21-6C194E0E8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5605F"/>
    <w:pPr>
      <w:suppressAutoHyphens/>
      <w:autoSpaceDN w:val="0"/>
      <w:spacing w:line="254" w:lineRule="auto"/>
      <w:textAlignment w:val="baseline"/>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05605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5605F"/>
    <w:rPr>
      <w:rFonts w:ascii="Segoe UI" w:eastAsia="Calibri" w:hAnsi="Segoe UI" w:cs="Segoe UI"/>
      <w:sz w:val="18"/>
      <w:szCs w:val="18"/>
    </w:rPr>
  </w:style>
  <w:style w:type="paragraph" w:styleId="NormalWeb">
    <w:name w:val="Normal (Web)"/>
    <w:basedOn w:val="Normal"/>
    <w:uiPriority w:val="99"/>
    <w:semiHidden/>
    <w:unhideWhenUsed/>
    <w:rsid w:val="0005605F"/>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es-CO"/>
    </w:rPr>
  </w:style>
  <w:style w:type="character" w:styleId="Textoennegrita">
    <w:name w:val="Strong"/>
    <w:basedOn w:val="Fuentedeprrafopredeter"/>
    <w:uiPriority w:val="22"/>
    <w:qFormat/>
    <w:rsid w:val="0005605F"/>
    <w:rPr>
      <w:b/>
      <w:bCs/>
    </w:rPr>
  </w:style>
  <w:style w:type="paragraph" w:styleId="Piedepgina">
    <w:name w:val="footer"/>
    <w:basedOn w:val="Normal"/>
    <w:link w:val="PiedepginaCar"/>
    <w:rsid w:val="0005605F"/>
    <w:pPr>
      <w:tabs>
        <w:tab w:val="center" w:pos="4419"/>
        <w:tab w:val="right" w:pos="8838"/>
      </w:tabs>
      <w:spacing w:after="0" w:line="240" w:lineRule="auto"/>
    </w:pPr>
  </w:style>
  <w:style w:type="character" w:customStyle="1" w:styleId="PiedepginaCar">
    <w:name w:val="Pie de página Car"/>
    <w:basedOn w:val="Fuentedeprrafopredeter"/>
    <w:link w:val="Piedepgina"/>
    <w:rsid w:val="0005605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831</Words>
  <Characters>4576</Characters>
  <Application>Microsoft Office Word</Application>
  <DocSecurity>0</DocSecurity>
  <Lines>38</Lines>
  <Paragraphs>10</Paragraphs>
  <ScaleCrop>false</ScaleCrop>
  <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Reyes Murillo Higuera</dc:creator>
  <cp:keywords/>
  <dc:description/>
  <cp:lastModifiedBy>Reyes Murillo Higuera</cp:lastModifiedBy>
  <cp:revision>1</cp:revision>
  <dcterms:created xsi:type="dcterms:W3CDTF">2026-02-18T20:17:00Z</dcterms:created>
  <dcterms:modified xsi:type="dcterms:W3CDTF">2026-02-18T20:27:00Z</dcterms:modified>
</cp:coreProperties>
</file>